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n0="http://schemas.openxmlformats.org/drawingml/2006/main" xmlns:n1="http://schemas.openxmlformats.org/drawingml/2006/main" xmlns:n2="http://schemas.openxmlformats.org/drawingml/2006/picture" xmlns:n3="http://schemas.openxmlformats.org/drawingml/2006/picture" xmlns:n4="http://schemas.openxmlformats.org/drawingml/2006/picture" xmlns:n5="http://schemas.openxmlformats.org/drawingml/2006/picture" xmlns:n6="http://schemas.openxmlformats.org/drawingml/2006/picture" xmlns:n7="http://schemas.openxmlformats.org/drawingml/2006/main" xmlns:n8="http://schemas.openxmlformats.org/drawingml/2006/main" xmlns:n9="http://schemas.openxmlformats.org/drawingml/2006/main" xmlns:n10="http://schemas.openxmlformats.org/drawingml/2006/picture" xmlns:n11="http://schemas.openxmlformats.org/drawingml/2006/main" xmlns:n12="http://schemas.openxmlformats.org/drawingml/2006/main" xmlns:n13="http://schemas.openxmlformats.org/drawingml/2006/main" xmlns:n14="http://schemas.openxmlformats.org/drawingml/2006/main" xmlns:n15="http://schemas.openxmlformats.org/drawingml/2006/main" xmlns:n16="http://schemas.openxmlformats.org/drawingml/2006/main" xmlns:n17="http://schemas.openxmlformats.org/drawingml/2006/main" xmlns:n18="http://schemas.openxmlformats.org/drawingml/2006/picture" xmlns:n19="http://schemas.openxmlformats.org/drawingml/2006/picture" xmlns:n20="http://schemas.openxmlformats.org/drawingml/2006/picture" xmlns:n21="http://schemas.openxmlformats.org/drawingml/2006/picture" xmlns:n22="http://schemas.openxmlformats.org/drawingml/2006/picture" xmlns:n23="http://schemas.openxmlformats.org/drawingml/2006/main" xmlns:n24="http://schemas.openxmlformats.org/drawingml/2006/main" xmlns:n25="http://schemas.openxmlformats.org/drawingml/2006/main" xmlns:n26="http://schemas.openxmlformats.org/drawingml/2006/picture" xmlns:n27="http://schemas.openxmlformats.org/drawingml/2006/main" xmlns:n28="http://schemas.openxmlformats.org/drawingml/2006/main" xmlns:n29="http://schemas.openxmlformats.org/drawingml/2006/main" xmlns:n30="http://schemas.openxmlformats.org/drawingml/2006/main" xmlns:n31="http://schemas.openxmlformats.org/drawingml/2006/main" xmlns:n32="http://schemas.openxmlformats.org/drawingml/2006/main" xmlns:n33="http://schemas.openxmlformats.org/drawingml/2006/main" xmlns:n34="http://schemas.openxmlformats.org/drawingml/2006/picture" xmlns:n35="http://schemas.openxmlformats.org/drawingml/2006/picture" xmlns:n36="http://schemas.openxmlformats.org/drawingml/2006/picture" xmlns:n37="http://schemas.openxmlformats.org/drawingml/2006/picture" xmlns:n38="http://schemas.openxmlformats.org/drawingml/2006/picture" xmlns:n39="http://schemas.openxmlformats.org/drawingml/2006/main" xmlns:n40="http://schemas.openxmlformats.org/drawingml/2006/main" xmlns:n41="http://schemas.openxmlformats.org/drawingml/2006/main" xmlns:n42="http://schemas.openxmlformats.org/drawingml/2006/picture" xmlns:n43="http://schemas.openxmlformats.org/drawingml/2006/main" xmlns:n44="http://schemas.openxmlformats.org/drawingml/2006/main" xmlns:n45="http://schemas.openxmlformats.org/drawingml/2006/main" xmlns:n46="http://schemas.openxmlformats.org/drawingml/2006/main" xmlns:n47="http://schemas.openxmlformats.org/drawingml/2006/main" xmlns:n48="http://schemas.openxmlformats.org/drawingml/2006/main" xmlns:n49="http://schemas.openxmlformats.org/drawingml/2006/main" xmlns:n50="http://schemas.openxmlformats.org/drawingml/2006/picture" xmlns:n51="http://schemas.openxmlformats.org/drawingml/2006/picture" xmlns:n52="http://schemas.openxmlformats.org/drawingml/2006/picture" xmlns:n53="http://schemas.openxmlformats.org/drawingml/2006/picture" xmlns:n54="http://schemas.openxmlformats.org/drawingml/2006/picture" xmlns:n55="http://schemas.openxmlformats.org/drawingml/2006/main" xmlns:n56="http://schemas.openxmlformats.org/drawingml/2006/main" xmlns:n57="http://schemas.openxmlformats.org/drawingml/2006/main" xmlns:n58="http://schemas.openxmlformats.org/drawingml/2006/picture" xmlns:n59="http://schemas.openxmlformats.org/drawingml/2006/main" xmlns:n60="http://schemas.openxmlformats.org/drawingml/2006/main" xmlns:n61="http://schemas.openxmlformats.org/drawingml/2006/main" xmlns:n62="http://schemas.openxmlformats.org/drawingml/2006/main" xmlns:n63="http://schemas.openxmlformats.org/drawingml/2006/main" xmlns:n64="http://schemas.openxmlformats.org/drawingml/2006/main" xmlns:n65="http://schemas.openxmlformats.org/drawingml/2006/main" xmlns:n66="http://schemas.openxmlformats.org/drawingml/2006/picture" xmlns:n67="http://schemas.openxmlformats.org/drawingml/2006/picture" xmlns:n68="http://schemas.openxmlformats.org/drawingml/2006/picture" xmlns:n69="http://schemas.openxmlformats.org/drawingml/2006/picture" xmlns:n70="http://schemas.openxmlformats.org/drawingml/2006/picture" xmlns:n71="http://schemas.openxmlformats.org/drawingml/2006/main" xmlns:n72="http://schemas.openxmlformats.org/drawingml/2006/main" xmlns:n73="http://schemas.openxmlformats.org/drawingml/2006/main" xmlns:n74="http://schemas.openxmlformats.org/drawingml/2006/picture" xmlns:n75="http://schemas.openxmlformats.org/drawingml/2006/main" xmlns:n76="http://schemas.openxmlformats.org/drawingml/2006/main" xmlns:n77="http://schemas.openxmlformats.org/drawingml/2006/main" xmlns:n78="http://schemas.openxmlformats.org/drawingml/2006/main" xmlns:n79="http://schemas.openxmlformats.org/drawingml/2006/main" mc:Ignorable="w14 wp14">
  <w:body>
    <w:p>
      <w:pPr>
        <w:pStyle w:val="Title"/>
        <w:jc w:val="center"/>
      </w:pPr>
      <w:r>
        <w:t>The End of Business as Usual</w:t>
      </w:r>
    </w:p>
    <w:p>
      <w:pPr>
        <w:pStyle w:val="Subtitle"/>
        <w:jc w:val="center"/>
      </w:pPr>
      <w:r>
        <w:t>Why the Traditional MSP and TSP Business Model Is Becoming Obsolete</w:t>
      </w:r>
    </w:p>
    <w:p>
      <w:pPr>
        <w:jc w:val="center"/>
      </w:pPr>
      <w:r>
        <w:t>A strategic research report for MSP owners, Microsoft partners, partner executives, boards and private-equity investors.</w:t>
      </w:r>
    </w:p>
    <w:p>
      <w:pPr>
        <w:jc w:val="center"/>
      </w:pPr>
      <w:r>
        <w:t>Prepared August 2026. Evidence window 2023–2026; outlook 2027–2035.</w:t>
      </w:r>
    </w:p>
    <w:p>
      <w:r>
        <w:t>This report tests its central thesis against verifiable evidence rather than assuming it. Approximately sixty analyst, vendor, government and financial sources are cited inline by bracketed number; the complete reference list appears in Section 14. Illustrative financial models are clearly labelled as scenarios, not forecasts.</w:t>
      </w:r>
    </w:p>
    <w:p>
      <w:r>
        <w:br w:type="page"/>
      </w:r>
    </w:p>
    <w:p>
      <w:fldSimple w:instr="TOC \o &quot;1-3&quot; \h \z \u" w:dirty="true">
        <w:r>
          <w:t>Table of contents (updates when the document opens)</w:t>
        </w:r>
      </w:fldSimple>
    </w:p>
    <w:p>
      <w:r>
        <w:br w:type="page"/>
      </w:r>
    </w:p>
    <w:p>
      <w:pPr>
        <w:pStyle w:val="Heading1"/>
      </w:pPr>
      <w:r>
        <w:t>1. Executive Summary</w:t>
      </w:r>
    </w:p>
    <w:p>
      <w:r>
        <w:t>This report examines whether the traditional managed service provider (MSP) and technology service provider (TSP) business model — per-user and per-device pricing, help-desk-centric delivery, reactive support, infrastructure monitoring and management, and licensing resale — remains economically and strategically viable over the next three to ten years. It was researched for a successful, conventional MSP owner who is properly sceptical of hype, and for the boards and investors who back businesses like theirs. It weighs the strongest available counter-evidence and does not assume its own conclusion.</w:t>
      </w:r>
    </w:p>
    <w:p>
      <w:r>
        <w:rPr>
          <w:b/>
        </w:rPr>
        <w:t>The verdict: the evidence does not support the claim that the managed services market is dying. It supports something more uncomfortable. The industry is bifurcating, and the traditional variant of the model is becoming economically unsustainable for those who remain in it. Obsolescence is arriving not as a collapse of the market, but as a collapse of the margin, the differentiation and the exit value available to undifferentiated providers.</w:t>
      </w:r>
    </w:p>
    <w:p>
      <w:r>
        <w:t>The paradox sits in plain sight in the industry's own numbers. Global managed services revenue passed roughly US$500 billion in 2024, growing 9.7%, and Canalys forecast a further 13% rise in 2025 to nearly US$595 billion [1][2]. Yet over the same period the average provider's organic managed-services growth fell to 1.0% — the lowest reading of the year — average adjusted EBITDA slipped from 12.2% to 11.1%, and the share of MSPs trading at a loss rose from 14% to 18% in a single quarter [4]. Canalys finds that focused, specialised providers earn 15–30% EBITDA while unfocused generalists earn about 7% [1], and Service Leadership reports that best-in-class providers have now held 19%+ adjusted EBITDA for six consecutive years [5]. The market is growing around the traditional operator, not with them.</w:t>
      </w:r>
    </w:p>
    <w:p>
      <w:r>
        <w:t>Four structural forces explain the squeeze, and each is independently documented. First, AI and agentic automation are absorbing the labour the model resells: the US Bureau of Labor Statistics projects help-desk employment will decline through 2034, explicitly citing automated troubleshooting tools [45], and Gartner predicts agentic AI will autonomously resolve 80% of common customer-service issues by 2029 [6]. Second, Microsoft is productising work partners have historically billed for — Windows Autopatch, Intune remote help, Security Copilot agents and its own managed detection and response service — while restructuring CSP incentives away from flat resale margin [27][30][33][57][58]. Third, buyers are re-pricing labour: as-a-service contract value grew 18% in 2024 against 1.6% for managed services, a ten-to-one growth gap (ISG) [12]. Fourth, the deal market has already voted: MSPs under US$5 million in enterprise value trade near 5x EBITDA against more than 11x for scaled, security-rich providers, and public MSP multiples compressed roughly 35% between H1 2021 and H2 2024 [21].</w:t>
      </w:r>
    </w:p>
    <w:p>
      <w:r>
        <w:t>The counter-evidence is real, and Section 12 gives it full weight. MIT research found 95% of enterprise generative-AI pilots return nothing — and that externally partnered deployments succeed at twice the rate of internal builds [17]. Gartner expects over 40% of agentic-AI projects to be cancelled by the end of 2027 [7], and reports that 72% of CIOs are breaking even or losing money on AI [8]. Small and mid-sized businesses remain deeply dependent on outsourced IT [45], recurring revenue is sticky, and IDC research commissioned by Microsoft still sizes partner services revenue at US$8.45 for every Microsoft dollar [18]. Disruption will be neither instant nor evenly distributed. But none of this rescues the specific revenue lines the traditional model depends on; it defines the destination a transformed MSP must reach — AI deployment, security outcomes and governance — and confirms that customers will pay partners to take them there.</w:t>
      </w:r>
    </w:p>
    <w:p>
      <w:r>
        <w:t>On the evidence assembled here, the report's base case — a judgement derived from the cited data, not a published forecast — is that by 2030 roughly one in five of today's MSPs completes a genuine transformation into a security- and AI-centred outcomes business; a third or more are consolidated into private-equity-backed platforms (M&amp;A ran at 92 MSP acquisitions in Q2 2025 alone, and Canalys expects deal volume up roughly 45% [1][2]); and the remainder either stagnate as lifestyle businesses with eroding margins and shrinking exit value, or leave the market.</w:t>
      </w:r>
    </w:p>
    <w:p>
      <w:r>
        <w:t>For the owner of a conventional MSP the practical conclusion is not to panic, and not to wait. The window for repositioning — while valuations for quality assets remain strong, while the AI-deployment services opportunity is still under-served, and before per-user pricing erodes further — is most plausibly 12 to 24 months. Section 10 sets out the transformation framework and Section 11 the recommended sequence of actions.</w:t>
      </w:r>
    </w:p>
    <w:p>
      <w:r>
        <w:br w:type="page"/>
      </w:r>
    </w:p>
    <w:p>
      <w:pPr>
        <w:pStyle w:val="Heading1"/>
      </w:pPr>
      <w:r>
        <w:t>2. Research Methodology</w:t>
      </w:r>
    </w:p>
    <w:p>
      <w:r>
        <w:t>The research question was deliberately framed as falsifiable: does the available evidence support, qualify, or refute the thesis that the traditional MSP/TSP operating model becomes economically and strategically unsustainable within three to ten years? Three parallel research streams were run: (a) MSP market economics, profitability benchmarks, labour economics and M&amp;A valuations; (b) AI and agentic automation, Microsoft strategy and hyperscaler disintermediation; and (c) managed security, customer buying behaviour and historical platform-shift precedents. Findings were then tested against each other and against explicit counter-hypotheses.</w:t>
      </w:r>
    </w:p>
    <w:p>
      <w:r>
        <w:t>Sources were prioritised in tiers, summarised in the table below. Government statistics, regulatory texts and company filings anchor the labour, compliance and financial-history claims. Independent analyst houses — Gartner, Canalys, ISG, IDC, Omdia, McKinsey, Deloitte and the Service Leadership Index — anchor market sizing, growth and profitability benchmarks. Vendor primary sources (Microsoft investor relations, Microsoft Learn and official blogs, AWS, CrowdStrike, Palo Alto Networks, Klarna) are used for strategy, product capability and adoption claims, and are flagged as vendor-reported wherever the figure is self-declared. Vendor-commissioned research and vendor surveys are used only directionally and are labelled as such.</w:t>
      </w:r>
    </w:p>
    <w:tbl>
      <w:tblPr>
        <w:tblStyle w:val="LightShading-Accent1"/>
        <w:tblW w:w="5000" w:type="pct"/>
        <w:tblLayout w:type="fixed"/>
        <w:tblLook w:val="04A0" w:firstRow="1" w:lastRow="0" w:firstColumn="1" w:lastColumn="0" w:noHBand="0" w:noVBand="1"/>
      </w:tblPr>
      <w:tblGrid>
        <w:gridCol w:w="2200"/>
        <w:gridCol w:w="3600"/>
        <w:gridCol w:w="2840"/>
      </w:tblGrid>
      <w:tr>
        <w:tc>
          <w:tcPr>
            <w:tcW w:w="2200" w:type="dxa"/>
          </w:tcPr>
          <w:p>
            <w:r>
              <w:t>Tier</w:t>
            </w:r>
          </w:p>
        </w:tc>
        <w:tc>
          <w:tcPr>
            <w:tcW w:w="3600" w:type="dxa"/>
          </w:tcPr>
          <w:p>
            <w:r>
              <w:t>Sources</w:t>
            </w:r>
          </w:p>
        </w:tc>
        <w:tc>
          <w:tcPr>
            <w:tcW w:w="2840" w:type="dxa"/>
          </w:tcPr>
          <w:p>
            <w:r>
              <w:t>Use in this report</w:t>
            </w:r>
          </w:p>
        </w:tc>
      </w:tr>
      <w:tr>
        <w:tc>
          <w:tcPr>
            <w:tcW w:w="2200" w:type="dxa"/>
          </w:tcPr>
          <w:p>
            <w:r>
              <w:t>Tier 1 — Government, regulators, filings</w:t>
            </w:r>
          </w:p>
        </w:tc>
        <w:tc>
          <w:tcPr>
            <w:tcW w:w="3600" w:type="dxa"/>
          </w:tcPr>
          <w:p>
            <w:r>
              <w:t>US BLS, SEC, Australian Signals Directorate, company 10-K filings, S&amp;P Global market data</w:t>
            </w:r>
          </w:p>
        </w:tc>
        <w:tc>
          <w:tcPr>
            <w:tcW w:w="2840" w:type="dxa"/>
          </w:tcPr>
          <w:p>
            <w:r>
              <w:t>Anchor labour, regulatory and financial-history claims</w:t>
            </w:r>
          </w:p>
        </w:tc>
      </w:tr>
      <w:tr>
        <w:tc>
          <w:tcPr>
            <w:tcW w:w="2200" w:type="dxa"/>
          </w:tcPr>
          <w:p>
            <w:r>
              <w:t>Tier 2 — Independent analysts and research</w:t>
            </w:r>
          </w:p>
        </w:tc>
        <w:tc>
          <w:tcPr>
            <w:tcW w:w="3600" w:type="dxa"/>
          </w:tcPr>
          <w:p>
            <w:r>
              <w:t>Gartner, Canalys, ISG, Omdia, McKinsey, Deloitte, WEF, MIT, Service Leadership Index, Aventis Advisors</w:t>
            </w:r>
          </w:p>
        </w:tc>
        <w:tc>
          <w:tcPr>
            <w:tcW w:w="2840" w:type="dxa"/>
          </w:tcPr>
          <w:p>
            <w:r>
              <w:t>Anchor market sizing, growth, profitability and valuation benchmarks</w:t>
            </w:r>
          </w:p>
        </w:tc>
      </w:tr>
      <w:tr>
        <w:tc>
          <w:tcPr>
            <w:tcW w:w="2200" w:type="dxa"/>
          </w:tcPr>
          <w:p>
            <w:r>
              <w:t>Tier 3 — Vendor primary</w:t>
            </w:r>
          </w:p>
        </w:tc>
        <w:tc>
          <w:tcPr>
            <w:tcW w:w="3600" w:type="dxa"/>
          </w:tcPr>
          <w:p>
            <w:r>
              <w:t>Microsoft investor relations, Microsoft Learn and official blogs, AWS, CrowdStrike, Palo Alto Networks, Klarna</w:t>
            </w:r>
          </w:p>
        </w:tc>
        <w:tc>
          <w:tcPr>
            <w:tcW w:w="2840" w:type="dxa"/>
          </w:tcPr>
          <w:p>
            <w:r>
              <w:t>Strategy, product and adoption claims; flagged as vendor-reported where self-declared</w:t>
            </w:r>
          </w:p>
        </w:tc>
      </w:tr>
      <w:tr>
        <w:tc>
          <w:tcPr>
            <w:tcW w:w="2200" w:type="dxa"/>
          </w:tcPr>
          <w:p>
            <w:r>
              <w:t>Tier 4 — Vendor-commissioned and surveys</w:t>
            </w:r>
          </w:p>
        </w:tc>
        <w:tc>
          <w:tcPr>
            <w:tcW w:w="3600" w:type="dxa"/>
          </w:tcPr>
          <w:p>
            <w:r>
              <w:t>IDC partner-economics study (Microsoft-commissioned), Kaseya and Datto surveys, Forrester TEI studies</w:t>
            </w:r>
          </w:p>
        </w:tc>
        <w:tc>
          <w:tcPr>
            <w:tcW w:w="2840" w:type="dxa"/>
          </w:tcPr>
          <w:p>
            <w:r>
              <w:t>Directional use only; flagged inline</w:t>
            </w:r>
          </w:p>
        </w:tc>
      </w:tr>
      <w:tr>
        <w:tc>
          <w:tcPr>
            <w:tcW w:w="2200" w:type="dxa"/>
          </w:tcPr>
          <w:p>
            <w:r>
              <w:t>Rejected</w:t>
            </w:r>
          </w:p>
        </w:tc>
        <w:tc>
          <w:tcPr>
            <w:tcW w:w="3600" w:type="dxa"/>
          </w:tcPr>
          <w:p>
            <w:r>
              <w:t>Market-research mills with divergent sizing; unsupported marketing claims</w:t>
            </w:r>
          </w:p>
        </w:tc>
        <w:tc>
          <w:tcPr>
            <w:tcW w:w="2840" w:type="dxa"/>
          </w:tcPr>
          <w:p>
            <w:r>
              <w:t>Excluded from all findings</w:t>
            </w:r>
          </w:p>
        </w:tc>
      </w:tr>
    </w:tbl>
    <w:p>
      <w:r>
        <w:t>Every material statistic in this report carries a bracketed reference to the numbered source list in Section 14, and load-bearing claims name the source and date inline. Where a widely repeated industry claim could not be verified against a primary source, it has been either excluded or explicitly flagged. Examples: the often-quoted "150,000 MSPs worldwide" is contradicted by Canalys data indicating roughly 335,000–341,000 partners delivering managed services and is not used [1][2]; MetricNet's per-ticket dollar benchmarks sit behind membership and are cited only qualitatively [59]; one vendor's claim that "65% of partners won't survive" was rejected as unsupported marketing. Divergent market-sizing from low-trust research mills (estimates for the same market ranged from US$270 billion to US$970 billion) was discarded in favour of Canalys.</w:t>
      </w:r>
    </w:p>
    <w:p>
      <w:r>
        <w:t>The analysis applied a competing-hypotheses test to three candidate conclusions: H1, the traditional model is becoming unsustainable; H2, the model is healthy and resilient; H3, the industry is bifurcating — the legacy variant fails while adaptive providers thrive. As Sections 5 to 9 show, H3 is the only hypothesis consistent with all of the assembled evidence: it explains simultaneous market growth and operator distress, premium and discounted valuations, and AI acting as both threat and opportunity.</w:t>
      </w:r>
    </w:p>
    <w:p>
      <w:r>
        <w:t>Two limitations should be kept in view. First, several headline figures are forecasts (Gartner's 2029 and 2030 predictions, WEF's 2030 outlook); they quantify a direction of travel, not a measured outcome, and this report treats them accordingly. Second, projections beyond roughly 2030 are inherently speculative; the financial scenarios in Section 6 are labelled illustrative and their assumptions are disclosed so a reader can adjust them.</w:t>
      </w:r>
    </w:p>
    <w:p>
      <w:r>
        <w:br w:type="page"/>
      </w:r>
    </w:p>
    <w:p>
      <w:pPr>
        <w:pStyle w:val="Heading1"/>
      </w:pPr>
      <w:r>
        <w:t>3. Key Findings</w:t>
      </w:r>
    </w:p>
    <w:p>
      <w:r>
        <w:t>Ten findings carry the weight of this report. Each is developed, with its evidence, in Sections 5 to 9.</w:t>
      </w:r>
    </w:p>
    <w:p>
      <w:pPr>
        <w:numPr>
          <w:ilvl w:val="0"/>
          <w:numId w:val="992"/>
        </w:numPr>
      </w:pPr>
      <w:r>
        <w:t>The market grows while the traditional operator stalls. Managed services revenue passed ~US$500 billion in 2024 (+9.7%) and was forecast to reach ~US$595 billion in 2025 (+13%), yet average organic managed-services growth fell to 1.0% in Q4 2024 — 0.2% in North America — and the provider count is flat to declining [1][2][4].</w:t>
      </w:r>
    </w:p>
    <w:p>
      <w:pPr>
        <w:numPr>
          <w:ilvl w:val="0"/>
          <w:numId w:val="992"/>
        </w:numPr>
      </w:pPr>
      <w:r>
        <w:t>Profitability has bifurcated. Average MSP adjusted EBITDA was 11.1% in Q4 2024 and 18% of MSPs ran at a loss; focused providers earn 15–30% EBITDA against ~7% for unfocused generalists, and best-in-class operators have held 19%+ for six consecutive years [1][4][5].</w:t>
      </w:r>
    </w:p>
    <w:p>
      <w:pPr>
        <w:numPr>
          <w:ilvl w:val="0"/>
          <w:numId w:val="992"/>
        </w:numPr>
      </w:pPr>
      <w:r>
        <w:t>The labour the model resells is shrinking. The US Bureau of Labor Statistics projects computer-support-specialist employment to decline about 3% from 2024 to 2034 (user-support roles −4%), explicitly because organisations "continue to implement automated tools, such as chatbots, for troubleshooting" [45].</w:t>
      </w:r>
    </w:p>
    <w:p>
      <w:pPr>
        <w:numPr>
          <w:ilvl w:val="0"/>
          <w:numId w:val="992"/>
        </w:numPr>
      </w:pPr>
      <w:r>
        <w:t>AI automation of support is measured, not hypothetical. Klarna's assistant handled two-thirds of customer-service chats in its first month — the work of roughly 700 agents — before the company partially reversed course on quality grounds; Gartner predicts agentic AI will autonomously resolve 80% of common customer-service issues by 2029 and that 25% of IT work will be done by AI alone by 2030 [6][8][39][40].</w:t>
      </w:r>
    </w:p>
    <w:p>
      <w:pPr>
        <w:numPr>
          <w:ilvl w:val="0"/>
          <w:numId w:val="992"/>
        </w:numPr>
      </w:pPr>
      <w:r>
        <w:t>Microsoft is productising the work MSPs bill for. Windows Autopatch targets 95% of devices updated by their compliance date; the Intune Suite ships remote help; Security Copilot agents triage phishing and expedite patching; Defender Experts for XDR is Microsoft's own managed detection and response; and Microsoft 365 E5 now includes Security Copilot at no additional cost [27][30][32][33][34].</w:t>
      </w:r>
    </w:p>
    <w:p>
      <w:pPr>
        <w:numPr>
          <w:ilvl w:val="0"/>
          <w:numId w:val="992"/>
        </w:numPr>
      </w:pPr>
      <w:r>
        <w:t>Flat licensing-resale margin is being structurally withdrawn. Microsoft has imposed a US$1 million minimum for direct-bill CSP partners, cuts partner margin 5% on legacy SKUs from October 2026, and retires flat run-rate rebates in FY27 — while raising incentive ceilings to 19.5% only on premium, security and AI-rich products [57][58].</w:t>
      </w:r>
    </w:p>
    <w:p>
      <w:pPr>
        <w:numPr>
          <w:ilvl w:val="0"/>
          <w:numId w:val="992"/>
        </w:numPr>
      </w:pPr>
      <w:r>
        <w:t>Buyers are re-pricing labour into outcomes. As-a-service contract value grew +18% in 2024 against +1.6% for managed services (ISG) — roughly a ten-to-one growth gap — and per-outcome pricing models (such as Zendesk's per-resolution charging) directly undercut per-user economics [12][13][61].</w:t>
      </w:r>
    </w:p>
    <w:p>
      <w:pPr>
        <w:numPr>
          <w:ilvl w:val="0"/>
          <w:numId w:val="992"/>
        </w:numPr>
      </w:pPr>
      <w:r>
        <w:t>Security is the growth engine of IT services. Security services outgrow the broader IT-services line ($77.1B → $92.8B, 2024–2026), cybersecurity managed services grew ~15%, MDR is projected at a 23.5% CAGR to 2030, and ransomware appeared in 88% of SMB breaches — while regulation and cyber insurance make managed security non-optional [9][20][42].</w:t>
      </w:r>
    </w:p>
    <w:p>
      <w:pPr>
        <w:numPr>
          <w:ilvl w:val="0"/>
          <w:numId w:val="992"/>
        </w:numPr>
      </w:pPr>
      <w:r>
        <w:t>The valuation market has already priced the thesis. Sub-US$5 million MSP deals clear at ~5x EBITDA against ~11x for scaled platforms; public MSP multiples compressed from 17.5x (H1 2021) to 11.4x (H2 2024); consolidation is running at ~92 acquisitions a quarter and accelerating [1][21].</w:t>
      </w:r>
    </w:p>
    <w:p>
      <w:pPr>
        <w:numPr>
          <w:ilvl w:val="0"/>
          <w:numId w:val="992"/>
        </w:numPr>
      </w:pPr>
      <w:r>
        <w:t>History rhymes. DXC's revenue fell ~42% over eight years; Rackspace's market value fell ~75% after relisting; US travel-agent employment fell ~70% in two decades; Blockbuster went from US$5.9 billion in revenue to bankruptcy in six years. Survivors of platform shifts — Accenture, Rackspace, Kyndryl — moved up-stack and shed the commodity layer [46][50][52][56][60].</w:t>
      </w:r>
    </w:p>
    <w:p>
      <w:r>
        <w:br w:type="page"/>
      </w:r>
    </w:p>
    <w:p>
      <w:pPr>
        <w:pStyle w:val="Heading1"/>
      </w:pPr>
      <w:r>
        <w:t>4. Evidence and Source Citations</w:t>
      </w:r>
    </w:p>
    <w:p>
      <w:r>
        <w:t>Citation convention. Bracketed numbers throughout this report refer to the complete reference list in Section 14, which records each source's publisher, title, date and URL. Load-bearing statistics also name their source inline. Confidence gradings reflect two tests: the independence of the source (government or filing, independent analyst, vendor primary, vendor-commissioned) and whether the claim was corroborated by at least one unrelated source.</w:t>
      </w:r>
    </w:p>
    <w:p>
      <w:r>
        <w:t>The table below grades the report's headline claims. Readers conducting diligence should weight HIGH-confidence rows most heavily; MEDIUM rows are directionally reliable but rest on a single analyst estimate or a vendor-reported figure; flagged rows should not be quoted without their caveat.</w:t>
      </w:r>
    </w:p>
    <w:tbl>
      <w:tblPr>
        <w:tblStyle w:val="LightShading-Accent1"/>
        <w:tblW w:w="5000" w:type="pct"/>
        <w:tblLayout w:type="fixed"/>
        <w:tblLook w:val="04A0" w:firstRow="1" w:lastRow="0" w:firstColumn="1" w:lastColumn="0" w:noHBand="0" w:noVBand="1"/>
      </w:tblPr>
      <w:tblGrid>
        <w:gridCol w:w="4300"/>
        <w:gridCol w:w="2200"/>
        <w:gridCol w:w="2140"/>
      </w:tblGrid>
      <w:tr>
        <w:trPr>
          <w:tblHeader/>
        </w:trPr>
        <w:tc>
          <w:tcPr>
            <w:tcW w:w="4300" w:type="dxa"/>
          </w:tcPr>
          <w:p>
            <w:r>
              <w:t>Headline claim</w:t>
            </w:r>
          </w:p>
        </w:tc>
        <w:tc>
          <w:tcPr>
            <w:tcW w:w="2200" w:type="dxa"/>
          </w:tcPr>
          <w:p>
            <w:r>
              <w:t>Source</w:t>
            </w:r>
          </w:p>
        </w:tc>
        <w:tc>
          <w:tcPr>
            <w:tcW w:w="2140" w:type="dxa"/>
          </w:tcPr>
          <w:p>
            <w:r>
              <w:t>Confidence</w:t>
            </w:r>
          </w:p>
        </w:tc>
      </w:tr>
      <w:tr>
        <w:tc>
          <w:tcPr>
            <w:tcW w:w="4300" w:type="dxa"/>
          </w:tcPr>
          <w:p>
            <w:r>
              <w:t>Managed services ~US$500B in 2024 (+9.7%); ~US$595B forecast 2025 (+13%)</w:t>
            </w:r>
          </w:p>
        </w:tc>
        <w:tc>
          <w:tcPr>
            <w:tcW w:w="2200" w:type="dxa"/>
          </w:tcPr>
          <w:p>
            <w:r>
              <w:t>Canalys [1][2]</w:t>
            </w:r>
          </w:p>
        </w:tc>
        <w:tc>
          <w:tcPr>
            <w:tcW w:w="2140" w:type="dxa"/>
          </w:tcPr>
          <w:p>
            <w:r>
              <w:t>High</w:t>
            </w:r>
          </w:p>
        </w:tc>
      </w:tr>
      <w:tr>
        <w:tc>
          <w:tcPr>
            <w:tcW w:w="4300" w:type="dxa"/>
          </w:tcPr>
          <w:p>
            <w:r>
              <w:t>Average MSP EBITDA 11.1%; 18% loss-making; organic growth 1.0% (Q4 2024)</w:t>
            </w:r>
          </w:p>
        </w:tc>
        <w:tc>
          <w:tcPr>
            <w:tcW w:w="2200" w:type="dxa"/>
          </w:tcPr>
          <w:p>
            <w:r>
              <w:t>Service Leadership Index [4]</w:t>
            </w:r>
          </w:p>
        </w:tc>
        <w:tc>
          <w:tcPr>
            <w:tcW w:w="2140" w:type="dxa"/>
          </w:tcPr>
          <w:p>
            <w:r>
              <w:t>Medium-high (industry-standard benchmark; ConnectWise-owned)</w:t>
            </w:r>
          </w:p>
        </w:tc>
      </w:tr>
      <w:tr>
        <w:tc>
          <w:tcPr>
            <w:tcW w:w="4300" w:type="dxa"/>
          </w:tcPr>
          <w:p>
            <w:r>
              <w:t>Focused MSPs earn 15–30% EBITDA against ~7% for unfocused generalists</w:t>
            </w:r>
          </w:p>
        </w:tc>
        <w:tc>
          <w:tcPr>
            <w:tcW w:w="2200" w:type="dxa"/>
          </w:tcPr>
          <w:p>
            <w:r>
              <w:t>Canalys [1]</w:t>
            </w:r>
          </w:p>
        </w:tc>
        <w:tc>
          <w:tcPr>
            <w:tcW w:w="2140" w:type="dxa"/>
          </w:tcPr>
          <w:p>
            <w:r>
              <w:t>Medium-high</w:t>
            </w:r>
          </w:p>
        </w:tc>
      </w:tr>
      <w:tr>
        <w:tc>
          <w:tcPr>
            <w:tcW w:w="4300" w:type="dxa"/>
          </w:tcPr>
          <w:p>
            <w:r>
              <w:t>US support-specialist employment projected to decline 2024–34, citing chatbots</w:t>
            </w:r>
          </w:p>
        </w:tc>
        <w:tc>
          <w:tcPr>
            <w:tcW w:w="2200" w:type="dxa"/>
          </w:tcPr>
          <w:p>
            <w:r>
              <w:t>US BLS [45]</w:t>
            </w:r>
          </w:p>
        </w:tc>
        <w:tc>
          <w:tcPr>
            <w:tcW w:w="2140" w:type="dxa"/>
          </w:tcPr>
          <w:p>
            <w:r>
              <w:t>High (government)</w:t>
            </w:r>
          </w:p>
        </w:tc>
      </w:tr>
      <w:tr>
        <w:tc>
          <w:tcPr>
            <w:tcW w:w="4300" w:type="dxa"/>
          </w:tcPr>
          <w:p>
            <w:r>
              <w:t>Agentic AI to autonomously resolve 80% of common service issues by 2029</w:t>
            </w:r>
          </w:p>
        </w:tc>
        <w:tc>
          <w:tcPr>
            <w:tcW w:w="2200" w:type="dxa"/>
          </w:tcPr>
          <w:p>
            <w:r>
              <w:t>Gartner [6]</w:t>
            </w:r>
          </w:p>
        </w:tc>
        <w:tc>
          <w:tcPr>
            <w:tcW w:w="2140" w:type="dxa"/>
          </w:tcPr>
          <w:p>
            <w:r>
              <w:t>High as a forecast; not a measurement</w:t>
            </w:r>
          </w:p>
        </w:tc>
      </w:tr>
      <w:tr>
        <w:tc>
          <w:tcPr>
            <w:tcW w:w="4300" w:type="dxa"/>
          </w:tcPr>
          <w:p>
            <w:r>
              <w:t>95% of enterprise GenAI pilots return zero; partnered deployments succeed at twice the rate</w:t>
            </w:r>
          </w:p>
        </w:tc>
        <w:tc>
          <w:tcPr>
            <w:tcW w:w="2200" w:type="dxa"/>
          </w:tcPr>
          <w:p>
            <w:r>
              <w:t>MIT NANDA [17]</w:t>
            </w:r>
          </w:p>
        </w:tc>
        <w:tc>
          <w:tcPr>
            <w:tcW w:w="2140" w:type="dxa"/>
          </w:tcPr>
          <w:p>
            <w:r>
              <w:t>High</w:t>
            </w:r>
          </w:p>
        </w:tc>
      </w:tr>
      <w:tr>
        <w:tc>
          <w:tcPr>
            <w:tcW w:w="4300" w:type="dxa"/>
          </w:tcPr>
          <w:p>
            <w:r>
              <w:t>MSP deal multiples ~5x under US$5M vs 11.2x at US$500M+; public comps 17.5x → 11.4x</w:t>
            </w:r>
          </w:p>
        </w:tc>
        <w:tc>
          <w:tcPr>
            <w:tcW w:w="2200" w:type="dxa"/>
          </w:tcPr>
          <w:p>
            <w:r>
              <w:t>Aventis Advisors [21]</w:t>
            </w:r>
          </w:p>
        </w:tc>
        <w:tc>
          <w:tcPr>
            <w:tcW w:w="2140" w:type="dxa"/>
          </w:tcPr>
          <w:p>
            <w:r>
              <w:t>Medium-high</w:t>
            </w:r>
          </w:p>
        </w:tc>
      </w:tr>
      <w:tr>
        <w:tc>
          <w:tcPr>
            <w:tcW w:w="4300" w:type="dxa"/>
          </w:tcPr>
          <w:p>
            <w:r>
              <w:t>CSP changes: US$1M direct-bill floor; 5% legacy margin cut from Oct 2026; flat rebates retired FY27</w:t>
            </w:r>
          </w:p>
        </w:tc>
        <w:tc>
          <w:tcPr>
            <w:tcW w:w="2200" w:type="dxa"/>
          </w:tcPr>
          <w:p>
            <w:r>
              <w:t>ARN [57]; ChangePilot [58]</w:t>
            </w:r>
          </w:p>
        </w:tc>
        <w:tc>
          <w:tcPr>
            <w:tcW w:w="2140" w:type="dxa"/>
          </w:tcPr>
          <w:p>
            <w:r>
              <w:t>Medium-high on direction; low on exact percentages</w:t>
            </w:r>
          </w:p>
        </w:tc>
      </w:tr>
      <w:tr>
        <w:tc>
          <w:tcPr>
            <w:tcW w:w="4300" w:type="dxa"/>
          </w:tcPr>
          <w:p>
            <w:r>
              <w:t>As-a-service contract value +18% in 2024 vs +1.6% for managed services</w:t>
            </w:r>
          </w:p>
        </w:tc>
        <w:tc>
          <w:tcPr>
            <w:tcW w:w="2200" w:type="dxa"/>
          </w:tcPr>
          <w:p>
            <w:r>
              <w:t>ISG [12][13]</w:t>
            </w:r>
          </w:p>
        </w:tc>
        <w:tc>
          <w:tcPr>
            <w:tcW w:w="2140" w:type="dxa"/>
          </w:tcPr>
          <w:p>
            <w:r>
              <w:t>High</w:t>
            </w:r>
          </w:p>
        </w:tc>
      </w:tr>
      <w:tr>
        <w:tc>
          <w:tcPr>
            <w:tcW w:w="4300" w:type="dxa"/>
          </w:tcPr>
          <w:p>
            <w:r>
              <w:t>Security services US$77.1B → US$92.8B (2024–26); ransomware in 88% of SMB breaches</w:t>
            </w:r>
          </w:p>
        </w:tc>
        <w:tc>
          <w:tcPr>
            <w:tcW w:w="2200" w:type="dxa"/>
          </w:tcPr>
          <w:p>
            <w:r>
              <w:t>Gartner [9]; Verizon DBIR [42]</w:t>
            </w:r>
          </w:p>
        </w:tc>
        <w:tc>
          <w:tcPr>
            <w:tcW w:w="2140" w:type="dxa"/>
          </w:tcPr>
          <w:p>
            <w:r>
              <w:t>High</w:t>
            </w:r>
          </w:p>
        </w:tc>
      </w:tr>
    </w:tbl>
    <w:p>
      <w:r>
        <w:t>Claims this research could not verify, and which are therefore not relied upon anywhere in this report: precise MetricNet cost-per-ticket dollar figures (membership-gated; only the qualitative labour-cost structure is cited); the "150,000 MSPs worldwide" figure (contradicted by Canalys); a clean historical time series of CSP resale margins (only the documented direction and the specific FY26/FY27 changes are cited); exact gross-margin-by-service-line percentages (secondary sources only; used as direction, not as precise values); whether Gartner's 2021 projection that half of organisations would use MDR by 2025 was actually attained; and Australia-specific managed-services market sizing in dollars, where estimates diverge by a factor of two to three.</w:t>
      </w:r>
    </w:p>
    <w:p>
      <w:r>
        <w:br w:type="page"/>
      </w:r>
    </w:p>
    <w:p>
      <w:pPr>
        <w:pStyle w:val="Heading1"/>
      </w:pPr>
      <w:r>
        <w:t>5. Market Analysis</w:t>
      </w:r>
    </w:p>
    <w:p>
      <w:pPr>
        <w:pStyle w:val="Heading2"/>
      </w:pPr>
      <w:r>
        <w:t>5.1 A growing market that is leaving traditional operators behind</w:t>
      </w:r>
    </w:p>
    <w:p>
      <w:r>
        <w:t>The managed services market is not shrinking — that is precisely what makes the traditional operator's position dangerous to misread. Canalys data put global managed services revenue above US$500 billion in 2024, up 9.7% year on year, with 2025 forecast to grow 13% to nearly US$595 billion, led by Asia-Pacific at roughly 15% [1][2]. The provider population, however, is flat: roughly 335,000 partners delivered managed services in 2024, with the count shrinking slightly even as revenue expanded — revenue is concentrating upward into fewer, larger, more specialised hands [1][2].</w:t>
      </w:r>
    </w:p>
    <w:p>
      <w:r>
        <w:t>Underneath the headline growth, the Service Leadership Index — the industry's standard 21-year profitability benchmark, now owned by ConnectWise — recorded worldwide organic managed-services revenue growth of just 1.0% in Q4 2024, the lowest of the year, with North America at 0.2%, Europe at 2.5% and ANZ leading at 2.8% [4]. Average adjusted EBITDA fell from 12.2% to 11.1% in the quarter, and the share of loss-making MSPs rose from 14% to 18% [4]. The divergence between a 13%-growth market and a 1%-growth average operator is the single most important structural fact in this report: the growth is real, and it is going to somebody else.</w:t>
      </w:r>
    </w:p>
    <w:p>
      <w:r>
        <w:t>Who it is going to is equally well documented. Canalys attributes 15–30% EBITDA to focused, specialised MSPs against roughly 7% for unfocused generalists [1]. Service Leadership's 2026 annual report shows best-in-class providers holding 19%+ adjusted EBITDA for a sixth consecutive year, with 2025 revenue growth rebounding to 9.6% and EBITDA growing 17.1% — evidence that well-run, specialised providers are compounding while the median stalls [5]. The chart below summarises where growth now sits by service category.</w:t>
      </w:r>
    </w:p>
    <w:p>
      <w:r>
        <w:drawing>
          <wp:inline>
            <wp:extent cx="5486400" cy="2804160"/>
            <wp:docPr id="1" name="image" descr="Horizontal bar chart of annual growth rates: managed services contract value 1.6 percent, overall IT services 6.2 percent, managed services channel 13 percent, security managed services 15 percent, as-a-service 18 percent, MDR market 23.5 percent CAGR."/>
            <n79:graphic>
              <n79:graphicData uri="http://schemas.openxmlformats.org/drawingml/2006/picture">
                <n74:pic>
                  <n74:nvPicPr>
                    <n74:cNvPr id="0" name="image" descr="Horizontal bar chart of annual growth rates: managed services contract value 1.6 percent, overall IT services 6.2 percent, managed services channel 13 percent, security managed services 15 percent, as-a-service 18 percent, MDR market 23.5 percent CAGR."/>
                    <n74:cNvPicPr/>
                  </n74:nvPicPr>
                  <n74:blipFill>
                    <n79:blip r:embed="rId13"/>
                    <n79:stretch>
                      <n79:fillRect/>
                    </n79:stretch>
                  </n74:blipFill>
                  <n74:spPr>
                    <n79:xfrm>
                      <n79:off x="0" y="0"/>
                      <n79:ext cx="5486400" cy="2804160"/>
                    </n79:xfrm>
                    <n79:prstGeom prst="rect">
                      <n79:avLst/>
                    </n79:prstGeom>
                  </n74:spPr>
                </n74:pic>
              </n79:graphicData>
            </n79:graphic>
          </wp:inline>
        </w:drawing>
      </w:r>
    </w:p>
    <w:p>
      <w:pPr>
        <w:pStyle w:val="Heading2"/>
      </w:pPr>
      <w:r>
        <w:t>5.2 The economics of the traditional stack</w:t>
      </w:r>
    </w:p>
    <w:p>
      <w:r>
        <w:t>The traditional MSP profit-and-loss account is a labour ledger. Service-desk research is blunt about this: "service and support is a labor-intensive function… the vast majority of costs for a service desk are personnel related," with cost per ticket driven chiefly by agent utilisation and handle time, and roughly US$12,000 to replace a single departing agent [59]. That labour is simultaneously hard to hire — Kaseya's 2024 benchmark survey of 984 MSPs found technician hiring among the top three challenges and getting more expensive [43] — and, for the first time, shrinking as an occupation: the US BLS projects computer-support-specialist employment to decline through 2034, citing automated troubleshooting tools [45]. A business model that marks up scarce labour was defensible; a business model that marks up labour being automated away is not.</w:t>
      </w:r>
    </w:p>
    <w:p>
      <w:r>
        <w:t>The commodity layers of the stack show the compression first. Project and professional-services gross margins nearly halved in a year, from 23% in Q4 2023 to 12.9% in Q4 2024, on falling utilisation [4]. Per-user and per-device pricing — the industry's dominant commercial construct — is exposed to procurement benchmarking precisely because it prices an input rather than an outcome, a dynamic practitioner commentary calls a "race to the bottom" (flagged as practitioner opinion) [63]. Revenue per employee at even a well-run MSP — commonly estimated at roughly US$100,000–150,000, though only from consultancy benchmarks (indicative only) — is a fraction of a software company's, which is why labour-linear businesses cap out at labour-linear valuations [64].</w:t>
      </w:r>
    </w:p>
    <w:p>
      <w:pPr>
        <w:pStyle w:val="Heading2"/>
      </w:pPr>
      <w:r>
        <w:t>5.3 Security as a managed service: the growth engine, and a rising bar</w:t>
      </w:r>
    </w:p>
    <w:p>
      <w:r>
        <w:t>Security is where the growth the market is generating actually lives. Gartner puts worldwide end-user security spending at US$213 billion in 2025, rising 12.5% to US$240 billion in 2026, with the security-services line alone growing from US$77.1 billion (2024) to a projected US$92.8 billion (2026) — outpacing the broader IT-services segment's +6.2% and +9.0% [9][10]. Canalys sized cybersecurity managed services at ~US$70 billion in 2023, growing ~15% [65], and forecast security-managed services growing 15% within the broader managed-services mix [2]. Managed detection and response (MDR) is the fastest slice: one market estimate projects growth from US$3.5 billion (2023) to US$15.3 billion (2030), a 23.5% CAGR (single-source; directionally corroborated) [20]. Kaseya reports 73% of MSPs saw cybersecurity revenue rise [43].</w:t>
      </w:r>
    </w:p>
    <w:p>
      <w:r>
        <w:t>Demand is structural, not cyclical. IBM puts the global average cost of a data breach at US$4.88 million in 2024, up 10% in a year [41]. Verizon's 2025 Data Breach Investigations Report found ransomware present in 88% of breaches at small and mid-sized organisations, against 39% at large ones — the SMB customer base of the typical MSP is the most exposed segment in the economy [42]. Regulation is converting that exposure into mandatory spend: Australia's Essential Eight maturity requirements for Commonwealth entities, the US CMMC 2.0 regime that became a contract requirement in November 2025, the SEC's four-business-day incident disclosure rule, and the EU's NIS2 directive all pull managed security into the procurement mainstream [47][48][49]. Cyber insurers now require MFA, EDR and tested backups as conditions of cover (insurer/vendor-sourced; flagged) [66]. Gartner projected in 2021 that half of organisations would use MDR services by 2025 — a projection whose attainment could not be verified, but whose direction the spending data confirms [11].</w:t>
      </w:r>
    </w:p>
    <w:p>
      <w:r>
        <w:t>The strategic complication for the traditional MSP is that security demand raises the delivery bar at the same time as it raises the revenue opportunity. Credible MDR requires 24×7 detection and response, threat hunting and identity protection at a scale few generalist MSPs can staff — and the platform vendors themselves now sell the outcome directly: Microsoft's Defender Experts for XDR is an "always-on, AI-accelerated managed detection and response" service natively integrated into the customer's own licensing [33]. Aventis Advisors' deal data shows cybersecurity-capable firms commanding higher multiples while VARs and generalists are discounted [21][22]. The conclusion for Section 10 is direct: security-first providers are positioned to outperform generalists over the decade, but "security-first" means an operating capability, not a reseller line item.</w:t>
      </w:r>
    </w:p>
    <w:p>
      <w:pPr>
        <w:pStyle w:val="Heading2"/>
      </w:pPr>
      <w:r>
        <w:t>5.4 Lessons from adjacent industries</w:t>
      </w:r>
    </w:p>
    <w:p>
      <w:r>
        <w:t>Every previous platform shift produced the same three-act pattern now visible in managed services: the platform absorbs the intermediary's commodity work; margin collapses for those who stay in that layer; and the survivors are those who moved up-stack early. The concrete numbers deserve a sceptical owner's attention, because in each case the incumbents also believed their customer relationships would protect them.</w:t>
      </w:r>
    </w:p>
    <w:p>
      <w:r>
        <w:t>Web hosting is the closest analogue: Rackspace, the category leader, was taken private for US$4.3 billion in 2016 as AWS and Azure absorbed commodity hosting; since relisting in August 2020 its market value has fallen roughly 75%, despite — and while — pivoting to multicloud managed services [50][51]. Legacy system integrators tell the same story at scale: DXC Technology's revenue declined every year from US$21.7 billion (FY2018) to US$12.6 billion (FY2026), a ~42% fall [52]; Kyndryl, IBM's spun-off managed-infrastructure business, shed roughly a fifth of its revenue and stabilised only after deliberately exiting the low-margin contracts that made up about 40% of its book at spin-off [53]. Managed print (Xerox described by Morningstar as in "perpetual decline"; HP printing units down 7.2% in FY2024) shows what a structurally melting annuity looks like [54][55]. Consumer intermediaries show the terminal case: US travel-agent employment fell about 70% between 2000 and 2021 as booking moved to platforms [46], and Blockbuster went from 9,094 stores and US$5.9 billion in revenue in 2004 to bankruptcy in 2010 [60].</w:t>
      </w:r>
    </w:p>
    <w:p>
      <w:r>
        <w:drawing>
          <wp:inline>
            <wp:extent cx="5486400" cy="2682240"/>
            <wp:docPr id="1" name="image" descr="Horizontal bar chart of platform-shift declines: DXC revenue minus 42 percent, Kyndryl revenue minus 22 percent, Rackspace market cap minus 75 percent, US travel-agent employment minus 70 percent, public MSP multiples minus 35 percent."/>
            <n79:graphic>
              <n79:graphicData uri="http://schemas.openxmlformats.org/drawingml/2006/picture">
                <n74:pic>
                  <n74:nvPicPr>
                    <n74:cNvPr id="0" name="image" descr="Horizontal bar chart of platform-shift declines: DXC revenue minus 42 percent, Kyndryl revenue minus 22 percent, Rackspace market cap minus 75 percent, US travel-agent employment minus 70 percent, public MSP multiples minus 35 percent."/>
                    <n74:cNvPicPr/>
                  </n74:nvPicPr>
                  <n74:blipFill>
                    <n79:blip r:embed="rId12"/>
                    <n79:stretch>
                      <n79:fillRect/>
                    </n79:stretch>
                  </n74:blipFill>
                  <n74:spPr>
                    <n79:xfrm>
                      <n79:off x="0" y="0"/>
                      <n79:ext cx="5486400" cy="2682240"/>
                    </n79:xfrm>
                    <n79:prstGeom prst="rect">
                      <n79:avLst/>
                    </n79:prstGeom>
                  </n74:spPr>
                </n74:pic>
              </n79:graphicData>
            </n79:graphic>
          </wp:inline>
        </w:drawing>
      </w:r>
    </w:p>
    <w:p>
      <w:r>
        <w:t>The survivor archetype is equally consistent. Accenture re-mixed toward digital, cloud and AI ahead of demand and booked US$5.9 billion of generative-AI work in FY2025 alone [56]. Rackspace survived by abandoning the layer that made it famous. Kyndryl returned to stability by pruning the commodity book. No documented survivor defended the commoditising layer successfully. The MSP parallel writes itself: per-user help desk, monitoring resale and licensing margin are the commodity layer, and the platform absorbing them is the combination of hyperscaler automation and agentic AI documented in Sections 7 and 8.</w:t>
      </w:r>
    </w:p>
    <w:p>
      <w:pPr>
        <w:pStyle w:val="Heading2"/>
      </w:pPr>
      <w:r>
        <w:t>5.5 Customer buying behaviour: from labour to outcomes</w:t>
      </w:r>
    </w:p>
    <w:p>
      <w:r>
        <w:t>The demand side confirms what the supply side shows. ISG's contract-value data — the broadest independent measure of what enterprises actually sign — recorded managed-services ACV growth of just 1.6% in 2024 ("essentially flat") against +18% for as-a-service, with Q3 2024 showing XaaS up 23% to US$15.8 billion while managed services rose 5%, and hyperscaler ACV up 49% [12][13]. Deloitte's as-a-service research summarises the underlying shift: "enterprise customers want to pay for outcomes of services," not for the inputs that produce them [19].</w:t>
      </w:r>
    </w:p>
    <w:p>
      <w:r>
        <w:t>For the traditional MSP this manifests as commoditisation of the core offer. What acquirers pay premiums for — recurring revenue, retention above 90%, security and cloud depth [21] — is a mirror of what customers will still pay premiums for; conversely, per-user support priced against a market rate card is procured like a utility. Buying behaviour is also migrating up the agenda: boards now ask for AI strategy, security posture and business transformation, and Canalys polling finds 61% of partners struggle to get customer AI projects beyond proof of concept [2][3] — unmet demand sitting exactly where the traditional MSP is not currently selling. The evidence supports a firm conclusion: customers increasingly perceive traditional managed services as a commodity, and the price they will pay for them will behave accordingly.</w:t>
      </w:r>
    </w:p>
    <w:p>
      <w:r>
        <w:br w:type="page"/>
      </w:r>
    </w:p>
    <w:p>
      <w:pPr>
        <w:pStyle w:val="Heading1"/>
      </w:pPr>
      <w:r>
        <w:t>6. Financial Analysis</w:t>
      </w:r>
    </w:p>
    <w:p>
      <w:r>
        <w:t>This section models the economics of a representative US$5 million-revenue traditional MSP and compares its current service mix with a transformed 2030 mix. All model outputs are illustrative scenarios anchored to cited benchmarks — Service Leadership profitability data [4][5], Canalys growth and focus data [1][2], and Aventis Advisors valuation data [21] — with assumptions disclosed so a reader can substitute their own.</w:t>
      </w:r>
    </w:p>
    <w:p>
      <w:pPr>
        <w:pStyle w:val="Heading2"/>
      </w:pPr>
      <w:r>
        <w:t>6.1 The current model: a low-margin labour ledger</w:t>
      </w:r>
    </w:p>
    <w:p>
      <w:r>
        <w:t>The representative current-state mix below reflects the traditional revenue stack: recurring per-user managed services, licensing resale, projects and residual break/fix. Service-line gross margins are directional (per-line splits sit behind paid benchmarks; see Section 4), but the direction is well evidenced — recurring services carry the margin, resale and projects dilute it, and project margins are collapsing [4]. The blended gross margin of this illustrative mix computes to roughly 32%, which at typical overhead produces exactly the 7–11% EBITDA the benchmarks record for average and unfocused operators [1][4].</w:t>
      </w:r>
    </w:p>
    <w:tbl>
      <w:tblPr>
        <w:tblStyle w:val="LightShading-Accent1"/>
        <w:tblW w:w="5000" w:type="pct"/>
        <w:tblLayout w:type="fixed"/>
        <w:tblLook w:val="04A0" w:firstRow="1" w:lastRow="0" w:firstColumn="1" w:lastColumn="0" w:noHBand="0" w:noVBand="1"/>
      </w:tblPr>
      <w:tblGrid>
        <w:gridCol w:w="2500"/>
        <w:gridCol w:w="1300"/>
        <w:gridCol w:w="1500"/>
        <w:gridCol w:w="3340"/>
      </w:tblGrid>
      <w:tr>
        <w:tc>
          <w:tcPr>
            <w:tcW w:w="2500" w:type="dxa"/>
          </w:tcPr>
          <w:p>
            <w:r>
              <w:t>Service line</w:t>
            </w:r>
          </w:p>
        </w:tc>
        <w:tc>
          <w:tcPr>
            <w:tcW w:w="1300" w:type="dxa"/>
          </w:tcPr>
          <w:p>
            <w:r>
              <w:t>Share of revenue</w:t>
            </w:r>
          </w:p>
        </w:tc>
        <w:tc>
          <w:tcPr>
            <w:tcW w:w="1500" w:type="dxa"/>
          </w:tcPr>
          <w:p>
            <w:r>
              <w:t>Indicative gross margin</w:t>
            </w:r>
          </w:p>
        </w:tc>
        <w:tc>
          <w:tcPr>
            <w:tcW w:w="3340" w:type="dxa"/>
          </w:tcPr>
          <w:p>
            <w:r>
              <w:t>Direction and evidence</w:t>
            </w:r>
          </w:p>
        </w:tc>
      </w:tr>
      <w:tr>
        <w:tc>
          <w:tcPr>
            <w:tcW w:w="2500" w:type="dxa"/>
          </w:tcPr>
          <w:p>
            <w:r>
              <w:t>Managed services (per-user / per-device)</w:t>
            </w:r>
          </w:p>
        </w:tc>
        <w:tc>
          <w:tcPr>
            <w:tcW w:w="1300" w:type="dxa"/>
          </w:tcPr>
          <w:p>
            <w:r>
              <w:t>55%</w:t>
            </w:r>
          </w:p>
        </w:tc>
        <w:tc>
          <w:tcPr>
            <w:tcW w:w="1500" w:type="dxa"/>
          </w:tcPr>
          <w:p>
            <w:r>
              <w:t>~45%</w:t>
            </w:r>
          </w:p>
        </w:tc>
        <w:tc>
          <w:tcPr>
            <w:tcW w:w="3340" w:type="dxa"/>
          </w:tcPr>
          <w:p>
            <w:r>
              <w:t>Procurement benchmarking and AI-assisted competition compress renewals [12][63]</w:t>
            </w:r>
          </w:p>
        </w:tc>
      </w:tr>
      <w:tr>
        <w:tc>
          <w:tcPr>
            <w:tcW w:w="2500" w:type="dxa"/>
          </w:tcPr>
          <w:p>
            <w:r>
              <w:t>Licensing and product resale (CSP)</w:t>
            </w:r>
          </w:p>
        </w:tc>
        <w:tc>
          <w:tcPr>
            <w:tcW w:w="1300" w:type="dxa"/>
          </w:tcPr>
          <w:p>
            <w:r>
              <w:t>25%</w:t>
            </w:r>
          </w:p>
        </w:tc>
        <w:tc>
          <w:tcPr>
            <w:tcW w:w="1500" w:type="dxa"/>
          </w:tcPr>
          <w:p>
            <w:r>
              <w:t>~18%</w:t>
            </w:r>
          </w:p>
        </w:tc>
        <w:tc>
          <w:tcPr>
            <w:tcW w:w="3340" w:type="dxa"/>
          </w:tcPr>
          <w:p>
            <w:r>
              <w:t>Margin administratively withdrawn from Oct 2026; flat rebates retired FY27 [57][58]</w:t>
            </w:r>
          </w:p>
        </w:tc>
      </w:tr>
      <w:tr>
        <w:tc>
          <w:tcPr>
            <w:tcW w:w="2500" w:type="dxa"/>
          </w:tcPr>
          <w:p>
            <w:r>
              <w:t>Projects and professional services</w:t>
            </w:r>
          </w:p>
        </w:tc>
        <w:tc>
          <w:tcPr>
            <w:tcW w:w="1300" w:type="dxa"/>
          </w:tcPr>
          <w:p>
            <w:r>
              <w:t>15%</w:t>
            </w:r>
          </w:p>
        </w:tc>
        <w:tc>
          <w:tcPr>
            <w:tcW w:w="1500" w:type="dxa"/>
          </w:tcPr>
          <w:p>
            <w:r>
              <w:t>~13%</w:t>
            </w:r>
          </w:p>
        </w:tc>
        <w:tc>
          <w:tcPr>
            <w:tcW w:w="3340" w:type="dxa"/>
          </w:tcPr>
          <w:p>
            <w:r>
              <w:t>Gross margin halved in one year: 23% → 12.9% [4]</w:t>
            </w:r>
          </w:p>
        </w:tc>
      </w:tr>
      <w:tr>
        <w:tc>
          <w:tcPr>
            <w:tcW w:w="2500" w:type="dxa"/>
          </w:tcPr>
          <w:p>
            <w:r>
              <w:t>Break/fix, hardware, other</w:t>
            </w:r>
          </w:p>
        </w:tc>
        <w:tc>
          <w:tcPr>
            <w:tcW w:w="1300" w:type="dxa"/>
          </w:tcPr>
          <w:p>
            <w:r>
              <w:t>5%</w:t>
            </w:r>
          </w:p>
        </w:tc>
        <w:tc>
          <w:tcPr>
            <w:tcW w:w="1500" w:type="dxa"/>
          </w:tcPr>
          <w:p>
            <w:r>
              <w:t>~20%</w:t>
            </w:r>
          </w:p>
        </w:tc>
        <w:tc>
          <w:tcPr>
            <w:tcW w:w="3340" w:type="dxa"/>
          </w:tcPr>
          <w:p>
            <w:r>
              <w:t>Declining, demand-led [4]</w:t>
            </w:r>
          </w:p>
        </w:tc>
      </w:tr>
      <w:tr>
        <w:tc>
          <w:tcPr>
            <w:tcW w:w="2500" w:type="dxa"/>
          </w:tcPr>
          <w:p>
            <w:r>
              <w:t>Blended gross margin</w:t>
            </w:r>
          </w:p>
        </w:tc>
        <w:tc>
          <w:tcPr>
            <w:tcW w:w="1300" w:type="dxa"/>
          </w:tcPr>
          <w:p>
            <w:r>
              <w:t>100%</w:t>
            </w:r>
          </w:p>
        </w:tc>
        <w:tc>
          <w:tcPr>
            <w:tcW w:w="1500" w:type="dxa"/>
          </w:tcPr>
          <w:p>
            <w:r>
              <w:t>~32%</w:t>
            </w:r>
          </w:p>
        </w:tc>
        <w:tc>
          <w:tcPr>
            <w:tcW w:w="3340" w:type="dxa"/>
          </w:tcPr>
          <w:p>
            <w:r>
              <w:t>Consistent with 7–11% EBITDA at typical overheads [1][4]</w:t>
            </w:r>
          </w:p>
        </w:tc>
      </w:tr>
    </w:tbl>
    <w:p>
      <w:r>
        <w:t>Three pressures now act on every line of that table simultaneously. Per-user managed services face AI-enabled price competition and procurement benchmarking (Sections 5.5 and 8). Licensing resale margin is being administratively withdrawn by Microsoft's CSP changes — a 5% margin cut on legacy SKUs from October 2026 and the retirement of flat run-rate rebates in FY27 [57][58]. Project margins have already halved [4]. A structurally similar business in 2028 earns less on each line than the same business earns today.</w:t>
      </w:r>
    </w:p>
    <w:p>
      <w:pPr>
        <w:pStyle w:val="Heading2"/>
      </w:pPr>
      <w:r>
        <w:t>6.2 The future model: outcomes, security and AI-augmented delivery</w:t>
      </w:r>
    </w:p>
    <w:p>
      <w:r>
        <w:t>The transformed mix reweights revenue toward the categories where growth and pricing power demonstrably sit: managed security (Section 5.3), AI advisory, implementation and governance (Section 8.5), business-process automation and data services, with licensing resale reduced to a residual convenience line. The blended gross margin of the illustrative future mix computes to roughly 55% — not because any single line is exotic, but because every line prices an outcome or a scarce capability rather than commodity labour, and because AI-augmented delivery lowers the labour content of service delivery itself (Microsoft's own randomised controlled trial found novice analysts 26% faster and 44% more accurate with an AI copilot [35]).</w:t>
      </w:r>
    </w:p>
    <w:tbl>
      <w:tblPr>
        <w:tblStyle w:val="LightShading-Accent1"/>
        <w:tblW w:w="5000" w:type="pct"/>
        <w:tblLayout w:type="fixed"/>
        <w:tblLook w:val="04A0" w:firstRow="1" w:lastRow="0" w:firstColumn="1" w:lastColumn="0" w:noHBand="0" w:noVBand="1"/>
      </w:tblPr>
      <w:tblGrid>
        <w:gridCol w:w="2500"/>
        <w:gridCol w:w="1300"/>
        <w:gridCol w:w="1500"/>
        <w:gridCol w:w="3340"/>
      </w:tblGrid>
      <w:tr>
        <w:tc>
          <w:tcPr>
            <w:tcW w:w="2500" w:type="dxa"/>
          </w:tcPr>
          <w:p>
            <w:r>
              <w:t>Service line</w:t>
            </w:r>
          </w:p>
        </w:tc>
        <w:tc>
          <w:tcPr>
            <w:tcW w:w="1300" w:type="dxa"/>
          </w:tcPr>
          <w:p>
            <w:r>
              <w:t>Share of revenue</w:t>
            </w:r>
          </w:p>
        </w:tc>
        <w:tc>
          <w:tcPr>
            <w:tcW w:w="1500" w:type="dxa"/>
          </w:tcPr>
          <w:p>
            <w:r>
              <w:t>Indicative gross margin</w:t>
            </w:r>
          </w:p>
        </w:tc>
        <w:tc>
          <w:tcPr>
            <w:tcW w:w="3340" w:type="dxa"/>
          </w:tcPr>
          <w:p>
            <w:r>
              <w:t>Basis</w:t>
            </w:r>
          </w:p>
        </w:tc>
      </w:tr>
      <w:tr>
        <w:tc>
          <w:tcPr>
            <w:tcW w:w="2500" w:type="dxa"/>
          </w:tcPr>
          <w:p>
            <w:r>
              <w:t>AI-augmented managed services</w:t>
            </w:r>
          </w:p>
        </w:tc>
        <w:tc>
          <w:tcPr>
            <w:tcW w:w="1300" w:type="dxa"/>
          </w:tcPr>
          <w:p>
            <w:r>
              <w:t>30%</w:t>
            </w:r>
          </w:p>
        </w:tc>
        <w:tc>
          <w:tcPr>
            <w:tcW w:w="1500" w:type="dxa"/>
          </w:tcPr>
          <w:p>
            <w:r>
              <w:t>~60%</w:t>
            </w:r>
          </w:p>
        </w:tc>
        <w:tc>
          <w:tcPr>
            <w:tcW w:w="3340" w:type="dxa"/>
          </w:tcPr>
          <w:p>
            <w:r>
              <w:t>Agent-led delivery lowers the labour content of service delivery [30][35][36]</w:t>
            </w:r>
          </w:p>
        </w:tc>
      </w:tr>
      <w:tr>
        <w:tc>
          <w:tcPr>
            <w:tcW w:w="2500" w:type="dxa"/>
          </w:tcPr>
          <w:p>
            <w:r>
              <w:t>Managed security (MDR, identity, compliance)</w:t>
            </w:r>
          </w:p>
        </w:tc>
        <w:tc>
          <w:tcPr>
            <w:tcW w:w="1300" w:type="dxa"/>
          </w:tcPr>
          <w:p>
            <w:r>
              <w:t>30%</w:t>
            </w:r>
          </w:p>
        </w:tc>
        <w:tc>
          <w:tcPr>
            <w:tcW w:w="1500" w:type="dxa"/>
          </w:tcPr>
          <w:p>
            <w:r>
              <w:t>~55%</w:t>
            </w:r>
          </w:p>
        </w:tc>
        <w:tc>
          <w:tcPr>
            <w:tcW w:w="3340" w:type="dxa"/>
          </w:tcPr>
          <w:p>
            <w:r>
              <w:t>Fastest-growing services line; regulated, insurance-driven demand [9][20][42]</w:t>
            </w:r>
          </w:p>
        </w:tc>
      </w:tr>
      <w:tr>
        <w:tc>
          <w:tcPr>
            <w:tcW w:w="2500" w:type="dxa"/>
          </w:tcPr>
          <w:p>
            <w:r>
              <w:t>AI advisory, implementation and governance</w:t>
            </w:r>
          </w:p>
        </w:tc>
        <w:tc>
          <w:tcPr>
            <w:tcW w:w="1300" w:type="dxa"/>
          </w:tcPr>
          <w:p>
            <w:r>
              <w:t>20%</w:t>
            </w:r>
          </w:p>
        </w:tc>
        <w:tc>
          <w:tcPr>
            <w:tcW w:w="1500" w:type="dxa"/>
          </w:tcPr>
          <w:p>
            <w:r>
              <w:t>~60%</w:t>
            </w:r>
          </w:p>
        </w:tc>
        <w:tc>
          <w:tcPr>
            <w:tcW w:w="3340" w:type="dxa"/>
          </w:tcPr>
          <w:p>
            <w:r>
              <w:t>95%-failure deployment gap; partnered deployments succeed at twice the rate [7][17]</w:t>
            </w:r>
          </w:p>
        </w:tc>
      </w:tr>
      <w:tr>
        <w:tc>
          <w:tcPr>
            <w:tcW w:w="2500" w:type="dxa"/>
          </w:tcPr>
          <w:p>
            <w:r>
              <w:t>Data, compliance and automation services</w:t>
            </w:r>
          </w:p>
        </w:tc>
        <w:tc>
          <w:tcPr>
            <w:tcW w:w="1300" w:type="dxa"/>
          </w:tcPr>
          <w:p>
            <w:r>
              <w:t>15%</w:t>
            </w:r>
          </w:p>
        </w:tc>
        <w:tc>
          <w:tcPr>
            <w:tcW w:w="1500" w:type="dxa"/>
          </w:tcPr>
          <w:p>
            <w:r>
              <w:t>~55%</w:t>
            </w:r>
          </w:p>
        </w:tc>
        <w:tc>
          <w:tcPr>
            <w:tcW w:w="3340" w:type="dxa"/>
          </w:tcPr>
          <w:p>
            <w:r>
              <w:t>Prerequisite for AI value; outcome-priced [17][19]</w:t>
            </w:r>
          </w:p>
        </w:tc>
      </w:tr>
      <w:tr>
        <w:tc>
          <w:tcPr>
            <w:tcW w:w="2500" w:type="dxa"/>
          </w:tcPr>
          <w:p>
            <w:r>
              <w:t>Licensing resale (residual)</w:t>
            </w:r>
          </w:p>
        </w:tc>
        <w:tc>
          <w:tcPr>
            <w:tcW w:w="1300" w:type="dxa"/>
          </w:tcPr>
          <w:p>
            <w:r>
              <w:t>5%</w:t>
            </w:r>
          </w:p>
        </w:tc>
        <w:tc>
          <w:tcPr>
            <w:tcW w:w="1500" w:type="dxa"/>
          </w:tcPr>
          <w:p>
            <w:r>
              <w:t>~15%</w:t>
            </w:r>
          </w:p>
        </w:tc>
        <w:tc>
          <w:tcPr>
            <w:tcW w:w="3340" w:type="dxa"/>
          </w:tcPr>
          <w:p>
            <w:r>
              <w:t>Convenience line only [57][58]</w:t>
            </w:r>
          </w:p>
        </w:tc>
      </w:tr>
      <w:tr>
        <w:tc>
          <w:tcPr>
            <w:tcW w:w="2500" w:type="dxa"/>
          </w:tcPr>
          <w:p>
            <w:r>
              <w:t>Blended gross margin</w:t>
            </w:r>
          </w:p>
        </w:tc>
        <w:tc>
          <w:tcPr>
            <w:tcW w:w="1300" w:type="dxa"/>
          </w:tcPr>
          <w:p>
            <w:r>
              <w:t>100%</w:t>
            </w:r>
          </w:p>
        </w:tc>
        <w:tc>
          <w:tcPr>
            <w:tcW w:w="1500" w:type="dxa"/>
          </w:tcPr>
          <w:p>
            <w:r>
              <w:t>~55%</w:t>
            </w:r>
          </w:p>
        </w:tc>
        <w:tc>
          <w:tcPr>
            <w:tcW w:w="3340" w:type="dxa"/>
          </w:tcPr>
          <w:p>
            <w:r>
              <w:t>Supports best-in-class EBITDA economics [5]</w:t>
            </w:r>
          </w:p>
        </w:tc>
      </w:tr>
    </w:tbl>
    <w:p>
      <w:pPr>
        <w:pStyle w:val="Heading2"/>
      </w:pPr>
      <w:r>
        <w:t>6.3 Valuation: the deal market has already priced the thesis</w:t>
      </w:r>
    </w:p>
    <w:p>
      <w:r>
        <w:t>Aventis Advisors' analysis of 120 disclosed MSP transactions puts the median private deal at about 8.9x EV/EBITDA, with a steep size-and-quality curve: businesses under US$5 million in enterprise value clear at roughly 5x, the smallest at 3–4x, while US$500 million-plus platforms reach 11.2x and public comparables sat at 11.4x in H2 2024 — down from 17.5x in H1 2021, a compression of roughly a third [21]. What earns the premium is explicit in the deal data: strong recurring revenue, retention above 90%, and depth in cybersecurity and cloud; what earns the discount is hardware- and project-led revenue and thin-margin resale [21][22].</w:t>
      </w:r>
    </w:p>
    <w:p>
      <w:r>
        <w:drawing>
          <wp:inline>
            <wp:extent cx="5486400" cy="2425566"/>
            <wp:docPr id="1" name="image" descr="Bar charts of MSP EV/EBITDA multiples by deal size, from about 5x under US$5 million to 11.2x above US$500 million, and public MSP multiple compression from 17.5x in H1 2021 to 11.4x in H2 2024."/>
            <n79:graphic>
              <n79:graphicData uri="http://schemas.openxmlformats.org/drawingml/2006/picture">
                <n74:pic>
                  <n74:nvPicPr>
                    <n74:cNvPr id="0" name="image" descr="Bar charts of MSP EV/EBITDA multiples by deal size, from about 5x under US$5 million to 11.2x above US$500 million, and public MSP multiple compression from 17.5x in H1 2021 to 11.4x in H2 2024."/>
                    <n74:cNvPicPr/>
                  </n74:nvPicPr>
                  <n74:blipFill>
                    <n79:blip r:embed="rId11"/>
                    <n79:stretch>
                      <n79:fillRect/>
                    </n79:stretch>
                  </n74:blipFill>
                  <n74:spPr>
                    <n79:xfrm>
                      <n79:off x="0" y="0"/>
                      <n79:ext cx="5486400" cy="2425566"/>
                    </n79:xfrm>
                    <n79:prstGeom prst="rect">
                      <n79:avLst/>
                    </n79:prstGeom>
                  </n74:spPr>
                </n74:pic>
              </n79:graphicData>
            </n79:graphic>
          </wp:inline>
        </w:drawing>
      </w:r>
    </w:p>
    <w:p>
      <w:r>
        <w:t>Consolidation is the mechanism transmitting the thesis into owners' outcomes. Drake Star counted 92 MSP acquisitions in Q2 2025 alone; Canalys forecasts MSP M&amp;A up roughly 45%; and in the segment above US$1 million EBITDA there are consistently more buyers than sellers [1][2][21]. Private equity is arbitraging exactly the gap this report documents: buying sub-scale traditional MSPs at 5x, re-platforming them around security and AI, and holding assets that trade at 10x+. Every year an owner delays transformation, part of that spread transfers from seller to buyer.</w:t>
      </w:r>
    </w:p>
    <w:p>
      <w:pPr>
        <w:pStyle w:val="Heading2"/>
      </w:pPr>
      <w:r>
        <w:t>6.4 Scenario model, 2025–2030: what transformation is worth</w:t>
      </w:r>
    </w:p>
    <w:p>
      <w:r>
        <w:t>The model projects the representative US$5 million MSP (starting at the benchmark 11.1% adjusted EBITDA [4]) down three paths. Bear — status quo: the owner changes nothing; commodity price compression, resale-margin withdrawal and AI-enabled competitors produce slowly declining revenue and eroding margin toward the unfocused-operator floor [1]. Base — partial transformation: security and AI services reach roughly 40% of revenue by 2030, with an investment dip in 2026–27 before margins recover toward the focused-operator band. Bull — aggressive transformation: the full Section 10 framework, with AI-augmented delivery economics, approaching best-in-class benchmarks [5].</w:t>
      </w:r>
    </w:p>
    <w:p>
      <w:r>
        <w:drawing>
          <wp:inline>
            <wp:extent cx="5486400" cy="2425566"/>
            <wp:docPr id="1" name="image" descr="Two line charts showing revenue and EBITDA margin trajectories for a US$5 million MSP from 2025 to 2030 under bear, base and bull scenarios."/>
            <n79:graphic>
              <n79:graphicData uri="http://schemas.openxmlformats.org/drawingml/2006/picture">
                <n74:pic>
                  <n74:nvPicPr>
                    <n74:cNvPr id="0" name="image" descr="Two line charts showing revenue and EBITDA margin trajectories for a US$5 million MSP from 2025 to 2030 under bear, base and bull scenarios."/>
                    <n74:cNvPicPr/>
                  </n74:nvPicPr>
                  <n74:blipFill>
                    <n79:blip r:embed="rId10"/>
                    <n79:stretch>
                      <n79:fillRect/>
                    </n79:stretch>
                  </n74:blipFill>
                  <n74:spPr>
                    <n79:xfrm>
                      <n79:off x="0" y="0"/>
                      <n79:ext cx="5486400" cy="2425566"/>
                    </n79:xfrm>
                    <n79:prstGeom prst="rect">
                      <n79:avLst/>
                    </n79:prstGeom>
                  </n74:spPr>
                </n74:pic>
              </n79:graphicData>
            </n79:graphic>
          </wp:inline>
        </w:drawing>
      </w:r>
    </w:p>
    <w:tbl>
      <w:tblPr>
        <w:tblStyle w:val="LightShading-Accent1"/>
        <w:tblW w:w="5000" w:type="pct"/>
        <w:tblLayout w:type="fixed"/>
        <w:tblLook w:val="04A0" w:firstRow="1" w:lastRow="0" w:firstColumn="1" w:lastColumn="0" w:noHBand="0" w:noVBand="1"/>
      </w:tblPr>
      <w:tblGrid>
        <w:gridCol w:w="1440"/>
        <w:gridCol w:w="1440"/>
        <w:gridCol w:w="1440"/>
        <w:gridCol w:w="1440"/>
        <w:gridCol w:w="1440"/>
        <w:gridCol w:w="1440"/>
      </w:tblGrid>
      <w:tr>
        <w:tc>
          <w:p>
            <w:r>
              <w:t>Scenario</w:t>
            </w:r>
          </w:p>
        </w:tc>
        <w:tc>
          <w:p>
            <w:r>
              <w:t>2030 revenue (US$M)</w:t>
            </w:r>
          </w:p>
        </w:tc>
        <w:tc>
          <w:p>
            <w:r>
              <w:t>2030 EBITDA margin</w:t>
            </w:r>
          </w:p>
        </w:tc>
        <w:tc>
          <w:p>
            <w:r>
              <w:t>2030 EBITDA (US$M)</w:t>
            </w:r>
          </w:p>
        </w:tc>
        <w:tc>
          <w:p>
            <w:r>
              <w:t>Exit multiple</w:t>
            </w:r>
          </w:p>
        </w:tc>
        <w:tc>
          <w:p>
            <w:r>
              <w:t>2030 enterprise value (US$M)</w:t>
            </w:r>
          </w:p>
        </w:tc>
      </w:tr>
      <w:tr>
        <w:tc>
          <w:p>
            <w:r>
              <w:t>Bear — status quo</w:t>
            </w:r>
          </w:p>
        </w:tc>
        <w:tc>
          <w:p>
            <w:r>
              <w:t>4.34</w:t>
            </w:r>
          </w:p>
        </w:tc>
        <w:tc>
          <w:p>
            <w:r>
              <w:t>4.5%</w:t>
            </w:r>
          </w:p>
        </w:tc>
        <w:tc>
          <w:p>
            <w:r>
              <w:t>0.20</w:t>
            </w:r>
          </w:p>
        </w:tc>
        <w:tc>
          <w:p>
            <w:r>
              <w:t>4.0x</w:t>
            </w:r>
          </w:p>
        </w:tc>
        <w:tc>
          <w:p>
            <w:r>
              <w:t>0.8 (−72% vs today)</w:t>
            </w:r>
          </w:p>
        </w:tc>
      </w:tr>
      <w:tr>
        <w:tc>
          <w:p>
            <w:r>
              <w:t>Base — partial transformation</w:t>
            </w:r>
          </w:p>
        </w:tc>
        <w:tc>
          <w:p>
            <w:r>
              <w:t>6.75</w:t>
            </w:r>
          </w:p>
        </w:tc>
        <w:tc>
          <w:p>
            <w:r>
              <w:t>15.0%</w:t>
            </w:r>
          </w:p>
        </w:tc>
        <w:tc>
          <w:p>
            <w:r>
              <w:t>1.01</w:t>
            </w:r>
          </w:p>
        </w:tc>
        <w:tc>
          <w:p>
            <w:r>
              <w:t>7.5x</w:t>
            </w:r>
          </w:p>
        </w:tc>
        <w:tc>
          <w:p>
            <w:r>
              <w:t>7.6 (+168% vs today)</w:t>
            </w:r>
          </w:p>
        </w:tc>
      </w:tr>
      <w:tr>
        <w:tc>
          <w:p>
            <w:r>
              <w:t>Bull — aggressive transformation</w:t>
            </w:r>
          </w:p>
        </w:tc>
        <w:tc>
          <w:p>
            <w:r>
              <w:t>8.34</w:t>
            </w:r>
          </w:p>
        </w:tc>
        <w:tc>
          <w:p>
            <w:r>
              <w:t>21.0%</w:t>
            </w:r>
          </w:p>
        </w:tc>
        <w:tc>
          <w:p>
            <w:r>
              <w:t>1.75</w:t>
            </w:r>
          </w:p>
        </w:tc>
        <w:tc>
          <w:p>
            <w:r>
              <w:t>10.0x</w:t>
            </w:r>
          </w:p>
        </w:tc>
        <w:tc>
          <w:p>
            <w:r>
              <w:t>17.5 (+519% vs today)</w:t>
            </w:r>
          </w:p>
        </w:tc>
      </w:tr>
    </w:tbl>
    <w:p>
      <w:r>
        <w:t>The divergence compounds brutally at the exit. Applying quality-adjusted multiples from the Aventis curve (4x to an eroding commodity book, 7.5x to an improved mix, 10x to a security- and AI-rich platform participant), the same business is worth roughly US$0.8 million, US$7.6 million or US$17.5 million in 2030 — against about US$2.8 million today. The bear case is not a dramatic failure; it is five years of gentle decline that quietly destroys almost three-quarters of the owner's exit value. EBITDA tells the same story: US$0.20 million versus US$1.01 million versus US$1.75 million by 2030 on the same starting business.</w:t>
      </w:r>
    </w:p>
    <w:p>
      <w:r>
        <w:drawing>
          <wp:inline>
            <wp:extent cx="5486400" cy="2710927"/>
            <wp:docPr id="1" name="image" descr="Bar chart comparing illustrative 2030 enterprise values: today's baseline US$2.8 million; bear case US$0.8 million; base case US$7.6 million; bull case US$17.5 million."/>
            <n79:graphic>
              <n79:graphicData uri="http://schemas.openxmlformats.org/drawingml/2006/picture">
                <n74:pic>
                  <n74:nvPicPr>
                    <n74:cNvPr id="0" name="image" descr="Bar chart comparing illustrative 2030 enterprise values: today's baseline US$2.8 million; bear case US$0.8 million; base case US$7.6 million; bull case US$17.5 million."/>
                    <n74:cNvPicPr/>
                  </n74:nvPicPr>
                  <n74:blipFill>
                    <n79:blip r:embed="rId9"/>
                    <n79:stretch>
                      <n79:fillRect/>
                    </n79:stretch>
                  </n74:blipFill>
                  <n74:spPr>
                    <n79:xfrm>
                      <n79:off x="0" y="0"/>
                      <n79:ext cx="5486400" cy="2710927"/>
                    </n79:xfrm>
                    <n79:prstGeom prst="rect">
                      <n79:avLst/>
                    </n79:prstGeom>
                  </n74:spPr>
                </n74:pic>
              </n79:graphicData>
            </n79:graphic>
          </wp:inline>
        </w:drawing>
      </w:r>
    </w:p>
    <w:p>
      <w:pPr>
        <w:pStyle w:val="Heading2"/>
      </w:pPr>
      <w:r>
        <w:t>6.5 Sensitivities</w:t>
      </w:r>
    </w:p>
    <w:p>
      <w:r>
        <w:t>The model is most sensitive to three variables. First, the pace of AI-driven price deflation in commodity support: if agentic AI stalls (Gartner's own 40%-cancellation scenario [7]), the bear case flattens and the window extends — it does not close. Second, who captures AI productivity: if MSPs deploy agents internally faster than customers re-price contracts, AI extends margins (Service Leadership's 2025 best-in-class data suggests exactly this is happening for top performers [5]); if customers re-price first, AI compresses them. Third, transformation execution cost: the base case assumes a 1.5–2 point EBITDA investment dip for two years; owners who cannot fund that dip should weigh the Section 11 guidance on selling into strength.</w:t>
      </w:r>
    </w:p>
    <w:p>
      <w:r>
        <w:br w:type="page"/>
      </w:r>
    </w:p>
    <w:p>
      <w:pPr>
        <w:pStyle w:val="Heading1"/>
      </w:pPr>
      <w:r>
        <w:t>7. Microsoft Strategy Analysis</w:t>
      </w:r>
    </w:p>
    <w:p>
      <w:pPr>
        <w:pStyle w:val="Heading2"/>
      </w:pPr>
      <w:r>
        <w:t>7.1 An AI-first, agent-first company</w:t>
      </w:r>
    </w:p>
    <w:p>
      <w:r>
        <w:t>Microsoft's strategic direction is not a matter of interpretation; it is stated in its earnings releases and shipped in its products. The company's AI business passed a US$13 billion annual revenue run rate in January 2025, up 175% year on year [23]. By mid-2026 Microsoft reported over 30 million paid Microsoft 365 Copilot seats, with net additions more than doubling quarter over quarter (company-reported) [25]. Customers had built more than one million custom agents in Copilot Studio by Q3 FY2025, across 230,000 organisations including 90% of the Fortune 500 [24]. At Ignite 2025 Microsoft introduced Agent 365 as "the control plane for agents" — infrastructure that presumes a world in which organisations operate fleets of software workers [28].</w:t>
      </w:r>
    </w:p>
    <w:p>
      <w:r>
        <w:t>The chief executive has been explicit about where this leads. Satya Nadella has argued that in the agentic era "the notion that business applications exist… could collapse," that "all the logic will be in the AI tier," and that Microsoft is "aggressively" working to collapse traditional back ends in its own Dynamics business [26]. A platform vendor telling the market, on the record, that it intends to self-disrupt the application-management layer should be read by its channel as a statement of intent about the administration and support layer too.</w:t>
      </w:r>
    </w:p>
    <w:p>
      <w:pPr>
        <w:pStyle w:val="Heading2"/>
      </w:pPr>
      <w:r>
        <w:t>7.2 Productising the work partners billed for</w:t>
      </w:r>
    </w:p>
    <w:p>
      <w:r>
        <w:t>Line by line, Microsoft is shipping as product what MSPs have sold as service. Windows Autopatch "aims to update 95% of devices by their target compliance date," with hotpatching that applies security updates without a restart — patch management as a platform feature [30]. The Intune Suite includes Remote Help for cloud-based help-desk support, endpoint privilege management and enterprise application management [32]. Azure Lighthouse and Microsoft 365 Lighthouse give providers — and increasingly customers themselves — native multi-tenant management that commoditises third-party tooling [31]. In security operations, Microsoft has shipped Security Copilot agents that triage phishing, expedite OS patching through Intune, and optimise conditional-access policy — level-1 and level-2 operational work performed by software [27]. Microsoft's randomised controlled trial found security novices using the copilot were 26% faster and 44% more accurate — the mechanism that compresses the junior-analyst tier MSP and MSSP margins are built on [35].</w:t>
      </w:r>
    </w:p>
    <w:p>
      <w:pPr>
        <w:pStyle w:val="Heading2"/>
      </w:pPr>
      <w:r>
        <w:t>7.3 Competing with its own channel for services value</w:t>
      </w:r>
    </w:p>
    <w:p>
      <w:r>
        <w:t>Microsoft now also sells managed services directly. Defender Experts for XDR is positioned as "always-on, AI-accelerated managed detection and response… natively integrated in Microsoft Defender," staffed by thousands of Microsoft security experts [33] — a first-party competitor to every partner MDR offer built on the same telemetry. Meanwhile Microsoft 365 E5 bundles XDR and includes Security Copilot "at no additional cost," folding capabilities partners resold as discrete SKUs into the base subscription [34]. The pattern is not hostility to partners; it is value migration — the platform captures the layer it can automate, and partner economics are re-anchored on what it cannot.</w:t>
      </w:r>
    </w:p>
    <w:p>
      <w:pPr>
        <w:pStyle w:val="Heading2"/>
      </w:pPr>
      <w:r>
        <w:t>7.4 The partner programme is being rebuilt around that migration</w:t>
      </w:r>
    </w:p>
    <w:p>
      <w:r>
        <w:t>The Microsoft AI Cloud Partner Program changes read as a map of where partner value is being repriced. In July 2025 Microsoft consolidated six solution areas into three — AI Business Solutions, Cloud &amp; AI Platforms, and Security — introduced new Solutions Partner designations, and launched a Microsoft 365 Copilot specialisation, with benefits shifting toward Azure credits for Copilot Studio and additional Copilot seats [29]. On the commercial side, Microsoft imposed a US$1 million minimum billed-revenue bar for direct-bill CSP partners and tightened resale rules [57]; from October 2026 partner margin on legacy and standalone products is cut by 5%, and FY27 retires flat run-rate rebates on Modern Work and Dynamics 365, while incentive ceilings rise to 19.5% — but only on premium, security and AI-rich SKUs [58]. The direction is unambiguous: less margin for passively reselling licences, more for partners who deploy, secure and drive consumption of AI.</w:t>
      </w:r>
    </w:p>
    <w:p>
      <w:pPr>
        <w:pStyle w:val="Heading2"/>
      </w:pPr>
      <w:r>
        <w:t>7.5 Net assessment</w:t>
      </w:r>
    </w:p>
    <w:p>
      <w:r>
        <w:t>Microsoft's strategy simultaneously decreases the value of traditional MSP services and increases the value of transformation services. It is enabling customers to self-manage more of their environment (Autopatch, Intune, agents), capturing services value directly where it can automate it (Defender Experts), and paying partners more than ever where human change-work remains scarce — deployment, adoption, security outcomes and governance. Microsoft-commissioned IDC research claims partners earn US$8.45 in services for every US$1 of Microsoft revenue [18]; read carefully, that multiplier is not a defence of the status quo but a signed invitation to move up-stack — 62% of partner revenue is already services, and the services Microsoft is funding are not help-desk tickets.</w:t>
      </w:r>
    </w:p>
    <w:p>
      <w:r>
        <w:br w:type="page"/>
      </w:r>
    </w:p>
    <w:p>
      <w:pPr>
        <w:pStyle w:val="Heading1"/>
      </w:pPr>
      <w:r>
        <w:t>8. AI Impact Analysis</w:t>
      </w:r>
    </w:p>
    <w:p>
      <w:pPr>
        <w:pStyle w:val="Heading2"/>
      </w:pPr>
      <w:r>
        <w:t>8.1 What AI can already do to service delivery — measured</w:t>
      </w:r>
    </w:p>
    <w:p>
      <w:r>
        <w:t>The flagship measured case is Klarna: within a month of launch its OpenAI-powered assistant handled 2.3 million conversations — two-thirds of all customer-service chats — performing "the equivalent work of 700 full-time agents," cutting resolution time from 11 minutes to under two, and driving an estimated US$40 million profit improvement [39]. Fifteen months later Klarna partially reversed course, its CEO conceding that cost-led automation produced "lower quality" service and vowing to reinvest in human support [40]. Both halves of that story matter: the automation of routine contacts is real and large, and wholesale replacement of the human tier destroys quality. The same dual lesson appears in security operations, where CrowdStrike reports its Charlotte AI reaches 98% agreement with expert human triage decisions (vendor-reported) [37], Palo Alto Networks' autonomous-SOC platform XSIAM became the fastest-growing product in its history with over US$1 billion in cumulative bookings [38], and AWS states its managed service is "up to 97% automated" with 80% of incidents proactively detected [36].</w:t>
      </w:r>
    </w:p>
    <w:p>
      <w:pPr>
        <w:pStyle w:val="Heading2"/>
      </w:pPr>
      <w:r>
        <w:t>8.2 What the forecasters converge on</w:t>
      </w:r>
    </w:p>
    <w:p>
      <w:r>
        <w:t>The independent projections all point the same direction, on overlapping timelines. Gartner predicts agentic AI will autonomously resolve 80% of common customer-service issues by 2029, cutting operational costs 30% [6], and reports CIOs expecting that by 2030 no IT work will be done by humans without AI, 75% will be done by AI-augmented humans, and 25% by AI alone [8]. McKinsey estimates generative AI and related technologies could automate activities absorbing 60–70% of employee time, with customer operations among the four functions holding most of the value [14]. The World Economic Forum projects 92 million roles displaced (170 million created) by 2030, with 41% of employers planning AI-driven workforce reductions [15]; Goldman Sachs put 300 million jobs in automation's path, with office and administrative support the most exposed function at 46% of tasks [16]. These are forecasts, not measurements — but they are the base case of every major forecasting house, and IT support sits in the most-exposed quadrant of all of them.</w:t>
      </w:r>
    </w:p>
    <w:p>
      <w:pPr>
        <w:pStyle w:val="Heading2"/>
      </w:pPr>
      <w:r>
        <w:t>8.3 Which MSP functions are exposed</w:t>
      </w:r>
    </w:p>
    <w:p>
      <w:r>
        <w:t>Mapping the evidence onto the traditional MSP service catalogue produces the exposure table below. The pattern is consistent: the higher the volume and the lower the judgement content of a function, the earlier and harder automation lands. Level-1 support, monitoring and triage, routine patching, documentation and standard onboarding are already automatable with shipping products [27][30][36]; complex level-2/3 work, architecture, vendor management and strategic advisory remain human-led, with AI as an accelerant rather than a substitute [35].</w:t>
      </w:r>
    </w:p>
    <w:tbl>
      <w:tblPr>
        <w:tblStyle w:val="LightShading-Accent1"/>
        <w:tblW w:w="5000" w:type="pct"/>
        <w:tblLayout w:type="fixed"/>
        <w:tblLook w:val="04A0" w:firstRow="1" w:lastRow="0" w:firstColumn="1" w:lastColumn="0" w:noHBand="0" w:noVBand="1"/>
      </w:tblPr>
      <w:tblGrid>
        <w:gridCol w:w="2200"/>
        <w:gridCol w:w="1200"/>
        <w:gridCol w:w="4040"/>
        <w:gridCol w:w="1200"/>
      </w:tblGrid>
      <w:tr>
        <w:trPr>
          <w:tblHeader/>
        </w:trPr>
        <w:tc>
          <w:tcPr>
            <w:tcW w:w="2200" w:type="dxa"/>
          </w:tcPr>
          <w:p>
            <w:r>
              <w:t>MSP function</w:t>
            </w:r>
          </w:p>
        </w:tc>
        <w:tc>
          <w:tcPr>
            <w:tcW w:w="1200" w:type="dxa"/>
          </w:tcPr>
          <w:p>
            <w:r>
              <w:t>Automation exposure</w:t>
            </w:r>
          </w:p>
        </w:tc>
        <w:tc>
          <w:tcPr>
            <w:tcW w:w="4040" w:type="dxa"/>
          </w:tcPr>
          <w:p>
            <w:r>
              <w:t>Evidence</w:t>
            </w:r>
          </w:p>
        </w:tc>
        <w:tc>
          <w:tcPr>
            <w:tcW w:w="1200" w:type="dxa"/>
          </w:tcPr>
          <w:p>
            <w:r>
              <w:t>Horizon</w:t>
            </w:r>
          </w:p>
        </w:tc>
      </w:tr>
      <w:tr>
        <w:tc>
          <w:tcPr>
            <w:tcW w:w="2200" w:type="dxa"/>
          </w:tcPr>
          <w:p>
            <w:r>
              <w:t>Level-1 support / help desk</w:t>
            </w:r>
          </w:p>
        </w:tc>
        <w:tc>
          <w:tcPr>
            <w:tcW w:w="1200" w:type="dxa"/>
          </w:tcPr>
          <w:p>
            <w:r>
              <w:t>High</w:t>
            </w:r>
          </w:p>
        </w:tc>
        <w:tc>
          <w:tcPr>
            <w:tcW w:w="4040" w:type="dxa"/>
          </w:tcPr>
          <w:p>
            <w:r>
              <w:t>Klarna handled two-thirds of chats; Gartner 80% by 2029; BLS occupational decline [6][39][45]</w:t>
            </w:r>
          </w:p>
        </w:tc>
        <w:tc>
          <w:tcPr>
            <w:tcW w:w="1200" w:type="dxa"/>
          </w:tcPr>
          <w:p>
            <w:r>
              <w:t>Now–2029</w:t>
            </w:r>
          </w:p>
        </w:tc>
      </w:tr>
      <w:tr>
        <w:tc>
          <w:tcPr>
            <w:tcW w:w="2200" w:type="dxa"/>
          </w:tcPr>
          <w:p>
            <w:r>
              <w:t>Monitoring and triage</w:t>
            </w:r>
          </w:p>
        </w:tc>
        <w:tc>
          <w:tcPr>
            <w:tcW w:w="1200" w:type="dxa"/>
          </w:tcPr>
          <w:p>
            <w:r>
              <w:t>High</w:t>
            </w:r>
          </w:p>
        </w:tc>
        <w:tc>
          <w:tcPr>
            <w:tcW w:w="4040" w:type="dxa"/>
          </w:tcPr>
          <w:p>
            <w:r>
              <w:t>AWS managed service up to 97% automated; Charlotte AI 98% triage agreement [36][37]</w:t>
            </w:r>
          </w:p>
        </w:tc>
        <w:tc>
          <w:tcPr>
            <w:tcW w:w="1200" w:type="dxa"/>
          </w:tcPr>
          <w:p>
            <w:r>
              <w:t>Now–2027</w:t>
            </w:r>
          </w:p>
        </w:tc>
      </w:tr>
      <w:tr>
        <w:tc>
          <w:tcPr>
            <w:tcW w:w="2200" w:type="dxa"/>
          </w:tcPr>
          <w:p>
            <w:r>
              <w:t>Patching and endpoint management</w:t>
            </w:r>
          </w:p>
        </w:tc>
        <w:tc>
          <w:tcPr>
            <w:tcW w:w="1200" w:type="dxa"/>
          </w:tcPr>
          <w:p>
            <w:r>
              <w:t>High</w:t>
            </w:r>
          </w:p>
        </w:tc>
        <w:tc>
          <w:tcPr>
            <w:tcW w:w="4040" w:type="dxa"/>
          </w:tcPr>
          <w:p>
            <w:r>
              <w:t>Windows Autopatch 95% target; Intune vulnerability-remediation agent [27][30]</w:t>
            </w:r>
          </w:p>
        </w:tc>
        <w:tc>
          <w:tcPr>
            <w:tcW w:w="1200" w:type="dxa"/>
          </w:tcPr>
          <w:p>
            <w:r>
              <w:t>Now</w:t>
            </w:r>
          </w:p>
        </w:tc>
      </w:tr>
      <w:tr>
        <w:tc>
          <w:tcPr>
            <w:tcW w:w="2200" w:type="dxa"/>
          </w:tcPr>
          <w:p>
            <w:r>
              <w:t>Documentation and reporting</w:t>
            </w:r>
          </w:p>
        </w:tc>
        <w:tc>
          <w:tcPr>
            <w:tcW w:w="1200" w:type="dxa"/>
          </w:tcPr>
          <w:p>
            <w:r>
              <w:t>High</w:t>
            </w:r>
          </w:p>
        </w:tc>
        <w:tc>
          <w:tcPr>
            <w:tcW w:w="4040" w:type="dxa"/>
          </w:tcPr>
          <w:p>
            <w:r>
              <w:t>Core generative-AI strength; customer operations among the largest value pools [14]</w:t>
            </w:r>
          </w:p>
        </w:tc>
        <w:tc>
          <w:tcPr>
            <w:tcW w:w="1200" w:type="dxa"/>
          </w:tcPr>
          <w:p>
            <w:r>
              <w:t>Now</w:t>
            </w:r>
          </w:p>
        </w:tc>
      </w:tr>
      <w:tr>
        <w:tc>
          <w:tcPr>
            <w:tcW w:w="2200" w:type="dxa"/>
          </w:tcPr>
          <w:p>
            <w:r>
              <w:t>User onboarding and offboarding</w:t>
            </w:r>
          </w:p>
        </w:tc>
        <w:tc>
          <w:tcPr>
            <w:tcW w:w="1200" w:type="dxa"/>
          </w:tcPr>
          <w:p>
            <w:r>
              <w:t>Medium-high</w:t>
            </w:r>
          </w:p>
        </w:tc>
        <w:tc>
          <w:tcPr>
            <w:tcW w:w="4040" w:type="dxa"/>
          </w:tcPr>
          <w:p>
            <w:r>
              <w:t>Workflow-automatable with Copilot Studio agents at scale [24]</w:t>
            </w:r>
          </w:p>
        </w:tc>
        <w:tc>
          <w:tcPr>
            <w:tcW w:w="1200" w:type="dxa"/>
          </w:tcPr>
          <w:p>
            <w:r>
              <w:t>2026–2028</w:t>
            </w:r>
          </w:p>
        </w:tc>
      </w:tr>
      <w:tr>
        <w:tc>
          <w:tcPr>
            <w:tcW w:w="2200" w:type="dxa"/>
          </w:tcPr>
          <w:p>
            <w:r>
              <w:t>User training and adoption</w:t>
            </w:r>
          </w:p>
        </w:tc>
        <w:tc>
          <w:tcPr>
            <w:tcW w:w="1200" w:type="dxa"/>
          </w:tcPr>
          <w:p>
            <w:r>
              <w:t>Medium</w:t>
            </w:r>
          </w:p>
        </w:tc>
        <w:tc>
          <w:tcPr>
            <w:tcW w:w="4040" w:type="dxa"/>
          </w:tcPr>
          <w:p>
            <w:r>
              <w:t>AI-assisted content and in-product guidance; human change work persists [24]</w:t>
            </w:r>
          </w:p>
        </w:tc>
        <w:tc>
          <w:tcPr>
            <w:tcW w:w="1200" w:type="dxa"/>
          </w:tcPr>
          <w:p>
            <w:r>
              <w:t>2026–2029</w:t>
            </w:r>
          </w:p>
        </w:tc>
      </w:tr>
      <w:tr>
        <w:tc>
          <w:tcPr>
            <w:tcW w:w="2200" w:type="dxa"/>
          </w:tcPr>
          <w:p>
            <w:r>
              <w:t>Security operations (level-1 analyst)</w:t>
            </w:r>
          </w:p>
        </w:tc>
        <w:tc>
          <w:tcPr>
            <w:tcW w:w="1200" w:type="dxa"/>
          </w:tcPr>
          <w:p>
            <w:r>
              <w:t>High</w:t>
            </w:r>
          </w:p>
        </w:tc>
        <w:tc>
          <w:tcPr>
            <w:tcW w:w="4040" w:type="dxa"/>
          </w:tcPr>
          <w:p>
            <w:r>
              <w:t>Security Copilot trial: novices 26% faster, 44% more accurate; autonomous-SOC platforms [35][38]</w:t>
            </w:r>
          </w:p>
        </w:tc>
        <w:tc>
          <w:tcPr>
            <w:tcW w:w="1200" w:type="dxa"/>
          </w:tcPr>
          <w:p>
            <w:r>
              <w:t>Now–2028</w:t>
            </w:r>
          </w:p>
        </w:tc>
      </w:tr>
      <w:tr>
        <w:tc>
          <w:tcPr>
            <w:tcW w:w="2200" w:type="dxa"/>
          </w:tcPr>
          <w:p>
            <w:r>
              <w:t>Level-2/3 engineering</w:t>
            </w:r>
          </w:p>
        </w:tc>
        <w:tc>
          <w:tcPr>
            <w:tcW w:w="1200" w:type="dxa"/>
          </w:tcPr>
          <w:p>
            <w:r>
              <w:t>Medium</w:t>
            </w:r>
          </w:p>
        </w:tc>
        <w:tc>
          <w:tcPr>
            <w:tcW w:w="4040" w:type="dxa"/>
          </w:tcPr>
          <w:p>
            <w:r>
              <w:t>AI accelerates rather than replaces; judgement content retained [35]</w:t>
            </w:r>
          </w:p>
        </w:tc>
        <w:tc>
          <w:tcPr>
            <w:tcW w:w="1200" w:type="dxa"/>
          </w:tcPr>
          <w:p>
            <w:r>
              <w:t>2028 and beyond</w:t>
            </w:r>
          </w:p>
        </w:tc>
      </w:tr>
      <w:tr>
        <w:tc>
          <w:tcPr>
            <w:tcW w:w="2200" w:type="dxa"/>
          </w:tcPr>
          <w:p>
            <w:r>
              <w:t>Architecture, advisory, vendor management</w:t>
            </w:r>
          </w:p>
        </w:tc>
        <w:tc>
          <w:tcPr>
            <w:tcW w:w="1200" w:type="dxa"/>
          </w:tcPr>
          <w:p>
            <w:r>
              <w:t>Low</w:t>
            </w:r>
          </w:p>
        </w:tc>
        <w:tc>
          <w:tcPr>
            <w:tcW w:w="4040" w:type="dxa"/>
          </w:tcPr>
          <w:p>
            <w:r>
              <w:t>Trust- and accountability-anchored; external partners succeed at twice the rate [17]</w:t>
            </w:r>
          </w:p>
        </w:tc>
        <w:tc>
          <w:tcPr>
            <w:tcW w:w="1200" w:type="dxa"/>
          </w:tcPr>
          <w:p>
            <w:r>
              <w:t>Beyond 2030</w:t>
            </w:r>
          </w:p>
        </w:tc>
      </w:tr>
    </w:tbl>
    <w:p>
      <w:pPr>
        <w:pStyle w:val="Heading2"/>
      </w:pPr>
      <w:r>
        <w:t>8.4 Revenue, margin and organisational impact: best and worst cases</w:t>
      </w:r>
    </w:p>
    <w:p>
      <w:r>
        <w:t>Best case for the MSP: the provider deploys agents internally before customers re-price. Service delivery cost per endpoint falls; utilisation of scarce senior engineers rises; gross margin expands even at flat pricing. Service Leadership's 2025 data — best-in-class EBITDA compounding while the median stalls — is consistent with exactly this dynamic already operating for top performers [5]. In this world, AI extends the managed-services model for adaptive operators, and headcount shifts from L1 volume to automation engineering, security analysis and customer-facing advisory.</w:t>
      </w:r>
    </w:p>
    <w:p>
      <w:r>
        <w:t>Worst case: buyers internalise Gartner's 30% cost-reduction expectation [6] as a price expectation, procurement benchmarks per-user rates against AI-assisted competitors, and per-outcome pricing (Zendesk now charges per autonomous resolution [61]) resets the reference price of a "ticket" toward the marginal cost of compute. In this world, an MSP whose revenue is 55% per-user support and 25% resale faces simultaneous top-line deflation and input-margin withdrawal — the bear path of Section 6.4. Staffing impact is asymmetric: the US BLS already projects the L1 occupation shrinking [45], and Kaseya finds 11% of MSPs explicitly planning AI-driven headcount reduction [43]. The organisational consequence in either case is the same: the L1-heavy pyramid inverts, and the scarce roles become automation engineers, security analysts and consultants.</w:t>
      </w:r>
    </w:p>
    <w:p>
      <w:pPr>
        <w:pStyle w:val="Heading2"/>
      </w:pPr>
      <w:r>
        <w:t>8.5 The deployment opportunity — why the disruption funds the transformation</w:t>
      </w:r>
    </w:p>
    <w:p>
      <w:r>
        <w:t>The strongest counter-evidence to AI hype is also the clearest commercial signal for MSPs. MIT's 2025 study found 95% of enterprise generative-AI pilots returning zero — and that externally partnered deployments succeed at twice the rate of internal builds [17]. Gartner expects over 40% of agentic-AI projects cancelled by end-2027 amid "agent washing" [7], and 72% of CIOs report breaking even or losing money on AI [8]. Canalys finds 61% of partners stuck at proof of concept [2][3]. Enterprises and SMBs alike are demonstrably failing to convert AI spending into value without help. That failure is a services market: readiness, data and governance groundwork, agent design and deployment, security of AI, and managed operation of agent fleets. The disruption and the opportunity are the same event, viewed from opposite sides of the transformation.</w:t>
      </w:r>
    </w:p>
    <w:p>
      <w:r>
        <w:br w:type="page"/>
      </w:r>
    </w:p>
    <w:p>
      <w:pPr>
        <w:pStyle w:val="Heading1"/>
      </w:pPr>
      <w:r>
        <w:t>9. Future Industry Scenarios</w:t>
      </w:r>
    </w:p>
    <w:p>
      <w:r>
        <w:t>Is the MSP/TSP business model likely to remain viable by 2030? The evidence supports a precise answer: the managed-services category remains viable and growing; the traditional operating model within it does not remain investable. Three scenarios frame the range, with indicative likelihoods that represent this report's judgement based on the cited evidence.</w:t>
      </w:r>
    </w:p>
    <w:p>
      <w:r>
        <w:t>Bull case for the traditional model (indicative likelihood ~20%). Agentic AI underdelivers on the forecast timeline — Gartner's own 40%-cancellation prediction comes true at the pessimistic end [7], the Klarna quality lesson generalises [40], and SMB inertia plus recurring-contract stickiness hold churn low. AI productivity accrues mostly to MSPs' own cost lines rather than to customer pricing. In this world the traditional model persists to 2030 with slowly eroding margins rather than a break; the 1.0% organic growth and 18% loss-making floor of 2024 [4] marks the bottom rather than a waypoint. Even here, however, CSP margin withdrawal [57][58] and security delivery-scale requirements still operate — the bull case delays the squeeze; nothing in the evidence reverses it.</w:t>
      </w:r>
    </w:p>
    <w:p>
      <w:r>
        <w:t>Base case (indicative likelihood ~55%). The bifurcation already visible in the 2024–2026 data continues to compound. The market grows to roughly US$658 billion by 2030 [21], but its growth concentrates in security, AI deployment and outcome-priced services delivered by focused providers. Commodity per-user support deflates gradually as AI-assisted competitors and per-outcome reference prices spread; resale margin continues its administered decline; consolidation runs at or above the current ~92-deals-a-quarter pace [1]. By 2030 the median traditional MSP is smaller, less profitable and worth materially less; the transformed cohort compounds at best-in-class economics [5].</w:t>
      </w:r>
    </w:p>
    <w:p>
      <w:r>
        <w:t>Bear case for the traditional model (indicative likelihood ~25%). Agentic AI matures on or ahead of Gartner's curve [6][8], hyperscaler-native operations (Autopatch, Intune agents, AWS-style 97% automation [30][36]) become default SMB expectations, and Microsoft's first-party services expand down-market. Per-user pricing collapses toward per-outcome benchmarks within three to four years; the L1-dependent MSP loses its revenue base faster than it can retrain or redeploy. The historical analogue is the travel agency after online booking: a ~70% workforce contraction over the cycle [46], with survivors serving niches (complex, regulated, high-touch) rather than the mass market.</w:t>
      </w:r>
    </w:p>
    <w:p>
      <w:r>
        <w:t>Across those scenarios, this report's evidence-anchored estimate of outcomes for today's MSP population by 2030–2032 is set out in the table below: roughly 15–25% transform, 30–40% are consolidated, 25–35% stagnate with declining economics, and 10–20% exit. The anchors: 18% of MSPs were already loss-making in late 2024 [4]; the provider count is flat while revenue concentrates [1][2]; M&amp;A is running at ~92 deals a quarter and accelerating ~45% [1][2]; and every historical platform-shift precedent produced majority displacement of commodity-layer incumbents (Section 5.4). The categories most at risk are unambiguous in the data: sub-US$5 million generalists with no security practice; providers with more than about a third of gross profit in licensing resale; help-desk-centric operators priced per user; and break/fix or project-dependent shops — the profiles the valuation market already discounts to 3–5x [21].</w:t>
      </w:r>
    </w:p>
    <w:p>
      <w:r>
        <w:br w:type="page"/>
      </w:r>
    </w:p>
    <w:tbl>
      <w:tblPr>
        <w:tblStyle w:val="LightShading-Accent1"/>
        <w:tblW w:w="5000" w:type="pct"/>
        <w:tblLayout w:type="fixed"/>
        <w:tblLook w:val="04A0" w:firstRow="1" w:lastRow="0" w:firstColumn="1" w:lastColumn="0" w:noHBand="0" w:noVBand="1"/>
      </w:tblPr>
      <w:tblGrid>
        <w:gridCol w:w="3400"/>
        <w:gridCol w:w="1600"/>
        <w:gridCol w:w="3640"/>
      </w:tblGrid>
      <w:tr>
        <w:tc>
          <w:tcPr>
            <w:tcW w:w="3400" w:type="dxa"/>
          </w:tcPr>
          <w:p>
            <w:r>
              <w:t>Outcome by 2030–2032</w:t>
            </w:r>
          </w:p>
        </w:tc>
        <w:tc>
          <w:tcPr>
            <w:tcW w:w="1600" w:type="dxa"/>
          </w:tcPr>
          <w:p>
            <w:r>
              <w:t>Indicative share of today's MSPs</w:t>
            </w:r>
          </w:p>
        </w:tc>
        <w:tc>
          <w:tcPr>
            <w:tcW w:w="3640" w:type="dxa"/>
          </w:tcPr>
          <w:p>
            <w:r>
              <w:t>Evidence anchors</w:t>
            </w:r>
          </w:p>
        </w:tc>
      </w:tr>
      <w:tr>
        <w:tc>
          <w:tcPr>
            <w:tcW w:w="3400" w:type="dxa"/>
          </w:tcPr>
          <w:p>
            <w:r>
              <w:t>Transform successfully into security- and AI-centred outcomes businesses</w:t>
            </w:r>
          </w:p>
        </w:tc>
        <w:tc>
          <w:tcPr>
            <w:tcW w:w="1600" w:type="dxa"/>
          </w:tcPr>
          <w:p>
            <w:r>
              <w:t>15–25%</w:t>
            </w:r>
          </w:p>
        </w:tc>
        <w:tc>
          <w:tcPr>
            <w:tcW w:w="3640" w:type="dxa"/>
          </w:tcPr>
          <w:p>
            <w:r>
              <w:t>Focused-provider economics of 15–30% EBITDA; durable best-in-class cohort [1][5]</w:t>
            </w:r>
          </w:p>
        </w:tc>
      </w:tr>
      <w:tr>
        <w:tc>
          <w:tcPr>
            <w:tcW w:w="3400" w:type="dxa"/>
          </w:tcPr>
          <w:p>
            <w:r>
              <w:t>Consolidated into private-equity-backed or strategic platforms</w:t>
            </w:r>
          </w:p>
        </w:tc>
        <w:tc>
          <w:tcPr>
            <w:tcW w:w="1600" w:type="dxa"/>
          </w:tcPr>
          <w:p>
            <w:r>
              <w:t>30–40%</w:t>
            </w:r>
          </w:p>
        </w:tc>
        <w:tc>
          <w:tcPr>
            <w:tcW w:w="3640" w:type="dxa"/>
          </w:tcPr>
          <w:p>
            <w:r>
              <w:t>92 acquisitions in Q2 2025; M&amp;A up ~45%; more buyers than sellers above US$1M EBITDA [1][2][21]</w:t>
            </w:r>
          </w:p>
        </w:tc>
      </w:tr>
      <w:tr>
        <w:tc>
          <w:tcPr>
            <w:tcW w:w="3400" w:type="dxa"/>
          </w:tcPr>
          <w:p>
            <w:r>
              <w:t>Stagnate as lifestyle businesses with declining margins and exit value</w:t>
            </w:r>
          </w:p>
        </w:tc>
        <w:tc>
          <w:tcPr>
            <w:tcW w:w="1600" w:type="dxa"/>
          </w:tcPr>
          <w:p>
            <w:r>
              <w:t>25–35%</w:t>
            </w:r>
          </w:p>
        </w:tc>
        <w:tc>
          <w:tcPr>
            <w:tcW w:w="3640" w:type="dxa"/>
          </w:tcPr>
          <w:p>
            <w:r>
              <w:t>18% already loss-making; 1.0% organic growth; ~7% unfocused EBITDA [1][4]</w:t>
            </w:r>
          </w:p>
        </w:tc>
      </w:tr>
      <w:tr>
        <w:tc>
          <w:tcPr>
            <w:tcW w:w="3400" w:type="dxa"/>
          </w:tcPr>
          <w:p>
            <w:r>
              <w:t>Exit or disappear</w:t>
            </w:r>
          </w:p>
        </w:tc>
        <w:tc>
          <w:tcPr>
            <w:tcW w:w="1600" w:type="dxa"/>
          </w:tcPr>
          <w:p>
            <w:r>
              <w:t>10–20%</w:t>
            </w:r>
          </w:p>
        </w:tc>
        <w:tc>
          <w:tcPr>
            <w:tcW w:w="3640" w:type="dxa"/>
          </w:tcPr>
          <w:p>
            <w:r>
              <w:t>Flat provider count in a growing market; precedent industries (Section 5.4) [1][46]</w:t>
            </w:r>
          </w:p>
        </w:tc>
      </w:tr>
    </w:tbl>
    <w:p>
      <w:pPr>
        <w:pStyle w:val="Heading1"/>
      </w:pPr>
      <w:r>
        <w:t>10. Transformation Framework</w:t>
      </w:r>
    </w:p>
    <w:p>
      <w:pPr>
        <w:pStyle w:val="Heading2"/>
      </w:pPr>
      <w:r>
        <w:t>10.1 The destination</w:t>
      </w:r>
    </w:p>
    <w:p>
      <w:r>
        <w:t>The destination business is not a help desk with a Copilot licence. It is a security- and AI-centred outcomes company: majority of gross profit from managed security, AI advisory/implementation/governance, automation and data services; delivery economics built on agents supervised by senior engineers rather than tiers of L1 labour; pricing anchored to outcomes and subscriptions rather than seats and devices; and defensibility built on vertical depth, compliance expertise and proprietary IP rather than tool administration. Every element of that destination is validated by the growth, margin and valuation evidence in Sections 5 and 6.</w:t>
      </w:r>
    </w:p>
    <w:p>
      <w:pPr>
        <w:pStyle w:val="Heading2"/>
      </w:pPr>
      <w:r>
        <w:t>10.2 Opportunity ranking</w:t>
      </w:r>
    </w:p>
    <w:p>
      <w:r>
        <w:t>The table below ranks the transformation opportunities by urgency, revenue potential, margin potential and competitive defensibility, with the evidence anchor for each. The ranking logic is deliberate: managed security leads because demand is structural and regulated (Section 5.3) and because it defends the existing customer base against both breaches and competitors; AI implementation follows because the 95%-failure/2x-partner-success evidence [17] makes it the largest under-served services pool; governance and compliance rank high on defensibility because they are relationship- and trust-anchored and resist automation; internal AI adoption is urgent because it is the margin defence that funds everything else.</w:t>
      </w:r>
    </w:p>
    <w:tbl>
      <w:tblPr>
        <w:tblStyle w:val="LightShading-Accent1"/>
        <w:tblW w:w="5000" w:type="pct"/>
        <w:tblLayout w:type="fixed"/>
        <w:tblLook w:val="04A0" w:firstRow="1" w:lastRow="0" w:firstColumn="1" w:lastColumn="0" w:noHBand="0" w:noVBand="1"/>
      </w:tblPr>
      <w:tblGrid>
        <w:gridCol w:w="3040"/>
        <w:gridCol w:w="1300"/>
        <w:gridCol w:w="1300"/>
        <w:gridCol w:w="1200"/>
        <w:gridCol w:w="1800"/>
      </w:tblGrid>
      <w:tr>
        <w:trPr>
          <w:tblHeader/>
        </w:trPr>
        <w:tc>
          <w:tcPr>
            <w:tcW w:w="3040" w:type="dxa"/>
          </w:tcPr>
          <w:p>
            <w:r>
              <w:t>Opportunity</w:t>
            </w:r>
          </w:p>
        </w:tc>
        <w:tc>
          <w:tcPr>
            <w:tcW w:w="1300" w:type="dxa"/>
          </w:tcPr>
          <w:p>
            <w:r>
              <w:t>Urgency</w:t>
            </w:r>
          </w:p>
        </w:tc>
        <w:tc>
          <w:tcPr>
            <w:tcW w:w="1300" w:type="dxa"/>
          </w:tcPr>
          <w:p>
            <w:r>
              <w:t>Revenue potential</w:t>
            </w:r>
          </w:p>
        </w:tc>
        <w:tc>
          <w:tcPr>
            <w:tcW w:w="1200" w:type="dxa"/>
          </w:tcPr>
          <w:p>
            <w:r>
              <w:t>Margin potential</w:t>
            </w:r>
          </w:p>
        </w:tc>
        <w:tc>
          <w:tcPr>
            <w:tcW w:w="1800" w:type="dxa"/>
          </w:tcPr>
          <w:p>
            <w:r>
              <w:t>Defensibility</w:t>
            </w:r>
          </w:p>
        </w:tc>
      </w:tr>
      <w:tr>
        <w:tc>
          <w:tcPr>
            <w:tcW w:w="3040" w:type="dxa"/>
          </w:tcPr>
          <w:p>
            <w:r>
              <w:t>Managed security: MDR, identity, compliance-as-a-service [9][20][42]</w:t>
            </w:r>
          </w:p>
        </w:tc>
        <w:tc>
          <w:tcPr>
            <w:tcW w:w="1300" w:type="dxa"/>
          </w:tcPr>
          <w:p>
            <w:r>
              <w:t>Immediate</w:t>
            </w:r>
          </w:p>
        </w:tc>
        <w:tc>
          <w:tcPr>
            <w:tcW w:w="1300" w:type="dxa"/>
          </w:tcPr>
          <w:p>
            <w:r>
              <w:t>High</w:t>
            </w:r>
          </w:p>
        </w:tc>
        <w:tc>
          <w:tcPr>
            <w:tcW w:w="1200" w:type="dxa"/>
          </w:tcPr>
          <w:p>
            <w:r>
              <w:t>High</w:t>
            </w:r>
          </w:p>
        </w:tc>
        <w:tc>
          <w:tcPr>
            <w:tcW w:w="1800" w:type="dxa"/>
          </w:tcPr>
          <w:p>
            <w:r>
              <w:t>Medium-high</w:t>
            </w:r>
          </w:p>
        </w:tc>
      </w:tr>
      <w:tr>
        <w:tc>
          <w:tcPr>
            <w:tcW w:w="3040" w:type="dxa"/>
          </w:tcPr>
          <w:p>
            <w:r>
              <w:t>Internal AI adoption across own service desk and delivery [5][35]</w:t>
            </w:r>
          </w:p>
        </w:tc>
        <w:tc>
          <w:tcPr>
            <w:tcW w:w="1300" w:type="dxa"/>
          </w:tcPr>
          <w:p>
            <w:r>
              <w:t>Immediate</w:t>
            </w:r>
          </w:p>
        </w:tc>
        <w:tc>
          <w:tcPr>
            <w:tcW w:w="1300" w:type="dxa"/>
          </w:tcPr>
          <w:p>
            <w:r>
              <w:t>Cost defence</w:t>
            </w:r>
          </w:p>
        </w:tc>
        <w:tc>
          <w:tcPr>
            <w:tcW w:w="1200" w:type="dxa"/>
          </w:tcPr>
          <w:p>
            <w:r>
              <w:t>High</w:t>
            </w:r>
          </w:p>
        </w:tc>
        <w:tc>
          <w:tcPr>
            <w:tcW w:w="1800" w:type="dxa"/>
          </w:tcPr>
          <w:p>
            <w:r>
              <w:t>Medium</w:t>
            </w:r>
          </w:p>
        </w:tc>
      </w:tr>
      <w:tr>
        <w:tc>
          <w:tcPr>
            <w:tcW w:w="3040" w:type="dxa"/>
          </w:tcPr>
          <w:p>
            <w:r>
              <w:t>AI implementation: Copilot deployment, agent design and operations [17][24]</w:t>
            </w:r>
          </w:p>
        </w:tc>
        <w:tc>
          <w:tcPr>
            <w:tcW w:w="1300" w:type="dxa"/>
          </w:tcPr>
          <w:p>
            <w:r>
              <w:t>Immediate</w:t>
            </w:r>
          </w:p>
        </w:tc>
        <w:tc>
          <w:tcPr>
            <w:tcW w:w="1300" w:type="dxa"/>
          </w:tcPr>
          <w:p>
            <w:r>
              <w:t>High</w:t>
            </w:r>
          </w:p>
        </w:tc>
        <w:tc>
          <w:tcPr>
            <w:tcW w:w="1200" w:type="dxa"/>
          </w:tcPr>
          <w:p>
            <w:r>
              <w:t>High</w:t>
            </w:r>
          </w:p>
        </w:tc>
        <w:tc>
          <w:tcPr>
            <w:tcW w:w="1800" w:type="dxa"/>
          </w:tcPr>
          <w:p>
            <w:r>
              <w:t>Medium</w:t>
            </w:r>
          </w:p>
        </w:tc>
      </w:tr>
      <w:tr>
        <w:tc>
          <w:tcPr>
            <w:tcW w:w="3040" w:type="dxa"/>
          </w:tcPr>
          <w:p>
            <w:r>
              <w:t>Pricing migration to outcome and platform models [12][19][61]</w:t>
            </w:r>
          </w:p>
        </w:tc>
        <w:tc>
          <w:tcPr>
            <w:tcW w:w="1300" w:type="dxa"/>
          </w:tcPr>
          <w:p>
            <w:r>
              <w:t>Immediate</w:t>
            </w:r>
          </w:p>
        </w:tc>
        <w:tc>
          <w:tcPr>
            <w:tcW w:w="1300" w:type="dxa"/>
          </w:tcPr>
          <w:p>
            <w:r>
              <w:t>Protects base</w:t>
            </w:r>
          </w:p>
        </w:tc>
        <w:tc>
          <w:tcPr>
            <w:tcW w:w="1200" w:type="dxa"/>
          </w:tcPr>
          <w:p>
            <w:r>
              <w:t>High</w:t>
            </w:r>
          </w:p>
        </w:tc>
        <w:tc>
          <w:tcPr>
            <w:tcW w:w="1800" w:type="dxa"/>
          </w:tcPr>
          <w:p>
            <w:r>
              <w:t>Medium</w:t>
            </w:r>
          </w:p>
        </w:tc>
      </w:tr>
      <w:tr>
        <w:tc>
          <w:tcPr>
            <w:tcW w:w="3040" w:type="dxa"/>
          </w:tcPr>
          <w:p>
            <w:r>
              <w:t>AI governance, risk and security of AI [7][8][28]</w:t>
            </w:r>
          </w:p>
        </w:tc>
        <w:tc>
          <w:tcPr>
            <w:tcW w:w="1300" w:type="dxa"/>
          </w:tcPr>
          <w:p>
            <w:r>
              <w:t>6–12 months</w:t>
            </w:r>
          </w:p>
        </w:tc>
        <w:tc>
          <w:tcPr>
            <w:tcW w:w="1300" w:type="dxa"/>
          </w:tcPr>
          <w:p>
            <w:r>
              <w:t>Medium-high</w:t>
            </w:r>
          </w:p>
        </w:tc>
        <w:tc>
          <w:tcPr>
            <w:tcW w:w="1200" w:type="dxa"/>
          </w:tcPr>
          <w:p>
            <w:r>
              <w:t>High</w:t>
            </w:r>
          </w:p>
        </w:tc>
        <w:tc>
          <w:tcPr>
            <w:tcW w:w="1800" w:type="dxa"/>
          </w:tcPr>
          <w:p>
            <w:r>
              <w:t>High</w:t>
            </w:r>
          </w:p>
        </w:tc>
      </w:tr>
      <w:tr>
        <w:tc>
          <w:tcPr>
            <w:tcW w:w="3040" w:type="dxa"/>
          </w:tcPr>
          <w:p>
            <w:r>
              <w:t>Business-process automation, outcome-priced [14][24]</w:t>
            </w:r>
          </w:p>
        </w:tc>
        <w:tc>
          <w:tcPr>
            <w:tcW w:w="1300" w:type="dxa"/>
          </w:tcPr>
          <w:p>
            <w:r>
              <w:t>6–12 months</w:t>
            </w:r>
          </w:p>
        </w:tc>
        <w:tc>
          <w:tcPr>
            <w:tcW w:w="1300" w:type="dxa"/>
          </w:tcPr>
          <w:p>
            <w:r>
              <w:t>Medium-high</w:t>
            </w:r>
          </w:p>
        </w:tc>
        <w:tc>
          <w:tcPr>
            <w:tcW w:w="1200" w:type="dxa"/>
          </w:tcPr>
          <w:p>
            <w:r>
              <w:t>High</w:t>
            </w:r>
          </w:p>
        </w:tc>
        <w:tc>
          <w:tcPr>
            <w:tcW w:w="1800" w:type="dxa"/>
          </w:tcPr>
          <w:p>
            <w:r>
              <w:t>Medium-high</w:t>
            </w:r>
          </w:p>
        </w:tc>
      </w:tr>
      <w:tr>
        <w:tc>
          <w:tcPr>
            <w:tcW w:w="3040" w:type="dxa"/>
          </w:tcPr>
          <w:p>
            <w:r>
              <w:t>Data services: readiness, governance, analytics [17]</w:t>
            </w:r>
          </w:p>
        </w:tc>
        <w:tc>
          <w:tcPr>
            <w:tcW w:w="1300" w:type="dxa"/>
          </w:tcPr>
          <w:p>
            <w:r>
              <w:t>6–12 months</w:t>
            </w:r>
          </w:p>
        </w:tc>
        <w:tc>
          <w:tcPr>
            <w:tcW w:w="1300" w:type="dxa"/>
          </w:tcPr>
          <w:p>
            <w:r>
              <w:t>Medium</w:t>
            </w:r>
          </w:p>
        </w:tc>
        <w:tc>
          <w:tcPr>
            <w:tcW w:w="1200" w:type="dxa"/>
          </w:tcPr>
          <w:p>
            <w:r>
              <w:t>Medium-high</w:t>
            </w:r>
          </w:p>
        </w:tc>
        <w:tc>
          <w:tcPr>
            <w:tcW w:w="1800" w:type="dxa"/>
          </w:tcPr>
          <w:p>
            <w:r>
              <w:t>Medium-high</w:t>
            </w:r>
          </w:p>
        </w:tc>
      </w:tr>
      <w:tr>
        <w:tc>
          <w:tcPr>
            <w:tcW w:w="3040" w:type="dxa"/>
          </w:tcPr>
          <w:p>
            <w:r>
              <w:t>Vertical IP and subscription products [21]</w:t>
            </w:r>
          </w:p>
        </w:tc>
        <w:tc>
          <w:tcPr>
            <w:tcW w:w="1300" w:type="dxa"/>
          </w:tcPr>
          <w:p>
            <w:r>
              <w:t>12–24 months</w:t>
            </w:r>
          </w:p>
        </w:tc>
        <w:tc>
          <w:tcPr>
            <w:tcW w:w="1300" w:type="dxa"/>
          </w:tcPr>
          <w:p>
            <w:r>
              <w:t>Medium</w:t>
            </w:r>
          </w:p>
        </w:tc>
        <w:tc>
          <w:tcPr>
            <w:tcW w:w="1200" w:type="dxa"/>
          </w:tcPr>
          <w:p>
            <w:r>
              <w:t>High</w:t>
            </w:r>
          </w:p>
        </w:tc>
        <w:tc>
          <w:tcPr>
            <w:tcW w:w="1800" w:type="dxa"/>
          </w:tcPr>
          <w:p>
            <w:r>
              <w:t>High</w:t>
            </w:r>
          </w:p>
        </w:tc>
      </w:tr>
    </w:tbl>
    <w:p>
      <w:pPr>
        <w:pStyle w:val="Heading2"/>
      </w:pPr>
      <w:r>
        <w:t>10.3 Service evolution</w:t>
      </w:r>
    </w:p>
    <w:p>
      <w:r>
        <w:t>Build the security practice first: MDR/XDR delivered on the customer's existing Microsoft stack (Defender, Sentinel), identity protection, and compliance-as-a-service mapped to the regimes the customer's insurers and regulators already demand — Essential Eight in Australia, CMMC for US defence supply chains, NIS2 in Europe [47][48][49]. Where 24×7 SOC scale is uneconomic, co-deliver with a wholesale SOC or resell Defender Experts with first-party wrap-around — margin on outcomes and advisory, not on seat resale. Layer AI services on the security trust base: readiness and data-governance assessments, Copilot deployment and adoption, Copilot Studio agent design and managed agent operations (Agent 365 administration is a new recurring line [28]), and AI governance — policy, risk, monitoring and assurance — for boards that must answer for what their agents do. Add data services (the prerequisite MIT found most pilots missing [17]) and business-process automation priced on measured outcomes.</w:t>
      </w:r>
    </w:p>
    <w:p>
      <w:pPr>
        <w:pStyle w:val="Heading2"/>
      </w:pPr>
      <w:r>
        <w:t>10.4 Operational evolution</w:t>
      </w:r>
    </w:p>
    <w:p>
      <w:r>
        <w:t>Deploy internally what you will sell externally. Adopt AI triage and resolution on your own service desk; instrument deflection, first-contact resolution and cost per resolved issue; target revenue per employee moving from the ~US$100–150k benchmark toward US$200k+ as agents absorb L1 volume [64]. Rebuild the delivery pyramid: fewer L1 generalists, more automation engineers, security analysts and customer-success roles; redeploy and retrain ahead of attrition rather than behind it. Productise everything repeatable — runbooks become agents, assessments become subscription IP, onboarding becomes a packaged offer. The best-in-class 19%+ EBITDA cohort is the existence proof that these operating economics are achievable in this industry today [5].</w:t>
      </w:r>
    </w:p>
    <w:p>
      <w:pPr>
        <w:pStyle w:val="Heading2"/>
      </w:pPr>
      <w:r>
        <w:t>10.5 Commercial evolution</w:t>
      </w:r>
    </w:p>
    <w:p>
      <w:r>
        <w:t>Migrate pricing deliberately, contract by contract, ahead of the market repricing it for you. From per-user and per-device toward: outcome-based fees (per resolved incident, per protected identity, per automated process, with service-level guarantees); platform subscriptions that bundle security posture, governance and a defined automation roadmap; subscription IP (vertical compliance packs, agent libraries, reporting); and managed-AI offers priced per agent operated or per business outcome delivered. The market template already exists — Zendesk charges per autonomous resolution [61], and Microsoft's incentive structure pays on consumption and adoption rather than seats [58]. Treat every renewal as a migration event: reprice the commodity layer honestly, attach the security and AI layers, and let the customer see the labour they are no longer paying for.</w:t>
      </w:r>
    </w:p>
    <w:p>
      <w:r>
        <w:br w:type="page"/>
      </w:r>
    </w:p>
    <w:p>
      <w:pPr>
        <w:pStyle w:val="Heading1"/>
      </w:pPr>
      <w:r>
        <w:t>11. Recommended Actions</w:t>
      </w:r>
    </w:p>
    <w:p>
      <w:r>
        <w:t>Now — within 90 days. Audit revenue by layer: classify every dollar as commodity-exposed (L1 support, monitoring resale, licensing margin, break/fix) or defensible (security outcomes, advisory, automation, IP), and confront the ratio honestly — this is the diligence cut a buyer would apply [21]. Model your own bear case with Section 6's assumptions. Deploy AI on your own service desk and start measuring deflection. Pick the security offer you will lead with and scope the delivery model (build, co-deliver, or wrap first-party). Brief your team: the message is redeployment and upskilling, not denial.</w:t>
      </w:r>
    </w:p>
    <w:p>
      <w:r>
        <w:t>Next — 3 to 12 months. Launch the managed-security offer and attach it to your top-quartile customers first; their insurers and regulators are already asking [42][47][48][49]. Launch AI readiness and Copilot deployment services while the 61%-stuck-at-PoC gap is open [2]. Begin pricing migration at every renewal. Requalify for the Microsoft designations and specialisations that now carry the incentives — Security, AI Business Solutions, the Copilot specialisation [29]. Retrain your best L1/L2 people into automation and security roles. Set the internal metric that matters: gross profit per delivery employee, reviewed monthly.</w:t>
      </w:r>
    </w:p>
    <w:p>
      <w:r>
        <w:t>Horizon — 12 to 36 months. Drive the mix: security plus AI plus automation past 40% of gross profit. Productise IP into subscriptions with retention above 90% [21]. Decide your consolidation posture deliberately — acquirer, platform participant, or premium seller — while more buyers than sellers persist above US$1 million EBITDA [21]. If you will not or cannot transform, sell into strength rather than out of decline: the 5x-versus-10x spread in Section 6.3 is the price of waiting. Review the Section 12 falsification indicators every quarter and adjust pace — in either direction — as the evidence moves.</w:t>
      </w:r>
    </w:p>
    <w:p>
      <w:r>
        <w:br w:type="page"/>
      </w:r>
    </w:p>
    <w:p>
      <w:pPr>
        <w:pStyle w:val="Heading1"/>
      </w:pPr>
      <w:r>
        <w:t>12. Risks and Counterarguments</w:t>
      </w:r>
    </w:p>
    <w:p>
      <w:pPr>
        <w:pStyle w:val="Heading2"/>
      </w:pPr>
      <w:r>
        <w:t>12.1 The case for MSP survival — taken seriously</w:t>
      </w:r>
    </w:p>
    <w:p>
      <w:r>
        <w:t>A sceptical owner can assemble a genuine bull case from this report's own sources, and it deserves to be stated at full strength. The market is growing, not shrinking — ~13% in 2025 to ~US$595 billion [2] — and is forecast to keep growing to ~US$658 billion by 2030 [21]. Best-in-class MSP profitability has never been better sustained: 19%+ EBITDA for six straight years, with 2025 revenue growth of 9.6% [5]. SMBs are structurally dependent on outsourced IT — the BLS itself notes smaller organisations find it more cost-effective to contract out than to employ [45] — and recurring revenue is sticky, with retention above 90% the norm for quality providers [21]. AI is demonstrably hard to deploy: 95% of pilots return nothing [17], 40%+ of agentic projects face cancellation [7], 72% of CIOs are not yet making money on AI [8], and Klarna's walk-back shows automation over-reach destroying service quality [40]. Microsoft still describes partners as economically central, with US$8.45 of partner services per Microsoft dollar [18]. On this reading, AI raises MSP productivity faster than it erodes billable scope, and the model adapts as it did through cloud.</w:t>
      </w:r>
    </w:p>
    <w:p>
      <w:pPr>
        <w:pStyle w:val="Heading2"/>
      </w:pPr>
      <w:r>
        <w:t>12.2 Why the bull case does not rescue the traditional model</w:t>
      </w:r>
    </w:p>
    <w:p>
      <w:r>
        <w:t>Every element of the bull case is about the category; none of it is about the traditional operating model. The growing market is growing in security and outcomes, not in per-user support (XaaS +18% vs +1.6% [12]). The thriving cohort is the focused, transformed one — the same benchmarks show the median stalling at 1% growth and 11% EBITDA with 18% loss-making [4]. SMB dependence guarantees demand for somebody, not margin for everybody — travel demand also kept growing while travel agents lost 70% of their jobs [46]. The AI-failure statistics create services demand, but for AI deployment and governance capabilities the traditional MSP does not currently possess. And the partner-economics multiplier is paid on adoption, consumption and security work — not on tickets and resale, where margin is being administratively withdrawn [57][58]. The bull case, examined closely, is the business case for transformation.</w:t>
      </w:r>
    </w:p>
    <w:p>
      <w:pPr>
        <w:pStyle w:val="Heading2"/>
      </w:pPr>
      <w:r>
        <w:t>12.3 What would falsify this report's thesis</w:t>
      </w:r>
    </w:p>
    <w:p>
      <w:r>
        <w:t>Intellectual honesty requires stating what evidence would overturn the conclusion. Watch for: (1) average MSP organic growth recovering above ~6% and the loss-making share falling below ~10% for four consecutive quarters [4]; (2) agentic-AI resolution rates plateauing well below Gartner's curve through 2027–2028 [6][7]; (3) Microsoft reversing CSP margin cuts or re-expanding flat resale incentives [57][58]; (4) per-user pricing holding firm in competitive renewals despite AI-assisted rivals; and (5) sub-US$5 million MSP multiples re-rating upward toward parity with scaled platforms [21]. If several of those move together, the traditional model is more durable than this report concludes, and the transformation can proceed at a more measured pace. None were moving that way as of the 2024–2026 evidence window.</w:t>
      </w:r>
    </w:p>
    <w:p>
      <w:pPr>
        <w:pStyle w:val="Heading2"/>
      </w:pPr>
      <w:r>
        <w:t>12.4 Execution risks of the transformation itself</w:t>
      </w:r>
    </w:p>
    <w:p>
      <w:r>
        <w:t>Transformation carries its own failure modes, and the historical record is sober about them. Capability risk: MDR and AI services are genuinely harder to deliver than help desk; under-resourced 'security-washing' invites both breach liability and reputational failure. Financial risk: the investment dip is real (the base case assumes roughly two points of EBITDA for two years), and owners who cannot fund it may destroy value attempting it — for some, selling into strength is the rational strategy. Timing risk: moving before customers are ready compresses near-term revenue (Klarna's lesson applies to providers too [40]); moving after the market reprices forfeits the premium. Talent risk: automation engineers and security analysts are scarcer than L1 technicians; retraining pipelines take quarters, not weeks. People risk: the pyramid inversion is a workforce transition that must be led, not announced. These risks argue for starting early and sequencing carefully — they do not argue for standing still, which the Section 6 bear case prices precisely.</w:t>
      </w:r>
    </w:p>
    <w:p>
      <w:r>
        <w:br w:type="page"/>
      </w:r>
    </w:p>
    <w:p>
      <w:pPr>
        <w:pStyle w:val="Heading1"/>
      </w:pPr>
      <w:r>
        <w:t>13. Final Conclusions</w:t>
      </w:r>
    </w:p>
    <w:p>
      <w:r>
        <w:t>Is the traditional MSP and TSP business model becoming obsolete? On the evidence: yes — in the specific, actionable sense that matters to an owner, a board or an investor. The model that prices human labour per user and per device, resells licensing margin, and earns its keep on reactive support is losing its economics on every line simultaneously: its labour base is shrinking and being automated [45][6], its resale margin is being withdrawn by its most important vendor [57][58], its buyers are repricing it as a commodity [12][19], and its exit multiples already carry the discount [21]. That is what obsolescence looks like from inside a still-growing market — not a cliff, but a compounding erosion of growth, margin and value that the industry's own benchmarks have been recording, quarter by quarter, since 2024.</w:t>
      </w:r>
    </w:p>
    <w:p>
      <w:r>
        <w:t>The managed-services category, by contrast, is in the strongest demand environment in its history: a ~US$595 billion market growing at double digits [2], a security opportunity made mandatory by attackers, insurers and regulators [9][42], and an AI-deployment services pool sized by the very failure rates that temper the hype [17]. The winners of the next decade are already visible in the data — focused, security-led, AI-augmented providers compounding at 19%+ EBITDA and commanding double-digit exit multiples [5][21].</w:t>
      </w:r>
    </w:p>
    <w:p>
      <w:r>
        <w:t>The choice facing the conventional MSP owner is therefore not whether the industry survives — it will — but which side of a widening divide their business is on when the market, the vendor programmes and the acquirers finish repricing it. The evidence in this report says the divide is real, measurable and compounding; that the window for crossing it on favourable terms is roughly the next 12 to 24 months; and that every historical precedent rewards those who moved early and up-stack, and none rewards those who defended the commodity layer. Business as usual is the one strategy the data does not support.</w:t>
      </w:r>
    </w:p>
    <w:p>
      <w:r>
        <w:br w:type="page"/>
      </w:r>
    </w:p>
    <w:p>
      <w:pPr>
        <w:pStyle w:val="Heading1"/>
      </w:pPr>
      <w:r>
        <w:t>14. Complete Reference List</w:t>
      </w:r>
    </w:p>
    <w:p>
      <w:r>
        <w:t>All sources cited in this report, plus consulted benchmark sources, keyed to the bracketed numbers used throughout. Independent analyst, government and filing sources anchor load-bearing claims; vendor and vendor-commissioned material is flagged where used.</w:t>
      </w:r>
    </w:p>
    <w:p>
      <w:r>
        <w:t>[1] Canalys data, reported in Business of Tech, "MSP Market Expands to $500B as Provider Count Shrinks Amid Rapid Consolidation," 4 September 2025 (includes Drake Star Q2 2025 M&amp;A data). https://businessof.tech/2025/09/04/msp-market-expands-to-500b-as-provider-count-shrinks-amid-rapid-consolidation/</w:t>
      </w:r>
    </w:p>
    <w:p>
      <w:r>
        <w:t>[2] Canalys, reported in InfotechLead, "Canalys Forums APAC 2025: How AI, Automation and Security Are Redefining Managed Services," 3 December 2025. https://infotechlead.com/channels/canalys-forums-apac-2025-how-ai-automation-and-security-are-redefining-managed-services-92457</w:t>
      </w:r>
    </w:p>
    <w:p>
      <w:r>
        <w:t>[3] Omdia (Robin Ody), "MSP Trends and Predictions 2025," 15 January 2025. https://omdia.tech.informa.com/blogs/2025/jan/msp%20trends%20and%20predictions%202025%20-%20executive%20summary</w:t>
      </w:r>
    </w:p>
    <w:p>
      <w:r>
        <w:t>[4] Service Leadership Index (ConnectWise), Q4 2024 results press release, 13 February 2025. https://www.connectwise.com/company/press/releases/service-leadership-index-q4-data</w:t>
      </w:r>
    </w:p>
    <w:p>
      <w:r>
        <w:t>[5] Service Leadership Index (ConnectWise), 2026 Annual IT Solution Provider Profitability Report press release, 23 June 2026. https://www.connectwise.com/company/press/releases/service-leadership-report-reveals-historic-growth-for-it-solution-providers-and-the-operational-factors-defining-this-economic-shift</w:t>
      </w:r>
    </w:p>
    <w:p>
      <w:r>
        <w:t>[6] Gartner, "Gartner Predicts Agentic AI Will Autonomously Resolve 80% of Common Customer Service Issues Without Human Intervention by 2029," press release, 5 March 2025. https://www.gartner.com/en/newsroom/press-releases/2025-03-05-gartner-predicts-agentic-ai-will-autonomously-resolve-80-percent-of-common-customer-service-issues-without-human-intervention-by-20290</w:t>
      </w:r>
    </w:p>
    <w:p>
      <w:r>
        <w:t>[7] Gartner, "Gartner Predicts Over 40% of Agentic AI Projects Will Be Canceled by End of 2027," press release, 25 June 2025. https://www.gartner.com/en/newsroom/press-releases/2025-06-25-gartner-predicts-over-40-percent-of-agentic-ai-projects-will-be-canceled-by-end-of-2027</w:t>
      </w:r>
    </w:p>
    <w:p>
      <w:r>
        <w:t>[8] Gartner, "Gartner Survey Finds All IT Work Will Involve AI by 2030" (survey of 700+ CIOs), press release, 20 October 2025. https://www.gartner.com/en/newsroom/press-releases/2025-10-20-gartner-survey-finds-all-it-work-will-involve-ai-by-2030-organizations-must-navigate-ai-readiness-and-human-readiness-to-find-capture-and-sustain-value</w:t>
      </w:r>
    </w:p>
    <w:p>
      <w:r>
        <w:t>[9] Gartner, "Gartner Forecasts Worldwide End-User Spending on Information Security to Total $213 Billion in 2025," press release, 29 July 2025. https://www.gartner.com/en/newsroom/press-releases/2025-07-29-gartner-forecasts-worldwide-end-user-spending-on-information-security-to-total-213-billion-us-dollars-in-2025</w:t>
      </w:r>
    </w:p>
    <w:p>
      <w:r>
        <w:t>[10] Gartner, "Gartner Forecasts Worldwide IT Spending to Grow 13.5% in 2026, Totaling $6.31 Trillion," press release, 22 April 2026. https://www.gartner.com/en/newsroom/press-releases/2026-04-22-gartner-forecasts-worldwide-it-spending-to-grow-13-point-5-percent-in-2026-totaling-6-point-31-trillion-dollars</w:t>
      </w:r>
    </w:p>
    <w:p>
      <w:r>
        <w:t>[11] Gartner, Market Guide for Managed Detection and Response Services, 2021 (50%-by-2025 projection, as quoted by Pondurance and Red Canary); successor Market Guide, 1 October 2025, Gartner document 7010398. https://www.gartner.com/en/documents/7010398</w:t>
      </w:r>
    </w:p>
    <w:p>
      <w:r>
        <w:t>[12] ISG, "Index Insider: Managed Services Was Flat in 2024, but Stronger Growth Is Ahead," 2025. https://isg-one.com/articles/index-insider--managed-services-was-flat-in-2024--but-stronger-growth-is-ahead</w:t>
      </w:r>
    </w:p>
    <w:p>
      <w:r>
        <w:t>[13] ISG, "After Prolonged Downturn, Global IT, Business Services Market Reaches New High in Q3: ISG Index," press release, 15 October 2024. https://ir.isg-one.com/news-market-information/press-releases/news-details/2024/After-Prolonged-Downturn-Global-IT-Business-Services-Market-Reaches-New-High-in-Q3-ISG-Index/default.aspx</w:t>
      </w:r>
    </w:p>
    <w:p>
      <w:r>
        <w:t>[14] McKinsey &amp; Company, "The Economic Potential of Generative AI: The Next Productivity Frontier," June 2023. https://www.mckinsey.com/capabilities/mckinsey-digital/our-insights/the-economic-potential-of-generative-ai-the-next-productivity-frontier</w:t>
      </w:r>
    </w:p>
    <w:p>
      <w:r>
        <w:t>[15] World Economic Forum, Future of Jobs Report 2025, January 2025. https://www.weforum.org/press/2025/01/future-of-jobs-report-2025-78-million-new-job-opportunities-by-2030-but-urgent-upskilling-needed-to-prepare-workforces/</w:t>
      </w:r>
    </w:p>
    <w:p>
      <w:r>
        <w:t>[16] Goldman Sachs research, reported by CNBC, "AI automation could impact 300 million jobs," 28 March 2023. https://www.cnbc.com/2023/03/28/ai-automation-could-impact-300-million-jobs-heres-which-ones.html</w:t>
      </w:r>
    </w:p>
    <w:p>
      <w:r>
        <w:t>[17] MIT NANDA, "The GenAI Divide: State of AI in Business 2025," July 2025; corroborated by Forbes, 26 August 2025. https://www.artificialintelligence-news.com/wp-content/uploads/2025/08/ai_report_2025.pdf</w:t>
      </w:r>
    </w:p>
    <w:p>
      <w:r>
        <w:t>[18] IDC (Microsoft-commissioned), via Microsoft Partner blog, "AI value for partners" (US$8.45 services / US$10.93 software per US$1 of Microsoft revenue; 62% of partner revenue from services), 19 September 2024. Flagged: vendor-commissioned. https://partner.microsoft.com/en-us/blog/article/ai-value-for-partners</w:t>
      </w:r>
    </w:p>
    <w:p>
      <w:r>
        <w:t>[19] Deloitte Insights, "XaaS and outcome-based pricing" research. https://www.deloitte.com/us/en/insights/industry/manufacturing-industrial-products/industry-4-0/xaas-outcome-based-pricing.html</w:t>
      </w:r>
    </w:p>
    <w:p>
      <w:r>
        <w:t>[20] Grand View Research, "Managed Detection and Response Market Report, 2024–2030" (single-source CAGR; directionally corroborated by Canalys). https://www.grandviewresearch.com/industry-analysis/managed-detection-response-market-report</w:t>
      </w:r>
    </w:p>
    <w:p>
      <w:r>
        <w:t>[21] Aventis Advisors, "MSP Valuation Multiples," 22 January 2025 (120 disclosed transactions; data to July 2025). https://aventis-advisors.com/msp-valuation-multiples/</w:t>
      </w:r>
    </w:p>
    <w:p>
      <w:r>
        <w:t>[22] Aventis Advisors, "Cybersecurity Valuation Multiples." https://aventis-advisors.com/cybersecurity-valuation-multiples/</w:t>
      </w:r>
    </w:p>
    <w:p>
      <w:r>
        <w:t>[23] Microsoft Investor Relations, FY2025 Q2 earnings press release (AI business run rate US$13 billion, +175%), 29 January 2025. https://www.microsoft.com/en-us/investor/earnings/fy-2025-q2/press-release-webcast</w:t>
      </w:r>
    </w:p>
    <w:p>
      <w:r>
        <w:t>[24] Microsoft Q3 FY2025 earnings, reported by CX Today, "Microsoft Hits 1MN+ Custom AI Agent Milestone, with 230,000+ Organizations Using Copilot Studio," 1 May 2025. Company-reported figures. https://www.cxtoday.com/contact-center/microsoft-hits-1mn-custom-ai-agent-milestone-with-230000-organizations-using-copilot-studio/</w:t>
      </w:r>
    </w:p>
    <w:p>
      <w:r>
        <w:t>[25] Microsoft FY2026 Q4 earnings, reported by UC Today, "Microsoft 365 Copilot Passes 30 Million Paid Seats," 30 July 2026. Company-reported figures. https://www.uctoday.com/unified-communications/microsoft-365-copilot-passes-30-million-paid-seats-as-cloud-and-ai-growth-power-record-quarter/</w:t>
      </w:r>
    </w:p>
    <w:p>
      <w:r>
        <w:t>[26] Satya Nadella, BG2 podcast remarks, reported by CX Today, "Microsoft CEO: AI Agents Will Transform SaaS as We Know It," 23 December 2024. https://www.cxtoday.com/customer-analytics-intelligence/microsoft-ceo-ai-agents-will-transform-saas-as-we-know-it/</w:t>
      </w:r>
    </w:p>
    <w:p>
      <w:r>
        <w:t>[27] Microsoft Security Blog, "Microsoft Unveils Microsoft Security Copilot Agents and New Protections for AI," 24 March 2025. https://www.microsoft.com/en-us/security/blog/2025/03/24/microsoft-unveils-microsoft-security-copilot-agents-and-new-protections-for-ai/</w:t>
      </w:r>
    </w:p>
    <w:p>
      <w:r>
        <w:t>[28] Microsoft 365 Blog, "Microsoft Ignite 2025: Copilot and Agents Built to Power the Frontier Firm" (Agent 365), 18 November 2025. https://www.microsoft.com/en-us/microsoft-365/blog/2025/11/18/microsoft-ignite-2025-copilot-and-agents-built-to-power-the-frontier-firm/</w:t>
      </w:r>
    </w:p>
    <w:p>
      <w:r>
        <w:t>[29] Microsoft Partner Blog, "New Benefits, Designations and Specializations" (Microsoft AI Cloud Partner Program restructuring), 31 July 2025. https://partner.microsoft.com/en-us/blog/article/new-benefits-designations-specializations</w:t>
      </w:r>
    </w:p>
    <w:p>
      <w:r>
        <w:t>[30] Microsoft Learn, "Start Using Windows Autopatch." https://learn.microsoft.com/en-us/windows/deployment/windows-autopatch/prepare/windows-autopatch-start-using-autopatch</w:t>
      </w:r>
    </w:p>
    <w:p>
      <w:r>
        <w:t>[31] Microsoft Learn, "Cross-Tenant Management Experiences — Azure Lighthouse." https://learn.microsoft.com/en-us/azure/lighthouse/concepts/cross-tenant-management-experience</w:t>
      </w:r>
    </w:p>
    <w:p>
      <w:r>
        <w:t>[32] Microsoft Learn, "Microsoft Intune Advanced Capabilities" (Remote Help, Endpoint Privilege Management). https://learn.microsoft.com/en-us/intune/fundamentals/advanced-capabilities</w:t>
      </w:r>
    </w:p>
    <w:p>
      <w:r>
        <w:t>[33] Microsoft Security, "Microsoft Defender Experts for XDR" (managed detection and response service). https://www.microsoft.com/en-us/security/business/services/microsoft-defender-experts-mdr</w:t>
      </w:r>
    </w:p>
    <w:p>
      <w:r>
        <w:t>[34] Microsoft Security, "Microsoft Defender Pricing" (Microsoft 365 E5 inclusive of Security Copilot). https://www.microsoft.com/en-us/security/microsoft-defender-pricing</w:t>
      </w:r>
    </w:p>
    <w:p>
      <w:r>
        <w:t>[35] Microsoft, "Randomized Controlled Trial for Copilot for Security," whitepaper, January 2024. Flagged: vendor-run study. https://www.microsoft.com/content/dam/microsoft/final/en-us/microsoft-product-and-services/microsoft-dynamics-365/pdf/Microsoft-Copilot-for-Security-productivity-findings-Whitepaper-Jan2024.pdf</w:t>
      </w:r>
    </w:p>
    <w:p>
      <w:r>
        <w:t>[36] Amazon Web Services, "AWS Managed Services" (80% of incidents proactively detected; up to 97% automated). Vendor-reported. https://aws.amazon.com/managed-services/</w:t>
      </w:r>
    </w:p>
    <w:p>
      <w:r>
        <w:t>[37] CrowdStrike Blog, "Agentic AI Innovation in Cybersecurity: Charlotte AI Detection Triage," 13 February 2025. Vendor-reported. https://www.crowdstrike.com/en-us/blog/agentic-ai-innovation-in-cybersecurity-charlotte-ai-detection-triage/</w:t>
      </w:r>
    </w:p>
    <w:p>
      <w:r>
        <w:t>[38] Palo Alto Networks Blog, "2025: The Year of the Autonomous SOC. The Year of XSIAM" (US$1B cumulative bookings; Forrester TEI, vendor-commissioned), 18 December 2025. https://www.paloaltonetworks.com/blog/security-operations/2025-the-year-of-the-autonomous-soc-the-year-of-xsiam/</w:t>
      </w:r>
    </w:p>
    <w:p>
      <w:r>
        <w:t>[39] Klarna, "Klarna AI Assistant Handles Two-Thirds of Customer Service Chats in Its First Month," 27 February 2024. https://www.klarna.com/international/press/klarna-ai-assistant-handles-two-thirds-of-customer-service-chats-in-its-first-month/</w:t>
      </w:r>
    </w:p>
    <w:p>
      <w:r>
        <w:t>[40] The Independent (citing Bloomberg), "Klarna's AI replaced 700 workers — now it wants humans back," 22 May 2025. https://www.independent.co.uk/news/business/klarna-ceo-sebastian-siemiatkowski-ai-job-cuts-hiring-b2755580.html</w:t>
      </w:r>
    </w:p>
    <w:p>
      <w:r>
        <w:t>[41] IBM, Cost of a Data Breach Report 2024 (global average US$4.88 million), 30 July 2024. https://newsroom.ibm.com/2024-07-30-ibm-report-escalating-data-breach-disruption-pushes-costs-to-new-highs</w:t>
      </w:r>
    </w:p>
    <w:p>
      <w:r>
        <w:t>[42] Verizon, 2025 Data Breach Investigations Report (ransomware in 88% of SMB breaches), via Infosecurity Magazine. https://www.infosecurity-magazine.com/news/verizon-dbir-smb-ransomware-attacks/ and https://www.verizon.com/business/resources/reports/dbir/</w:t>
      </w:r>
    </w:p>
    <w:p>
      <w:r>
        <w:t>[43] Kaseya, 2024 MSP Benchmark Survey Report (984 respondents), March 2024. Flagged: vendor survey. https://www.kaseya.com/wp-content/uploads/dlm_uploads/2024/03/Whitepaper-2024-MSP-Benchmark-Survey_Kaseya.pdf</w:t>
      </w:r>
    </w:p>
    <w:p>
      <w:r>
        <w:t>[44] Datto (Kaseya), Global State of the MSP Report 2024 (~1,575 MSPs surveyed; consulted). https://www.datto.com/resources/dattos-global-state-of-the-msp-report-2024/</w:t>
      </w:r>
    </w:p>
    <w:p>
      <w:r>
        <w:t>[45] US Bureau of Labor Statistics, Occupational Outlook Handbook, "Computer Support Specialists" (May 2024 data; modified 28 August 2025). https://www.bls.gov/ooh/computer-and-information-technology/computer-support-specialists.htm</w:t>
      </w:r>
    </w:p>
    <w:p>
      <w:r>
        <w:t>[46] US Bureau of Labor Statistics, Occupational Outlook Handbook, "Travel Agents"; employment analysis via Perk. https://www.bls.gov/ooh/Sales/Travel-agents.htm and https://www.perk.com/blog/how-online-booking-has-changed-travel-agent-landscape/</w:t>
      </w:r>
    </w:p>
    <w:p>
      <w:r>
        <w:t>[47] US Securities and Exchange Commission, cybersecurity disclosure rules statement (Form 8-K Item 1.05; four business days), 14 December 2023. https://www.sec.gov/newsroom/speeches-statements/gerding-cybersecurity-disclosure-20231214</w:t>
      </w:r>
    </w:p>
    <w:p>
      <w:r>
        <w:t>[48] Australian Signals Directorate, "Essential Eight" (cyber.gov.au); Protective Security Policy Framework amendment. https://www.cyber.gov.au/business-government/asds-cyber-security-frameworks/essential-eight and https://www.protectivesecurity.gov.au/news/policy-amendment-information-security</w:t>
      </w:r>
    </w:p>
    <w:p>
      <w:r>
        <w:t>[49] CMMC 2.0 DFARS final rule (effective 10 November 2025), commentary by Bright Defense. https://www.brightdefense.com/news/cmmc-2-0-becomes-a-contract-test-for-defense-contractors/</w:t>
      </w:r>
    </w:p>
    <w:p>
      <w:r>
        <w:t>[50] StockAnalysis (S&amp;P Global data), Rackspace Technology (RXT) market capitalisation history. https://stockanalysis.com/stocks/rxt/market-cap/</w:t>
      </w:r>
    </w:p>
    <w:p>
      <w:r>
        <w:t>[51] Wall Street Journal, "Rackspace to Go Private in $4.3 Billion Deal," August 2016; TechCrunch, 26 August 2016. https://www.wsj.com/articles/rackspace-to-go-private-in-4-3-billion-deal-1472218264 and https://techcrunch.com/2016/08/26/rackspace-to-go-private-after-4-3b-acquisition-by-private-equity-firm-apollo/</w:t>
      </w:r>
    </w:p>
    <w:p>
      <w:r>
        <w:t>[52] StockAnalysis, DXC Technology revenue history, 2005–2026 (from filings). https://stockanalysis.com/stocks/dxc/revenue/</w:t>
      </w:r>
    </w:p>
    <w:p>
      <w:r>
        <w:t>[53] StockAnalysis, Kyndryl Holdings revenue history; CIO Dimension interview on contract profitability at spin-off. https://stockanalysis.com/stocks/kd/revenue/ and https://ciodimension.com/interview/we-are-not-a-legacy-spinoff-losing-money-karen-forbes-kyndryl/</w:t>
      </w:r>
    </w:p>
    <w:p>
      <w:r>
        <w:t>[54] HP Inc, Form 10-K FY2024 (SEC EDGAR); Statista, HP printing segment revenue 2008–2024. https://www.sec.gov/Archives/edgar/data/47217/000004721724000080/hpq-20241031.htm and https://www.statista.com/statistics/274447/hewlett-packards-net-revenue-from-the-imaging-and-printing-group-since-2008/</w:t>
      </w:r>
    </w:p>
    <w:p>
      <w:r>
        <w:t>[55] Morningstar, Xerox company report ("perpetual decline as printing revenue dries up"). https://www.morningstar.com/company-reports/1203576-xerox-remains-a-firm-in-perpetual-decline-as-printing-revenue-dries-up-amid-digitization</w:t>
      </w:r>
    </w:p>
    <w:p>
      <w:r>
        <w:t>[56] Accenture generative-AI bookings: CRN, "Accenture's $3B AI Bet Is Paying Off," 2025; Moneycontrol, "Accenture's Gen AI bookings touch $5.9 bn for FY25." https://www.crn.com/news/ai/2025/accenture-s-3b-ai-bet-is-paying-off-inside-a-massive-transformation-fueled-by-advanced-ai and https://www.moneycontrol.com/news/business/information-technology/accenture-s-gen-ai-bookings-jump-to-1-8-bn-in-q4-touch-5-9-bn-for-fy25-13579665.html</w:t>
      </w:r>
    </w:p>
    <w:p>
      <w:r>
        <w:t>[57] ARN, "Microsoft Tightens CSP Rules, Impacting Partners, Distributors and Resellers," 5 May 2025. https://www.arnnet.com.au/article/3976824/microsoft-tightens-csp-rules-impacting-partners-distributors-and-resellers.html</w:t>
      </w:r>
    </w:p>
    <w:p>
      <w:r>
        <w:t>[58] ChangePilot, "Microsoft's CSP Core Incentive Overhaul," 16 July 2026. Flagged: vendor blog; directionally corroborated by ARN [57]. https://changepilot.cloud/blog/microsofts-csp-core-incentive-overhaul</w:t>
      </w:r>
    </w:p>
    <w:p>
      <w:r>
        <w:t>[59] MetricNet / HDI (thinkHDI), "Understanding the Service Desk Metric of Cost per Ticket," December 2021, updated October 2024 (per-ticket dollar benchmarks membership-gated; cited qualitatively). https://www.thinkhdi.com/library/supportworld/2021/understanding-cost-per-ticket</w:t>
      </w:r>
    </w:p>
    <w:p>
      <w:r>
        <w:t>[60] Blockbuster business history: TMS Outsource, "Why Did Blockbuster Fail"; Wikipedia, "Blockbuster (retailer)." https://tms-outsource.com/blog/posts/why-did-blockbuster-fail/ and https://en.wikipedia.org/wiki/Blockbuster_(retailer)</w:t>
      </w:r>
    </w:p>
    <w:p>
      <w:r>
        <w:t>[61] Zendesk AI pricing (per automated resolution), analysis by getMacha citing Zendesk's published pricing, June 2026. https://www.getmacha.com/blog/zendesk-ai-pricing-explained</w:t>
      </w:r>
    </w:p>
    <w:p>
      <w:r>
        <w:t>[62] Drake Star Partners, MSP M&amp;A transaction data, Q2 2025, via Business of Tech (see [1]).</w:t>
      </w:r>
    </w:p>
    <w:p>
      <w:r>
        <w:t>[63] RewiredMSP, "The MSP Race to the Bottom"; Bering McKinley, "MSPs Are Being Commoditized." Flagged: practitioner commentary. https://rewiredmsp.com/blog/msp-race-to-the-bottom/ and https://beringmckinley.com/blog/msps-are-being-commoditized-heres-the-way-out</w:t>
      </w:r>
    </w:p>
    <w:p>
      <w:r>
        <w:t>[64] Kaptius, "Benchmarking Your MSP: Where Do You Stand Among Industry Leaders." Flagged: consultancy benchmark, indicative only. https://kaptius.com/empowering-digital-transformation/benchmarking-your-msp-where-do-you-stand-among-industry-leaders</w:t>
      </w:r>
    </w:p>
    <w:p>
      <w:r>
        <w:t>[65] Canalys, via ChannelE2E, "Managed Security 2024 Forecast: Big Growth Ahead"; Omdia, "Now and Next for Cybersecurity Managed Services," 2025. https://www.channele2e.com/news/managed-security-2024-forecast-big-growth-ahead and https://omdia.tech.informa.com/insights/2025/now-and-next-for-cybersecurity-managed-services</w:t>
      </w:r>
    </w:p>
    <w:p>
      <w:r>
        <w:t>[66] Cyber-insurance underwriting requirements commentary: Petronella, "Cyber Insurance Readiness"; Clearnetwork, "Cyber Insurance Requirements." Flagged: commercial interest. https://petronellatech.com/landing/cyber-insurance-readiness/ and https://clearnetwork.com/cyber-insurance-requirements/</w:t>
      </w:r>
    </w:p>
    <w:sectPr w:rsidR="00FC693F" w:rsidRPr="0006063C" w:rsidSect="00034616">
      <w:pgSz w:w="12240" w:h="15840"/>
      <w:pgMar w:top="1440" w:right="1800" w:bottom="1440" w:left="1800" w:header="720" w:footer="720" w:gutter="0"/>
      <w:cols w:space="720"/>
      <w:docGrid w:linePitch="360"/>
      <w:footerReference w:type="default" r:id="rId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The End of Business as Usual — Strategic Research Report — 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1">
    <w:abstractNumId w:val="9"/>
  </w:num>
  <w:num w:numId="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image" Target="media/image4.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874EEE7-C3B8-4670-9D9D-3D133E3BCD15}"/>
</file>

<file path=customXml/itemProps3.xml><?xml version="1.0" encoding="utf-8"?>
<ds:datastoreItem xmlns:ds="http://schemas.openxmlformats.org/officeDocument/2006/customXml" ds:itemID="{370B0330-6AE0-48D2-AB69-589BFAC346D1}"/>
</file>

<file path=customXml/itemProps4.xml><?xml version="1.0" encoding="utf-8"?>
<ds:datastoreItem xmlns:ds="http://schemas.openxmlformats.org/officeDocument/2006/customXml" ds:itemID="{A6691C34-F141-450A-8976-1C41692D620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End of Business as Usual: Why the Traditional MSP and TSP Business Model Is Becoming Obsolete</dc:title>
  <dc:subject>Strategic research report on MSP/TSP business model viability, 2026–2035</dc:subject>
  <dc:creator>CIAOPS</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