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the Traditional MSP and TSP Business Model Is Becoming Obsolete</w:t>
      </w:r>
    </w:p>
    <w:p>
      <w:pPr>
        <w:pStyle w:val="Subtitle"/>
      </w:pPr>
      <w:r>
        <w:t>A Strategic Research Report on the Economic and Strategic Sustainability of Managed and Technology Service Providers, 2026–2036</w:t>
      </w:r>
    </w:p>
    <w:p>
      <w:pPr>
        <w:pStyle w:val="Normal"/>
      </w:pPr>
      <w:r>
        <w:t>Prepared by CIAOPS  ·  Independent strategic analysis for MSP owners, Microsoft partners, partner executives, boards, and private-equity investors</w:t>
      </w:r>
    </w:p>
    <w:p>
      <w:pPr>
        <w:pStyle w:val="Normal"/>
      </w:pPr>
      <w:r>
        <w:t>10 August 2026</w:t>
      </w:r>
    </w:p>
    <w:p>
      <w:pPr>
        <w:pStyle w:val="Normal"/>
      </w:pPr>
      <w:r>
        <w:t>This report objectively tests — rather than assumes — the thesis that traditional managed-services delivery models are becoming economically and strategically unsustainable. It is written for an owner who runs a successful, conventional managed-services business and is sceptical that major change is required.</w:t>
      </w:r>
    </w:p>
    <w:p>
      <w:r>
        <w:br w:type="page"/>
      </w:r>
    </w:p>
    <w:p>
      <w:pPr>
        <w:pStyle w:val="Heading1"/>
      </w:pPr>
      <w:r>
        <w:t>Contents</w:t>
      </w:r>
    </w:p>
    <w:p>
      <w:fldSimple w:instr="TOC \o &quot;1-3&quot; \h \z \u" w:dirty="true">
        <w:r>
          <w:t>Table of contents (updates when the document opens)</w:t>
        </w:r>
      </w:fldSimple>
    </w:p>
    <w:p>
      <w:r>
        <w:br w:type="page"/>
      </w:r>
    </w:p>
    <w:p>
      <w:pPr>
        <w:pStyle w:val="Heading1"/>
      </w:pPr>
      <w:r>
        <w:t>1. Executive Summary</w:t>
      </w:r>
    </w:p>
    <w:p>
      <w:pPr>
        <w:pStyle w:val="Normal"/>
      </w:pPr>
      <w:r>
        <w:t>The evidence does not support the blunt claim that “MSPs are dying.” It strongly supports a more precise and, for owners, more actionable conclusion: the traditional economic engine of the managed-services business — labour arbitrage on routine work, per-user and per-device pricing of commoditised infrastructure, reactive help-desk support, and margin on product resale — is becoming obsolete, while the managed-services category as a whole keeps growing. The correct executive framing is therefore not extinction but bifurcation: the labour-arbitrage MSP is obsolescing at the same time as the AI-, security-, and outcome-led MSP is becoming the fastest-growing role in the technology channel.</w:t>
      </w:r>
    </w:p>
    <w:p>
      <w:pPr>
        <w:pStyle w:val="Normal"/>
      </w:pPr>
      <w:r>
        <w:t>Three structural facts anchor that conclusion. First, the traditional core is flat while the market grows around it. ISG’s enterprise index shows managed services growing less than 2% in 2025 — its slowest rate since 2020 — while cloud and as-a-service contracting grew roughly 25–31%; ISG states plainly that “more traditional, labor-centric services remained under pressure.” Yet channel analysts still size the delivered managed-services market at roughly US$595 billion in 2025, growing about 13% and delivered by some 341,000 partners. Both facts are true at once, and that combination is exactly what a model becoming obsolete inside a growing category looks like.</w:t>
      </w:r>
    </w:p>
    <w:p>
      <w:pPr>
        <w:pStyle w:val="Normal"/>
      </w:pPr>
      <w:r>
        <w:t>Second, the unit economics are compressing and polarising. Kaseya’s 2026 survey of 1,061 MSPs found the share of providers with clients spending more than US$25,000 a year fell to 41% from 75% year-on-year, while the share of MSPs reporting themselves unprofitable doubled from 5% to 10%. Gross margins already reveal the weakness of the commodity lines: managed services run about 46%, product resale about 26%, and project work about 19%. Best-in-class providers, by contrast, posted a fifth consecutive year of 19%-plus adjusted EBITDA — proof that the money is moving to a different operating model, not out of the industry.</w:t>
      </w:r>
    </w:p>
    <w:p>
      <w:pPr>
        <w:pStyle w:val="Normal"/>
      </w:pPr>
      <w:r>
        <w:t>Third, all three sources of traditional MSP value are under simultaneous attack. Artificial intelligence is collapsing labour arbitrage: controlled studies show 14–56% productivity gains on exactly the L1/L2, scripting, and support tasks MSPs bill for, and Gartner expects agentic AI to autonomously resolve 80% of common service issues by 2029 with a 30% cut in operating cost. Hyperscaler marketplaces and native automation are collapsing resale margin, with marketplace fees falling from upwards of 20% to as little as 3%. And platform vendors are now selling the managed outcome directly — Microsoft’s Defender Experts delivers “always-on, AI-accelerated managed detection and response … natively integrated in Microsoft Defender” — collapsing the scarcity of expertise that MSPs once monetised.</w:t>
      </w:r>
    </w:p>
    <w:p>
      <w:pPr>
        <w:pStyle w:val="Normal"/>
      </w:pPr>
      <w:r>
        <w:t>The counter-evidence is real and is treated seriously throughout this report. The market is growing; partner economics remain strong, with a Microsoft-commissioned IDC study finding that partners providing services generate US$8.45 for every US$1 of Microsoft revenue; private equity appeared in roughly 69% of 2025 MSP acquisitions; and AI execution frequently disappoints, with Gartner forecasting that over 40% of agentic-AI projects will be cancelled by the end of 2027. But none of this rescues the traditional model — capital is paying a premium precisely for the attributes the traditional model lacks (recurring revenue, security attach, scale), and PE is buying the transformation, not the status quo.</w:t>
      </w:r>
    </w:p>
    <w:p>
      <w:pPr>
        <w:pStyle w:val="Normal"/>
      </w:pPr>
      <w:r>
        <w:t>The financial stakes for an individual owner are large. An illustrative US$5.0 million traditional MSP modelled in this report earns roughly 7.9% EBITDA today. Held unchanged through five years of commodity deflation and AI ticket-deflection, its EBITDA falls to near breakeven and its enterprise value all but disappears. Re-mixed toward security, AI advisory, co-managed services, and subscription intellectual property, the same firm reaches roughly 26% EBITDA and an enterprise value roughly ten times higher. The question this report answers is not whether the traditional model is under threat — the evidence says it is — but how much time an owner has to act, and what the highest-return moves are. The window to reposition is approximately three to five years.</w:t>
      </w:r>
    </w:p>
    <w:p>
      <w:r>
        <w:br w:type="page"/>
      </w:r>
    </w:p>
    <w:p>
      <w:pPr>
        <w:pStyle w:val="Heading1"/>
      </w:pPr>
      <w:r>
        <w:t>2. Research Methodology</w:t>
      </w:r>
    </w:p>
    <w:p>
      <w:pPr>
        <w:pStyle w:val="Normal"/>
      </w:pPr>
      <w:r>
        <w:t>This report synthesises three parallel evidence streams: (1) the economics and market structure of the MSP/TSP industry; (2) the impact of AI and agentic automation together with the strategic direction of Microsoft and the hyperscalers; and (3) security as a managed service, set against historical cases of intermediaries disrupted by platform shifts. Across the three streams, 86 distinct sources were retrieved, of which roughly 40 are primary filings or Tier-1 analyst publications.</w:t>
      </w:r>
    </w:p>
    <w:p>
      <w:pPr>
        <w:pStyle w:val="Normal"/>
      </w:pPr>
      <w:r>
        <w:t>Source prioritisation followed the brief. Authoritative and verifiable sources were prioritised in this order: industry analysts (Gartner, IDC, Forrester, Canalys, ISG, McKinsey, Deloitte); primary financial disclosures (public-company results, investor metrics, and earnings-call statements from Microsoft, CrowdStrike, Palo Alto Networks, ServiceNow, and Rackspace); official vendor and partner-program documentation (Microsoft investor relations, Build and Ignite announcements, and the Microsoft AI Cloud Partner Program); government and academic research (the World Economic Forum, the U.S. Bureau of Labor Statistics, NBER, and peer-reviewed studies); and industry benchmarks (Service Leadership/ConnectWise, Kaseya, CompTIA, and Omdia). Marketing claims and unsupported opinion were excluded.</w:t>
      </w:r>
    </w:p>
    <w:p>
      <w:pPr>
        <w:pStyle w:val="Normal"/>
      </w:pPr>
      <w:r>
        <w:t>Each stream applied the same verification discipline: atomic claims were checked against two or more independent sources wherever possible; vendor and advisory content was stress-tested with lateral reading; financial figures were re-read at the original investor-relations source; and the central thesis was examined through competing hypotheses so that disconfirming evidence was actively sought rather than ignored. Roughly 85–90% of the core claims in this report are corroborated by two or more independent sources or a primary filing.</w:t>
      </w:r>
    </w:p>
    <w:p>
      <w:pPr>
        <w:pStyle w:val="Normal"/>
      </w:pPr>
      <w:r>
        <w:t>Three limitations are stated up front and carried through the analysis. Syndicated market-sizing for “managed services” varies widely by definition — from roughly US$240 billion to US$730 billion — so this report relies on relative growth rates, which are robust, rather than absolute levels, which are not. Vendor-sponsored benchmarks (Kaseya, ConnectWise, and vendor-commissioned analyst studies) may skew toward engaged or larger operators, and are cross-checked against independent analyst and M&amp;A data. And forward-looking figures, including Gartner’s 2029 automation forecast, are projections; realised 2025–26 data shows operational gains but lagging margin capture, so timing is treated as uncertain. The illustrative financial model in Section 6 is explicitly constructed from cited benchmarks and is directional, not a sourced forecast.</w:t>
      </w:r>
    </w:p>
    <w:p>
      <w:r>
        <w:br w:type="page"/>
      </w:r>
    </w:p>
    <w:p>
      <w:pPr>
        <w:pStyle w:val="Heading1"/>
      </w:pPr>
      <w:r>
        <w:t>3. Key Findings</w:t>
      </w:r>
    </w:p>
    <w:p>
      <w:pPr>
        <w:pStyle w:val="Normal"/>
      </w:pPr>
      <w:r>
        <w:t>The traditional labour-arbitrage core is flat while the category grows. ISG reports full-year 2025 managed-services growth of less than 2%, its slowest since 2020, with declines in Q3 and Q4, even as cloud and as-a-service ACV grew 25–31% and now represents 65% of combined-market contract value. Growth has migrated to the segments the traditional model under-serves.</w:t>
      </w:r>
    </w:p>
    <w:p>
      <w:pPr>
        <w:pStyle w:val="Normal"/>
      </w:pPr>
      <w:r>
        <w:t>Unit economics are compressing and polarising. Deal sizes are shrinking (clients spending over US$25,000 a year fell from 75% to 41%), the unprofitable share of MSPs has doubled to 10%, and commodity service lines carry structurally thin margins (resale ~26%, projects ~19%) while the best-in-class hold 19%-plus EBITDA — a widening gap between transformed and traditional operators.</w:t>
      </w:r>
    </w:p>
    <w:p>
      <w:pPr>
        <w:pStyle w:val="Normal"/>
      </w:pPr>
      <w:r>
        <w:t>Labour arbitrage is eroding from three directions at once. Talent is scarcer and costlier (the cybersecurity field alone needs an estimated 4 million more professionals), AI is automating the billable ticket work (14–56% measured productivity gains today; Gartner’s 80%/−30% forecast by 2029), and policy is repricing offshore delivery (a new US$100,000 visa fee). “Bodies-on-tickets” is turning from an advantage into a liability.</w:t>
      </w:r>
    </w:p>
    <w:p>
      <w:pPr>
        <w:pStyle w:val="Normal"/>
      </w:pPr>
      <w:r>
        <w:t>Platforms are capturing value MSPs once delivered. Microsoft, CrowdStrike, Palo Alto Networks, and ServiceNow are consolidating detection, response, automation, and administration into their platforms; Microsoft sells MDR directly through Defender Experts; and cloud marketplaces are compressing resale margin from over 20% to as little as 3%. The middle of the value chain is being squeezed from both ends.</w:t>
      </w:r>
    </w:p>
    <w:p>
      <w:pPr>
        <w:pStyle w:val="Normal"/>
      </w:pPr>
      <w:r>
        <w:t>Security is the clearest growth and valuation lane. Cybersecurity managed services were worth about US$70 billion in 2023 and grew ~15%, faster than security products; MDR is growing ~23% a year; and security-led providers command reported M&amp;A multiples of 13–14 times EBITDA against a median near 8.9 times. Generalists that treat security as a resold add-on are selling into the slow lane.</w:t>
      </w:r>
    </w:p>
    <w:p>
      <w:pPr>
        <w:pStyle w:val="Normal"/>
      </w:pPr>
      <w:r>
        <w:t>Buyers now want outcomes, not labour. Deloitte finds 82% of as-a-service adopters believe they would achieve better outcomes if providers behaved as consultative partners, and only three in ten are satisfied enough to stay with their current provider. Where value is not visible, Kaseya finds price becomes the only comparison metric — the definition of commoditisation.</w:t>
      </w:r>
    </w:p>
    <w:p>
      <w:pPr>
        <w:pStyle w:val="Normal"/>
      </w:pPr>
      <w:r>
        <w:t>History rhymes, but not perfectly. Long-distance resellers, managed-hosting firms, VARs, managed-print vendors, system integrators, and travel agents were each squeezed when a platform shift commoditised the layer they resold or managed; survivors moved up into specialisation and advisory. Two forces differentiate MSPs from those cases — regulation/cyber-insurance demand and a structural skills shortage — which bias the outcome toward forced transformation rather than outright disappearance.</w:t>
      </w:r>
    </w:p>
    <w:p>
      <w:r>
        <w:br w:type="page"/>
      </w:r>
    </w:p>
    <w:p>
      <w:pPr>
        <w:pStyle w:val="Heading1"/>
      </w:pPr>
      <w:r>
        <w:t>4. Evidence and Source Citations</w:t>
      </w:r>
    </w:p>
    <w:p>
      <w:pPr>
        <w:pStyle w:val="Normal"/>
      </w:pPr>
      <w:r>
        <w:t>The table below consolidates the headline quantitative evidence used throughout this report, each item traced to its originating source. Fuller context and additional statistics appear in the market, financial, Microsoft-strategy, and AI-impact sections that follow, and every source is listed in full in Section 14.</w:t>
      </w:r>
    </w:p>
    <w:p>
      <w:pPr>
        <w:pStyle w:val="Caption"/>
      </w:pPr>
      <w:r>
        <w:t>Table 1. Consolidated evidence base — headline statistics and sources</w:t>
      </w:r>
    </w:p>
    <w:tbl>
      <w:tblPr>
        <w:tblStyle w:val="LightShading-Accent1"/>
        <w:tblW w:w="5000" w:type="pct"/>
        <w:tblLayout w:type="fixed"/>
        <w:tblLook w:val="04A0" w:firstRow="1" w:lastRow="0" w:firstColumn="1" w:lastColumn="0" w:noHBand="0" w:noVBand="1"/>
      </w:tblPr>
      <w:tblGrid>
        <w:gridCol w:w="3820"/>
        <w:gridCol w:w="3400"/>
        <w:gridCol w:w="2140"/>
      </w:tblGrid>
      <w:tr>
        <w:trPr>
          <w:tblHeader/>
        </w:trPr>
        <w:tc>
          <w:tcPr>
            <w:tcW w:w="3820" w:type="dxa"/>
          </w:tcPr>
          <w:p>
            <w:r>
              <w:rPr>
                <w:b/>
              </w:rPr>
              <w:t>Finding</w:t>
            </w:r>
          </w:p>
        </w:tc>
        <w:tc>
          <w:tcPr>
            <w:tcW w:w="3400" w:type="dxa"/>
          </w:tcPr>
          <w:p>
            <w:r>
              <w:rPr>
                <w:b/>
              </w:rPr>
              <w:t>Key figure</w:t>
            </w:r>
          </w:p>
        </w:tc>
        <w:tc>
          <w:tcPr>
            <w:tcW w:w="2140" w:type="dxa"/>
          </w:tcPr>
          <w:p>
            <w:r>
              <w:rPr>
                <w:b/>
              </w:rPr>
              <w:t>Source (year)</w:t>
            </w:r>
          </w:p>
        </w:tc>
      </w:tr>
      <w:tr>
        <w:tc>
          <w:tcPr>
            <w:tcW w:w="3820" w:type="dxa"/>
          </w:tcPr>
          <w:p>
            <w:r>
              <w:t>Traditional managed-services growth, 2025</w:t>
            </w:r>
          </w:p>
        </w:tc>
        <w:tc>
          <w:tcPr>
            <w:tcW w:w="3400" w:type="dxa"/>
          </w:tcPr>
          <w:p>
            <w:r>
              <w:t>Under 2% (slowest since 2020)</w:t>
            </w:r>
          </w:p>
        </w:tc>
        <w:tc>
          <w:tcPr>
            <w:tcW w:w="2140" w:type="dxa"/>
          </w:tcPr>
          <w:p>
            <w:r>
              <w:t>ISG Index (2026)</w:t>
            </w:r>
          </w:p>
        </w:tc>
      </w:tr>
      <w:tr>
        <w:tc>
          <w:tcPr>
            <w:tcW w:w="3820" w:type="dxa"/>
          </w:tcPr>
          <w:p>
            <w:r>
              <w:t>Cloud / as-a-service share of enterprise ACV</w:t>
            </w:r>
          </w:p>
        </w:tc>
        <w:tc>
          <w:tcPr>
            <w:tcW w:w="3400" w:type="dxa"/>
          </w:tcPr>
          <w:p>
            <w:r>
              <w:t>65%, growing 25–31%</w:t>
            </w:r>
          </w:p>
        </w:tc>
        <w:tc>
          <w:tcPr>
            <w:tcW w:w="2140" w:type="dxa"/>
          </w:tcPr>
          <w:p>
            <w:r>
              <w:t>ISG Index (2025)</w:t>
            </w:r>
          </w:p>
        </w:tc>
      </w:tr>
      <w:tr>
        <w:tc>
          <w:tcPr>
            <w:tcW w:w="3820" w:type="dxa"/>
          </w:tcPr>
          <w:p>
            <w:r>
              <w:t>Delivered managed-services market, 2025</w:t>
            </w:r>
          </w:p>
        </w:tc>
        <w:tc>
          <w:tcPr>
            <w:tcW w:w="3400" w:type="dxa"/>
          </w:tcPr>
          <w:p>
            <w:r>
              <w:t>~US$595B, +13%, ~341,000 partners</w:t>
            </w:r>
          </w:p>
        </w:tc>
        <w:tc>
          <w:tcPr>
            <w:tcW w:w="2140" w:type="dxa"/>
          </w:tcPr>
          <w:p>
            <w:r>
              <w:t>Omdia / Canalys (2025)</w:t>
            </w:r>
          </w:p>
        </w:tc>
      </w:tr>
      <w:tr>
        <w:tc>
          <w:tcPr>
            <w:tcW w:w="3820" w:type="dxa"/>
          </w:tcPr>
          <w:p>
            <w:r>
              <w:t>Clients spending over US$25,000/yr</w:t>
            </w:r>
          </w:p>
        </w:tc>
        <w:tc>
          <w:tcPr>
            <w:tcW w:w="3400" w:type="dxa"/>
          </w:tcPr>
          <w:p>
            <w:r>
              <w:t>Fell 75% → 41% year-on-year</w:t>
            </w:r>
          </w:p>
        </w:tc>
        <w:tc>
          <w:tcPr>
            <w:tcW w:w="2140" w:type="dxa"/>
          </w:tcPr>
          <w:p>
            <w:r>
              <w:t>Kaseya (2026)</w:t>
            </w:r>
          </w:p>
        </w:tc>
      </w:tr>
      <w:tr>
        <w:tc>
          <w:tcPr>
            <w:tcW w:w="3820" w:type="dxa"/>
          </w:tcPr>
          <w:p>
            <w:r>
              <w:t>Share of MSPs reporting themselves unprofitable</w:t>
            </w:r>
          </w:p>
        </w:tc>
        <w:tc>
          <w:tcPr>
            <w:tcW w:w="3400" w:type="dxa"/>
          </w:tcPr>
          <w:p>
            <w:r>
              <w:t>Doubled 5% → 10%</w:t>
            </w:r>
          </w:p>
        </w:tc>
        <w:tc>
          <w:tcPr>
            <w:tcW w:w="2140" w:type="dxa"/>
          </w:tcPr>
          <w:p>
            <w:r>
              <w:t>Kaseya (2026)</w:t>
            </w:r>
          </w:p>
        </w:tc>
      </w:tr>
      <w:tr>
        <w:tc>
          <w:tcPr>
            <w:tcW w:w="3820" w:type="dxa"/>
          </w:tcPr>
          <w:p>
            <w:r>
              <w:t>Gross margin by service line</w:t>
            </w:r>
          </w:p>
        </w:tc>
        <w:tc>
          <w:tcPr>
            <w:tcW w:w="3400" w:type="dxa"/>
          </w:tcPr>
          <w:p>
            <w:r>
              <w:t>Managed 46% / resale 26% / projects 19%</w:t>
            </w:r>
          </w:p>
        </w:tc>
        <w:tc>
          <w:tcPr>
            <w:tcW w:w="2140" w:type="dxa"/>
          </w:tcPr>
          <w:p>
            <w:r>
              <w:t>Service Leadership (2024)</w:t>
            </w:r>
          </w:p>
        </w:tc>
      </w:tr>
      <w:tr>
        <w:tc>
          <w:tcPr>
            <w:tcW w:w="3820" w:type="dxa"/>
          </w:tcPr>
          <w:p>
            <w:r>
              <w:t>Best-in-class TSP profitability</w:t>
            </w:r>
          </w:p>
        </w:tc>
        <w:tc>
          <w:tcPr>
            <w:tcW w:w="3400" w:type="dxa"/>
          </w:tcPr>
          <w:p>
            <w:r>
              <w:t>5th year of 19%+ EBITDA; valuations +22%</w:t>
            </w:r>
          </w:p>
        </w:tc>
        <w:tc>
          <w:tcPr>
            <w:tcW w:w="2140" w:type="dxa"/>
          </w:tcPr>
          <w:p>
            <w:r>
              <w:t>Service Leadership (2025)</w:t>
            </w:r>
          </w:p>
        </w:tc>
      </w:tr>
      <w:tr>
        <w:tc>
          <w:tcPr>
            <w:tcW w:w="3820" w:type="dxa"/>
          </w:tcPr>
          <w:p>
            <w:r>
              <w:t>VAR revenue growth (transactional resale)</w:t>
            </w:r>
          </w:p>
        </w:tc>
        <w:tc>
          <w:tcPr>
            <w:tcW w:w="3400" w:type="dxa"/>
          </w:tcPr>
          <w:p>
            <w:r>
              <w:t>Collapsed 14.1% → 1.8%</w:t>
            </w:r>
          </w:p>
        </w:tc>
        <w:tc>
          <w:tcPr>
            <w:tcW w:w="2140" w:type="dxa"/>
          </w:tcPr>
          <w:p>
            <w:r>
              <w:t>Service Leadership (2025)</w:t>
            </w:r>
          </w:p>
        </w:tc>
      </w:tr>
      <w:tr>
        <w:tc>
          <w:tcPr>
            <w:tcW w:w="3820" w:type="dxa"/>
          </w:tcPr>
          <w:p>
            <w:r>
              <w:t>AI on customer / help-desk support</w:t>
            </w:r>
          </w:p>
        </w:tc>
        <w:tc>
          <w:tcPr>
            <w:tcW w:w="3400" w:type="dxa"/>
          </w:tcPr>
          <w:p>
            <w:r>
              <w:t>+14% average, +34% for novices</w:t>
            </w:r>
          </w:p>
        </w:tc>
        <w:tc>
          <w:tcPr>
            <w:tcW w:w="2140" w:type="dxa"/>
          </w:tcPr>
          <w:p>
            <w:r>
              <w:t>NBER WP 31161 (2023)</w:t>
            </w:r>
          </w:p>
        </w:tc>
      </w:tr>
      <w:tr>
        <w:tc>
          <w:tcPr>
            <w:tcW w:w="3820" w:type="dxa"/>
          </w:tcPr>
          <w:p>
            <w:r>
              <w:t>AI on scripting / coding tasks</w:t>
            </w:r>
          </w:p>
        </w:tc>
        <w:tc>
          <w:tcPr>
            <w:tcW w:w="3400" w:type="dxa"/>
          </w:tcPr>
          <w:p>
            <w:r>
              <w:t>55.8% faster</w:t>
            </w:r>
          </w:p>
        </w:tc>
        <w:tc>
          <w:tcPr>
            <w:tcW w:w="2140" w:type="dxa"/>
          </w:tcPr>
          <w:p>
            <w:r>
              <w:t>Peng et al., arXiv (2023)</w:t>
            </w:r>
          </w:p>
        </w:tc>
      </w:tr>
      <w:tr>
        <w:tc>
          <w:tcPr>
            <w:tcW w:w="3820" w:type="dxa"/>
          </w:tcPr>
          <w:p>
            <w:r>
              <w:t>Agentic AI service resolution</w:t>
            </w:r>
          </w:p>
        </w:tc>
        <w:tc>
          <w:tcPr>
            <w:tcW w:w="3400" w:type="dxa"/>
          </w:tcPr>
          <w:p>
            <w:r>
              <w:t>80% of common issues, −30% opex by 2029</w:t>
            </w:r>
          </w:p>
        </w:tc>
        <w:tc>
          <w:tcPr>
            <w:tcW w:w="2140" w:type="dxa"/>
          </w:tcPr>
          <w:p>
            <w:r>
              <w:t>Gartner (2025)</w:t>
            </w:r>
          </w:p>
        </w:tc>
      </w:tr>
      <w:tr>
        <w:tc>
          <w:tcPr>
            <w:tcW w:w="3820" w:type="dxa"/>
          </w:tcPr>
          <w:p>
            <w:r>
              <w:t>Agentic-AI project cancellations</w:t>
            </w:r>
          </w:p>
        </w:tc>
        <w:tc>
          <w:tcPr>
            <w:tcW w:w="3400" w:type="dxa"/>
          </w:tcPr>
          <w:p>
            <w:r>
              <w:t>Over 40% by end-2027</w:t>
            </w:r>
          </w:p>
        </w:tc>
        <w:tc>
          <w:tcPr>
            <w:tcW w:w="2140" w:type="dxa"/>
          </w:tcPr>
          <w:p>
            <w:r>
              <w:t>Gartner (2025)</w:t>
            </w:r>
          </w:p>
        </w:tc>
      </w:tr>
      <w:tr>
        <w:tc>
          <w:tcPr>
            <w:tcW w:w="3820" w:type="dxa"/>
          </w:tcPr>
          <w:p>
            <w:r>
              <w:t>Offshore-labour reprice</w:t>
            </w:r>
          </w:p>
        </w:tc>
        <w:tc>
          <w:tcPr>
            <w:tcW w:w="3400" w:type="dxa"/>
          </w:tcPr>
          <w:p>
            <w:r>
              <w:t>+US$100,000 visa fee; BPO ACV −16% YoY</w:t>
            </w:r>
          </w:p>
        </w:tc>
        <w:tc>
          <w:tcPr>
            <w:tcW w:w="2140" w:type="dxa"/>
          </w:tcPr>
          <w:p>
            <w:r>
              <w:t>ISG (2025)</w:t>
            </w:r>
          </w:p>
        </w:tc>
      </w:tr>
      <w:tr>
        <w:tc>
          <w:tcPr>
            <w:tcW w:w="3820" w:type="dxa"/>
          </w:tcPr>
          <w:p>
            <w:r>
              <w:t>Cybersecurity talent gap</w:t>
            </w:r>
          </w:p>
        </w:tc>
        <w:tc>
          <w:tcPr>
            <w:tcW w:w="3400" w:type="dxa"/>
          </w:tcPr>
          <w:p>
            <w:r>
              <w:t>~4 million professionals needed</w:t>
            </w:r>
          </w:p>
        </w:tc>
        <w:tc>
          <w:tcPr>
            <w:tcW w:w="2140" w:type="dxa"/>
          </w:tcPr>
          <w:p>
            <w:r>
              <w:t>World Economic Forum (2024)</w:t>
            </w:r>
          </w:p>
        </w:tc>
      </w:tr>
      <w:tr>
        <w:tc>
          <w:tcPr>
            <w:tcW w:w="3820" w:type="dxa"/>
          </w:tcPr>
          <w:p>
            <w:r>
              <w:t>Microsoft Cloud / Azure, FY2025</w:t>
            </w:r>
          </w:p>
        </w:tc>
        <w:tc>
          <w:tcPr>
            <w:tcW w:w="3400" w:type="dxa"/>
          </w:tcPr>
          <w:p>
            <w:r>
              <w:t>$168B (+23%) / Azure $75B (+34%)</w:t>
            </w:r>
          </w:p>
        </w:tc>
        <w:tc>
          <w:tcPr>
            <w:tcW w:w="2140" w:type="dxa"/>
          </w:tcPr>
          <w:p>
            <w:r>
              <w:t>Microsoft IR (2025)</w:t>
            </w:r>
          </w:p>
        </w:tc>
      </w:tr>
      <w:tr>
        <w:tc>
          <w:tcPr>
            <w:tcW w:w="3820" w:type="dxa"/>
          </w:tcPr>
          <w:p>
            <w:r>
              <w:t>Microsoft 365 Copilot adoption</w:t>
            </w:r>
          </w:p>
        </w:tc>
        <w:tc>
          <w:tcPr>
            <w:tcW w:w="3400" w:type="dxa"/>
          </w:tcPr>
          <w:p>
            <w:r>
              <w:t>30M paid seats, +50% quarter-on-quarter</w:t>
            </w:r>
          </w:p>
        </w:tc>
        <w:tc>
          <w:tcPr>
            <w:tcW w:w="2140" w:type="dxa"/>
          </w:tcPr>
          <w:p>
            <w:r>
              <w:t>Microsoft IR / No Jitter (2026)</w:t>
            </w:r>
          </w:p>
        </w:tc>
      </w:tr>
      <w:tr>
        <w:tc>
          <w:tcPr>
            <w:tcW w:w="3820" w:type="dxa"/>
          </w:tcPr>
          <w:p>
            <w:r>
              <w:t>Partner services value multiplier</w:t>
            </w:r>
          </w:p>
        </w:tc>
        <w:tc>
          <w:tcPr>
            <w:tcW w:w="3400" w:type="dxa"/>
          </w:tcPr>
          <w:p>
            <w:r>
              <w:t>$8.45 services per $1 Microsoft revenue</w:t>
            </w:r>
          </w:p>
        </w:tc>
        <w:tc>
          <w:tcPr>
            <w:tcW w:w="2140" w:type="dxa"/>
          </w:tcPr>
          <w:p>
            <w:r>
              <w:t>IDC / Microsoft (2024)</w:t>
            </w:r>
          </w:p>
        </w:tc>
      </w:tr>
      <w:tr>
        <w:tc>
          <w:tcPr>
            <w:tcW w:w="3820" w:type="dxa"/>
          </w:tcPr>
          <w:p>
            <w:r>
              <w:t>Cloud-marketplace transaction fees</w:t>
            </w:r>
          </w:p>
        </w:tc>
        <w:tc>
          <w:tcPr>
            <w:tcW w:w="3400" w:type="dxa"/>
          </w:tcPr>
          <w:p>
            <w:r>
              <w:t>Cut from over 20% to as low as 3%</w:t>
            </w:r>
          </w:p>
        </w:tc>
        <w:tc>
          <w:tcPr>
            <w:tcW w:w="2140" w:type="dxa"/>
          </w:tcPr>
          <w:p>
            <w:r>
              <w:t>Canalys (2023)</w:t>
            </w:r>
          </w:p>
        </w:tc>
      </w:tr>
      <w:tr>
        <w:tc>
          <w:tcPr>
            <w:tcW w:w="3820" w:type="dxa"/>
          </w:tcPr>
          <w:p>
            <w:r>
              <w:t>Cybersecurity managed services / MDR</w:t>
            </w:r>
          </w:p>
        </w:tc>
        <w:tc>
          <w:tcPr>
            <w:tcW w:w="3400" w:type="dxa"/>
          </w:tcPr>
          <w:p>
            <w:r>
              <w:t>$70B (+15%) / MDR ~23% CAGR</w:t>
            </w:r>
          </w:p>
        </w:tc>
        <w:tc>
          <w:tcPr>
            <w:tcW w:w="2140" w:type="dxa"/>
          </w:tcPr>
          <w:p>
            <w:r>
              <w:t>Canalys; Grand View (2023–25)</w:t>
            </w:r>
          </w:p>
        </w:tc>
      </w:tr>
      <w:tr>
        <w:tc>
          <w:tcPr>
            <w:tcW w:w="3820" w:type="dxa"/>
          </w:tcPr>
          <w:p>
            <w:r>
              <w:t>Security-led vs median M&amp;A multiple</w:t>
            </w:r>
          </w:p>
        </w:tc>
        <w:tc>
          <w:tcPr>
            <w:tcW w:w="3400" w:type="dxa"/>
          </w:tcPr>
          <w:p>
            <w:r>
              <w:t>13–14x vs ~8.9x EV/EBITDA; PE in 69% of deals</w:t>
            </w:r>
          </w:p>
        </w:tc>
        <w:tc>
          <w:tcPr>
            <w:tcW w:w="2140" w:type="dxa"/>
          </w:tcPr>
          <w:p>
            <w:r>
              <w:t>Aventis; CT Acquisitions (2025)</w:t>
            </w:r>
          </w:p>
        </w:tc>
      </w:tr>
    </w:tbl>
    <w:p>
      <w:r>
        <w:br w:type="page"/>
      </w:r>
    </w:p>
    <w:p>
      <w:pPr>
        <w:pStyle w:val="Heading1"/>
      </w:pPr>
      <w:r>
        <w:t>5. Market Analysis</w:t>
      </w:r>
    </w:p>
    <w:p>
      <w:pPr>
        <w:pStyle w:val="Heading2"/>
      </w:pPr>
      <w:r>
        <w:t>5.1 A growing category masking a two-speed market</w:t>
      </w:r>
    </w:p>
    <w:p>
      <w:pPr>
        <w:pStyle w:val="Normal"/>
      </w:pPr>
      <w:r>
        <w:t>The headline that reassures incumbents is that the managed-services market is large and growing double digits. That is true, but it hides a two-speed structure. Syndicated market-sizing disagrees sharply on absolute value — a known weakness of the method — yet converges on double-digit total growth. The point to hold onto is not the size but the split: the growth is concentrated in cloud, security, and AI-adjacent services, while the traditional labour-centric core is close to flat.</w:t>
      </w:r>
    </w:p>
    <w:p>
      <w:pPr>
        <w:pStyle w:val="Caption"/>
      </w:pPr>
      <w:r>
        <w:t>Table 2. Managed-services market size and growth — divergent estimates, consistent direction</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rPr>
          <w:tblHeader/>
        </w:trPr>
        <w:tc>
          <w:p>
            <w:r>
              <w:rPr>
                <w:b/>
              </w:rPr>
              <w:t>Source</w:t>
            </w:r>
          </w:p>
        </w:tc>
        <w:tc>
          <w:p>
            <w:r>
              <w:rPr>
                <w:b/>
              </w:rPr>
              <w:t>Base</w:t>
            </w:r>
          </w:p>
        </w:tc>
        <w:tc>
          <w:p>
            <w:r>
              <w:rPr>
                <w:b/>
              </w:rPr>
              <w:t>Forecast</w:t>
            </w:r>
          </w:p>
        </w:tc>
        <w:tc>
          <w:p>
            <w:r>
              <w:rPr>
                <w:b/>
              </w:rPr>
              <w:t>CAGR</w:t>
            </w:r>
          </w:p>
        </w:tc>
      </w:tr>
      <w:tr>
        <w:tc>
          <w:p>
            <w:r>
              <w:t>Fortune Business Insights</w:t>
            </w:r>
          </w:p>
        </w:tc>
        <w:tc>
          <w:p>
            <w:r>
              <w:t>$297.2B (2024)</w:t>
            </w:r>
          </w:p>
        </w:tc>
        <w:tc>
          <w:p>
            <w:r>
              <w:t>$878.7B (2032)</w:t>
            </w:r>
          </w:p>
        </w:tc>
        <w:tc>
          <w:p>
            <w:r>
              <w:t>15.0%</w:t>
            </w:r>
          </w:p>
        </w:tc>
      </w:tr>
      <w:tr>
        <w:tc>
          <w:p>
            <w:r>
              <w:t>Aventis Advisors (citing forecasts)</w:t>
            </w:r>
          </w:p>
        </w:tc>
        <w:tc>
          <w:p>
            <w:r>
              <w:t>$312B (2023)</w:t>
            </w:r>
          </w:p>
        </w:tc>
        <w:tc>
          <w:p>
            <w:r>
              <w:t>$658B (2030)</w:t>
            </w:r>
          </w:p>
        </w:tc>
        <w:tc>
          <w:p>
            <w:r>
              <w:t>11.4%</w:t>
            </w:r>
          </w:p>
        </w:tc>
      </w:tr>
      <w:tr>
        <w:tc>
          <w:p>
            <w:r>
              <w:t>MarketsandMarkets</w:t>
            </w:r>
          </w:p>
        </w:tc>
        <w:tc>
          <w:p>
            <w:r>
              <w:t>$460.6B (2026)</w:t>
            </w:r>
          </w:p>
        </w:tc>
        <w:tc>
          <w:p>
            <w:r>
              <w:t>$705.2B (2031)</w:t>
            </w:r>
          </w:p>
        </w:tc>
        <w:tc>
          <w:p>
            <w:r>
              <w:t>8.9%</w:t>
            </w:r>
          </w:p>
        </w:tc>
      </w:tr>
      <w:tr>
        <w:tc>
          <w:p>
            <w:r>
              <w:t>Omdia / Canalys (channel-delivered)</w:t>
            </w:r>
          </w:p>
        </w:tc>
        <w:tc>
          <w:p>
            <w:r>
              <w:t>$595B (2025)</w:t>
            </w:r>
          </w:p>
        </w:tc>
        <w:tc>
          <w:p>
            <w:r>
              <w:t>—</w:t>
            </w:r>
          </w:p>
        </w:tc>
        <w:tc>
          <w:p>
            <w:r>
              <w:t>~13% YoY</w:t>
            </w:r>
          </w:p>
        </w:tc>
      </w:tr>
      <w:tr>
        <w:tc>
          <w:p>
            <w:r>
              <w:t>Grand View Research</w:t>
            </w:r>
          </w:p>
        </w:tc>
        <w:tc>
          <w:p>
            <w:r>
              <w:t>—</w:t>
            </w:r>
          </w:p>
        </w:tc>
        <w:tc>
          <w:p>
            <w:r>
              <w:t>$731.1B (2030)</w:t>
            </w:r>
          </w:p>
        </w:tc>
        <w:tc>
          <w:p>
            <w:r>
              <w:t>14.1%</w:t>
            </w:r>
          </w:p>
        </w:tc>
      </w:tr>
    </w:tbl>
    <w:p>
      <w:pPr>
        <w:pStyle w:val="Normal"/>
      </w:pPr>
      <w:r>
        <w:t>The most reliable read of the enterprise segment comes from the ISG Index, which tracks contracts of US$5 million and above. It shows full-year 2025 managed-services growth of less than 2% — the slowest since 2020 — with year-on-year declines in the third and fourth quarters, while cloud and as-a-service contracting grew roughly 25–31% and now accounts for 65% of combined-market contract value, up from 60%. ISG’s own summary is that growth “was concentrated in cloud, infrastructure, engineering and AI-related demand, while more traditional, labor-centric services remained under pressure.” Gartner’s wider lens is consistent: total IT services reached about US$1.686 trillion in 2025, and Gartner notes that “recurring spending, such as cloud and managed services, is maintaining greater stability” than project work.</w:t>
      </w:r>
    </w:p>
    <w:p>
      <w:pPr>
        <w:pStyle w:val="Heading2"/>
      </w:pPr>
      <w:r>
        <w:t>5.2 Commoditisation from below</w:t>
      </w:r>
    </w:p>
    <w:p>
      <w:pPr>
        <w:pStyle w:val="Normal"/>
      </w:pPr>
      <w:r>
        <w:t>The base of the MSP stack is commoditising faster than the top can be climbed. Omdia observes that MSPs “have moved from anti-virus to multi-factor authentication (MFA), and endpoint detection and response (EDR) services, but these are now fast becoming saturated,” pushing the frontier to MDR, XDR, SASE, and zero-trust. Each capability that becomes table stakes collapses to price competition, forcing a perpetual and costly climb up the value stack just to hold margin. Pricing guides put comprehensive managed IT at roughly US$100–200 per user per month, or US$30–150 per device, but the cost to deliver a modern security-inclusive bundle has risen into that band — which is why basic managed tiers now carry only 25–35% margins against 40–55% once genuine security and compliance are layered in.</w:t>
      </w:r>
    </w:p>
    <w:p>
      <w:pPr>
        <w:pStyle w:val="Heading2"/>
      </w:pPr>
      <w:r>
        <w:t>5.3 Fragmentation and saturation</w:t>
      </w:r>
    </w:p>
    <w:p>
      <w:pPr>
        <w:pStyle w:val="Normal"/>
      </w:pPr>
      <w:r>
        <w:t>The competitive structure amplifies the pressure. Roughly 341,000 partners deliver managed services worldwide, and the market is structurally fragmented — tens of thousands of small operators, with the top 50 by revenue holding only a small share. Kaseya describes a saturated market in which 71% of MSPs name customer acquisition as their single biggest challenge and “the number of providers competing for each account is growing faster than the number of accounts.” In a fragmented, saturated market selling an increasingly commoditised core, price is the path of least resistance — and the least defensible.</w:t>
      </w:r>
    </w:p>
    <w:p>
      <w:pPr>
        <w:pStyle w:val="Heading2"/>
      </w:pPr>
      <w:r>
        <w:t>5.4 Buyer behaviour: from labour to outcomes</w:t>
      </w:r>
    </w:p>
    <w:p>
      <w:pPr>
        <w:pStyle w:val="Normal"/>
      </w:pPr>
      <w:r>
        <w:t>Demand is shifting under the incumbent model. Consumption is now the enterprise default: Deloitte’s as-a-service study found that 75% of organisations consume more than half of their enterprise IT as a service, up from 71% in 2018, and a quarter now run more than three-quarters that way. More pointedly, 82% of adopters agree they would achieve better outcomes if their providers behaved as consultative partners, and only three in ten are satisfied enough to stay with their current provider. CompTIA finds buyers have “gotten finicky after seeing tepid results,” demanding proof of value; Kaseya quantifies the consequence, reporting that the share of MSPs struggling to demonstrate value quickly nearly doubled from 10% to 19%, and that “without visible value, price becomes the only comparison metric.”</w:t>
      </w:r>
    </w:p>
    <w:p>
      <w:pPr>
        <w:pStyle w:val="Normal"/>
      </w:pPr>
      <w:r>
        <w:t>The new demand vector is AI and automation outcomes — and it exposes a monetisation gap that is itself evidence of the model’s strain. Kaseya finds 48% of MSPs see AI and automation as an opportunity, but only 13% identify AI as a meaningful revenue source. Providers are being asked for outcomes their labour-based commercial model cannot yet price, and every month that gap persists, a competitor with an outcome-based model can close it.</w:t>
      </w:r>
    </w:p>
    <w:p>
      <w:r>
        <w:br w:type="page"/>
      </w:r>
    </w:p>
    <w:p>
      <w:pPr>
        <w:pStyle w:val="Heading1"/>
      </w:pPr>
      <w:r>
        <w:t>6. Financial Analysis</w:t>
      </w:r>
    </w:p>
    <w:p>
      <w:pPr>
        <w:pStyle w:val="Heading2"/>
      </w:pPr>
      <w:r>
        <w:t>6.1 The economics at risk</w:t>
      </w:r>
    </w:p>
    <w:p>
      <w:pPr>
        <w:pStyle w:val="Normal"/>
      </w:pPr>
      <w:r>
        <w:t>MSP delivery is labour-heavy, and that is precisely what makes it exposed. Public benchmark data from Service Leadership puts managed-services gross margin around 46%, product resale around 26%, and project or professional services around 19%. Because roughly a third of every revenue dollar is delivery labour, automation that removes routine effort hits the model twice — it erodes billable hours on the top line and, if pricing is not restructured, hands the saving to the customer rather than the owner. The macro exposure is well documented: McKinsey estimates that by 2030 activities accounting for up to 30% of hours worked in the U.S. economy could be automated, with office support and customer service among the categories expected to decline.</w:t>
      </w:r>
    </w:p>
    <w:p>
      <w:pPr>
        <w:pStyle w:val="Heading2"/>
      </w:pPr>
      <w:r>
        <w:t>6.2 Three trajectories for a typical MSP</w:t>
      </w:r>
    </w:p>
    <w:p>
      <w:pPr>
        <w:pStyle w:val="Normal"/>
      </w:pPr>
      <w:r>
        <w:t>To make the stakes concrete, the model below takes an illustrative US$5.0 million managed-services business and projects three five-year trajectories. The figures are constructed from the cited benchmarks — service-line gross margins from Service Leadership, security and automation margins from the pricing evidence, and valuation multiples from Aventis and CT Acquisitions — and are directional rather than a sourced forecast. Trajectory A is the business as it is today. Trajectory B holds the model unchanged while commodity pricing deflates and AI deflects tickets. Trajectory C re-mixes revenue toward security (35%), AI advisory and implementation (18%), co-managed and AI-augmented managed services (27%), subscription intellectual property (12%), and residual resale (8%).</w:t>
      </w:r>
    </w:p>
    <w:p>
      <w:pPr>
        <w:pStyle w:val="Caption"/>
      </w:pPr>
      <w:r>
        <w:t>Table 3. Illustrative five-year P&amp;L under three trajectories (constructed from cited benchmarks; directional)</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rPr>
          <w:tblHeader/>
        </w:trPr>
        <w:tc>
          <w:p>
            <w:r>
              <w:rPr>
                <w:b/>
              </w:rPr>
              <w:t>Metric</w:t>
            </w:r>
          </w:p>
        </w:tc>
        <w:tc>
          <w:p>
            <w:r>
              <w:rPr>
                <w:b/>
              </w:rPr>
              <w:t>A. Traditional (today)</w:t>
            </w:r>
          </w:p>
        </w:tc>
        <w:tc>
          <w:p>
            <w:r>
              <w:rPr>
                <w:b/>
              </w:rPr>
              <w:t>B. Do-nothing (Year 5)</w:t>
            </w:r>
          </w:p>
        </w:tc>
        <w:tc>
          <w:p>
            <w:r>
              <w:rPr>
                <w:b/>
              </w:rPr>
              <w:t>C. Transformed (Year 5)</w:t>
            </w:r>
          </w:p>
        </w:tc>
      </w:tr>
      <w:tr>
        <w:tc>
          <w:p>
            <w:r>
              <w:t>Revenue</w:t>
            </w:r>
          </w:p>
        </w:tc>
        <w:tc>
          <w:tcPr/>
          <w:p>
            <w:pPr>
              <w:jc w:val="right"/>
            </w:pPr>
            <w:r>
              <w:t>$5.0M</w:t>
            </w:r>
          </w:p>
        </w:tc>
        <w:tc>
          <w:tcPr/>
          <w:p>
            <w:pPr>
              <w:jc w:val="right"/>
            </w:pPr>
            <w:r>
              <w:t>$4.2M</w:t>
            </w:r>
          </w:p>
        </w:tc>
        <w:tc>
          <w:tcPr/>
          <w:p>
            <w:pPr>
              <w:jc w:val="right"/>
            </w:pPr>
            <w:r>
              <w:t>$6.5M</w:t>
            </w:r>
          </w:p>
        </w:tc>
      </w:tr>
      <w:tr>
        <w:tc>
          <w:p>
            <w:r>
              <w:t>Blended gross margin</w:t>
            </w:r>
          </w:p>
        </w:tc>
        <w:tc>
          <w:tcPr/>
          <w:p>
            <w:pPr>
              <w:jc w:val="right"/>
            </w:pPr>
            <w:r>
              <w:t>36%</w:t>
            </w:r>
          </w:p>
        </w:tc>
        <w:tc>
          <w:tcPr/>
          <w:p>
            <w:pPr>
              <w:jc w:val="right"/>
            </w:pPr>
            <w:r>
              <w:t>30%</w:t>
            </w:r>
          </w:p>
        </w:tc>
        <w:tc>
          <w:tcPr/>
          <w:p>
            <w:pPr>
              <w:jc w:val="right"/>
            </w:pPr>
            <w:r>
              <w:t>52%</w:t>
            </w:r>
          </w:p>
        </w:tc>
      </w:tr>
      <w:tr>
        <w:tc>
          <w:p>
            <w:r>
              <w:t>Gross profit</w:t>
            </w:r>
          </w:p>
        </w:tc>
        <w:tc>
          <w:tcPr/>
          <w:p>
            <w:pPr>
              <w:jc w:val="right"/>
            </w:pPr>
            <w:r>
              <w:t>$1.79M</w:t>
            </w:r>
          </w:p>
        </w:tc>
        <w:tc>
          <w:tcPr/>
          <w:p>
            <w:pPr>
              <w:jc w:val="right"/>
            </w:pPr>
            <w:r>
              <w:t>$1.27M</w:t>
            </w:r>
          </w:p>
        </w:tc>
        <w:tc>
          <w:tcPr/>
          <w:p>
            <w:pPr>
              <w:jc w:val="right"/>
            </w:pPr>
            <w:r>
              <w:t>$3.38M</w:t>
            </w:r>
          </w:p>
        </w:tc>
      </w:tr>
      <w:tr>
        <w:tc>
          <w:p>
            <w:r>
              <w:t>Operating expense (SG&amp;A)</w:t>
            </w:r>
          </w:p>
        </w:tc>
        <w:tc>
          <w:tcPr/>
          <w:p>
            <w:pPr>
              <w:jc w:val="right"/>
            </w:pPr>
            <w:r>
              <w:t>$1.40M</w:t>
            </w:r>
          </w:p>
        </w:tc>
        <w:tc>
          <w:tcPr/>
          <w:p>
            <w:pPr>
              <w:jc w:val="right"/>
            </w:pPr>
            <w:r>
              <w:t>$1.26M</w:t>
            </w:r>
          </w:p>
        </w:tc>
        <w:tc>
          <w:tcPr/>
          <w:p>
            <w:pPr>
              <w:jc w:val="right"/>
            </w:pPr>
            <w:r>
              <w:t>$1.69M</w:t>
            </w:r>
          </w:p>
        </w:tc>
      </w:tr>
      <w:tr>
        <w:tc>
          <w:p>
            <w:r>
              <w:t>EBITDA</w:t>
            </w:r>
          </w:p>
        </w:tc>
        <w:tc>
          <w:tcPr/>
          <w:p>
            <w:pPr>
              <w:jc w:val="right"/>
            </w:pPr>
            <w:r>
              <w:t>$0.39M</w:t>
            </w:r>
          </w:p>
        </w:tc>
        <w:tc>
          <w:tcPr/>
          <w:p>
            <w:pPr>
              <w:jc w:val="right"/>
            </w:pPr>
            <w:r>
              <w:t>$0.01M</w:t>
            </w:r>
          </w:p>
        </w:tc>
        <w:tc>
          <w:tcPr/>
          <w:p>
            <w:pPr>
              <w:jc w:val="right"/>
            </w:pPr>
            <w:r>
              <w:t>$1.69M</w:t>
            </w:r>
          </w:p>
        </w:tc>
      </w:tr>
      <w:tr>
        <w:tc>
          <w:p>
            <w:r>
              <w:t>EBITDA margin</w:t>
            </w:r>
          </w:p>
        </w:tc>
        <w:tc>
          <w:tcPr/>
          <w:p>
            <w:pPr>
              <w:jc w:val="right"/>
            </w:pPr>
            <w:r>
              <w:t>7.9%</w:t>
            </w:r>
          </w:p>
        </w:tc>
        <w:tc>
          <w:tcPr/>
          <w:p>
            <w:pPr>
              <w:jc w:val="right"/>
            </w:pPr>
            <w:r>
              <w:t>0.3%</w:t>
            </w:r>
          </w:p>
        </w:tc>
        <w:tc>
          <w:tcPr/>
          <w:p>
            <w:pPr>
              <w:jc w:val="right"/>
            </w:pPr>
            <w:r>
              <w:t>26.1%</w:t>
            </w:r>
          </w:p>
        </w:tc>
      </w:tr>
      <w:tr>
        <w:tc>
          <w:p>
            <w:r>
              <w:t>Illustrative EV/EBITDA multiple</w:t>
            </w:r>
          </w:p>
        </w:tc>
        <w:tc>
          <w:tcPr/>
          <w:p>
            <w:pPr>
              <w:jc w:val="right"/>
            </w:pPr>
            <w:r>
              <w:t>~5x</w:t>
            </w:r>
          </w:p>
        </w:tc>
        <w:tc>
          <w:tcPr/>
          <w:p>
            <w:pPr>
              <w:jc w:val="right"/>
            </w:pPr>
            <w:r>
              <w:t>~4x</w:t>
            </w:r>
          </w:p>
        </w:tc>
        <w:tc>
          <w:tcPr/>
          <w:p>
            <w:pPr>
              <w:jc w:val="right"/>
            </w:pPr>
            <w:r>
              <w:t>~12.5x</w:t>
            </w:r>
          </w:p>
        </w:tc>
      </w:tr>
      <w:tr>
        <w:tc>
          <w:p>
            <w:r>
              <w:t>Illustrative enterprise value</w:t>
            </w:r>
          </w:p>
        </w:tc>
        <w:tc>
          <w:tcPr/>
          <w:p>
            <w:pPr>
              <w:jc w:val="right"/>
            </w:pPr>
            <w:r>
              <w:t>~$2.0M</w:t>
            </w:r>
          </w:p>
        </w:tc>
        <w:tc>
          <w:tcPr/>
          <w:p>
            <w:pPr>
              <w:jc w:val="right"/>
            </w:pPr>
            <w:r>
              <w:t>~$0.05M</w:t>
            </w:r>
          </w:p>
        </w:tc>
        <w:tc>
          <w:tcPr/>
          <w:p>
            <w:pPr>
              <w:jc w:val="right"/>
            </w:pPr>
            <w:r>
              <w:t>~$21M</w:t>
            </w:r>
          </w:p>
        </w:tc>
      </w:tr>
    </w:tbl>
    <w:p>
      <w:pPr>
        <w:pStyle w:val="Normal"/>
      </w:pPr>
      <w:r>
        <w:t>The contrast is the whole argument in one table. Standing still is not a neutral choice: in the do-nothing trajectory, EBITDA is competed away to near zero and enterprise value effectively disappears, because the same automation that lifts operational metrics is captured by customers rather than banked by the owner — Kaseya data already shows automation improving first-response time by 35% and technician efficiency by 32% but profit margin by only 18%. The transformed trajectory does not merely survive; it roughly quadruples EBITDA in absolute terms and, because buyers pay a structurally higher multiple for a security-led, recurring-revenue, scaled business, produces an enterprise value on the order of ten times the traditional firm’s. The gap between B and C is the value at stake in the decision this report is about.</w:t>
      </w:r>
    </w:p>
    <w:p>
      <w:pPr>
        <w:pStyle w:val="Heading2"/>
      </w:pPr>
      <w:r>
        <w:t>6.3 Valuation implications</w:t>
      </w:r>
    </w:p>
    <w:p>
      <w:pPr>
        <w:pStyle w:val="Normal"/>
      </w:pPr>
      <w:r>
        <w:t>The capital markets are already pricing the transition. Aventis Advisors’ analysis of 120 disclosed MSP transactions found a median of roughly 8.9x EV/EBITDA, but with a pronounced size effect and a clear premium for recurring revenue, low churn, and security or cloud attach — exactly the attributes the traditional break-fix and project model lacks. Deal advisers report that recurring-revenue mix is “the single largest multiple-driver,” and that the strongest cyber-heavy, scaled leaders transact near 20x. The mechanism of obsolescence is financial as well as operational: the market pays a structural premium for what the traditional model does not have and discounts what it does.</w:t>
      </w:r>
    </w:p>
    <w:p>
      <w:pPr>
        <w:pStyle w:val="Caption"/>
      </w:pPr>
      <w:r>
        <w:t>Table 4. MSP valuation by provider profile (EV/EBITDA)</w:t>
      </w:r>
    </w:p>
    <w:tbl>
      <w:tblPr>
        <w:tblStyle w:val="LightShading-Accent1"/>
        <w:tblW w:w="5000" w:type="pct"/>
        <w:tblLayout w:type="fixed"/>
        <w:tblLook w:val="04A0" w:firstRow="1" w:lastRow="0" w:firstColumn="1" w:lastColumn="0" w:noHBand="0" w:noVBand="1"/>
      </w:tblPr>
      <w:tblGrid>
        <w:gridCol w:w="4680"/>
        <w:gridCol w:w="4680"/>
      </w:tblGrid>
      <w:tr>
        <w:trPr>
          <w:tblHeader/>
        </w:trPr>
        <w:tc>
          <w:p>
            <w:r>
              <w:rPr>
                <w:b/>
              </w:rPr>
              <w:t>Provider profile</w:t>
            </w:r>
          </w:p>
        </w:tc>
        <w:tc>
          <w:p>
            <w:r>
              <w:rPr>
                <w:b/>
              </w:rPr>
              <w:t>Typical EV/EBITDA</w:t>
            </w:r>
          </w:p>
        </w:tc>
      </w:tr>
      <w:tr>
        <w:tc>
          <w:p>
            <w:r>
              <w:t>Median MSP transaction (all profiles)</w:t>
            </w:r>
          </w:p>
        </w:tc>
        <w:tc>
          <w:p>
            <w:r>
              <w:t>~8.9x</w:t>
            </w:r>
          </w:p>
        </w:tc>
      </w:tr>
      <w:tr>
        <w:tc>
          <w:p>
            <w:r>
              <w:t>Sub-US$5M EBITDA, project / commodity-heavy</w:t>
            </w:r>
          </w:p>
        </w:tc>
        <w:tc>
          <w:p>
            <w:r>
              <w:t>~4.5–5x</w:t>
            </w:r>
          </w:p>
        </w:tc>
      </w:tr>
      <w:tr>
        <w:tc>
          <w:p>
            <w:r>
              <w:t>US$5–15M EBITDA</w:t>
            </w:r>
          </w:p>
        </w:tc>
        <w:tc>
          <w:p>
            <w:r>
              <w:t>~4.5–8x</w:t>
            </w:r>
          </w:p>
        </w:tc>
      </w:tr>
      <w:tr>
        <w:tc>
          <w:p>
            <w:r>
              <w:t>Platform-quality, US$15M+ EBITDA, recurring</w:t>
            </w:r>
          </w:p>
        </w:tc>
        <w:tc>
          <w:p>
            <w:r>
              <w:t>11–15x</w:t>
            </w:r>
          </w:p>
        </w:tc>
      </w:tr>
      <w:tr>
        <w:tc>
          <w:p>
            <w:r>
              <w:t>Security-led / cyber-heavy scale leaders</w:t>
            </w:r>
          </w:p>
        </w:tc>
        <w:tc>
          <w:p>
            <w:r>
              <w:t>up to ~20x</w:t>
            </w:r>
          </w:p>
        </w:tc>
      </w:tr>
      <w:tr>
        <w:tc>
          <w:p>
            <w:r>
              <w:t>PE-led deals (US median)</w:t>
            </w:r>
          </w:p>
        </w:tc>
        <w:tc>
          <w:p>
            <w:r>
              <w:t>~12.8x</w:t>
            </w:r>
          </w:p>
        </w:tc>
      </w:tr>
    </w:tbl>
    <w:p>
      <w:pPr>
        <w:pStyle w:val="Heading2"/>
      </w:pPr>
      <w:r>
        <w:t>6.4 M&amp;A implications</w:t>
      </w:r>
    </w:p>
    <w:p>
      <w:pPr>
        <w:pStyle w:val="Normal"/>
      </w:pPr>
      <w:r>
        <w:t>Consolidation is intense and accelerating, and it is the clearest signal of where the smart money believes the model is going. There were 169 MSP M&amp;A transactions in 2025, with private equity present in roughly 69% of disclosed deals, and PE buyers paid an average of 10.1x EV/EBITDA against 8.6x for corporate acquirers. Platform roll-ups are scaling fast: Evergreen Services Group confirmed 47 acquisitions in 2025, and its Lyra Technology Group reached US$1 billion in annual recurring revenue and its 100th cumulative MSP acquisition in June 2025. Just over half of MSPs planned to pursue M&amp;A themselves. The strategic reading is unambiguous — capital is not fleeing a dying category; it is deploying at scale to buy fragmented, sub-scale, labour-dependent shops and re-engineer them into scaled, recurring-revenue, security-rich platforms. It is paying, in other words, to replace the traditional model with a different one.</w:t>
      </w:r>
    </w:p>
    <w:p>
      <w:r>
        <w:br w:type="page"/>
      </w:r>
    </w:p>
    <w:p>
      <w:pPr>
        <w:pStyle w:val="Heading1"/>
      </w:pPr>
      <w:r>
        <w:t>7. Microsoft Strategy Analysis</w:t>
      </w:r>
    </w:p>
    <w:p>
      <w:pPr>
        <w:pStyle w:val="Normal"/>
      </w:pPr>
      <w:r>
        <w:t>Because most SMB-focused MSPs are, in effect, Microsoft delivery businesses, Microsoft’s strategic direction is the single most important external variable in this analysis. The evidence points one way: Microsoft is building a full-stack, agent-centric platform that commoditises routine IT operation while monetising AI enablement — simultaneously an existential threat to legacy MSP revenue and the largest new services opportunity in a decade.</w:t>
      </w:r>
    </w:p>
    <w:p>
      <w:pPr>
        <w:pStyle w:val="Heading2"/>
      </w:pPr>
      <w:r>
        <w:t>7.1 The AI-first financial engine</w:t>
      </w:r>
    </w:p>
    <w:p>
      <w:pPr>
        <w:pStyle w:val="Normal"/>
      </w:pPr>
      <w:r>
        <w:t>The scale of Microsoft’s AI bet is visible in its results. For fiscal 2025, Microsoft Cloud surpassed US$168 billion in annual revenue, up 23%, and Azure surpassed US$75 billion, up 34%; in the fourth quarter Azure accelerated to 39% growth in constant currency, of which Azure AI services contributed roughly 13 percentage points. Even Microsoft is absorbing margin pressure to build this platform — Microsoft Cloud gross margin slipped to 69% from 72% as AI capital expenditure scaled. The relevance to an MSP is direct: the platform an MSP resells and manages is being re-architected around AI at enormous cost, and Microsoft intends to earn a return on that by driving AI consumption through its customers and partners.</w:t>
      </w:r>
    </w:p>
    <w:p>
      <w:pPr>
        <w:pStyle w:val="Heading2"/>
      </w:pPr>
      <w:r>
        <w:t>7.2 Copilot and autonomous agents move into every seat</w:t>
      </w:r>
    </w:p>
    <w:p>
      <w:pPr>
        <w:pStyle w:val="Normal"/>
      </w:pPr>
      <w:r>
        <w:t>Microsoft is putting an AI layer into every user and, increasingly, autonomous agents into every process. Microsoft 365 Copilot reached 30 million paid seats with a 50% quarter-on-quarter increase, and customers with more than 50,000 seats grew more than sevenfold year over year; NHS England rolled Copilot to 505,000 staff after a trial showed it saved an average of 43 minutes per day, with KPMG (276,000) and HSBC (200,000) among other large deployments. Beyond assistance, Microsoft has moved to autonomy: it introduced ten autonomous agents in Dynamics 365 through Copilot Studio, with the stated vision that “every employee will have Copilot and will be supported by many agents,” and at Ignite 2025 announced Microsoft Agent 365 as “the control plane for AI agents,” built on Defender, Entra, Intune, Purview, and Sentinel. The design goal is explicit: Copilot Studio exists so that “organizations … empower users to create their own agents for specific processes.” That is customer self-management by design — low-code agent building, native security, and cloud-first administration all reduce a customer’s dependence on an MSP for routine operation.</w:t>
      </w:r>
    </w:p>
    <w:p>
      <w:pPr>
        <w:pStyle w:val="Heading2"/>
      </w:pPr>
      <w:r>
        <w:t>7.3 Partner-program signals: from infrastructure to AI outcomes</w:t>
      </w:r>
    </w:p>
    <w:p>
      <w:pPr>
        <w:pStyle w:val="Normal"/>
      </w:pPr>
      <w:r>
        <w:t>Microsoft’s partner program has been re-pointed to reward exactly the work the traditional MSP does least. The Microsoft AI Cloud Partner Program is organised around three Solutions Partner designations — AI Business Solutions, Cloud and AI Platforms, and Security — every one of which now foregrounds AI, with a dedicated Microsoft 365 Copilot specialisation covering Copilot Chat, Copilot Studio, and agents. Designations are earned on “advanced performance, skilling, and customer success requirements — backed by evidence of proven outcomes,” not on headcount or break-fix volume. The Partner Center announcements log shows incentives following suit, with a FY27 Cloud and AI go-to-market launch, growth margins for select AI workloads, and a new licensing prerequisite tied to Agent 365. The signal to partners is unambiguous: Microsoft rewards those who drive measurable AI and cloud consumption and adoption, and de-emphasises those who resell hours or licences.</w:t>
      </w:r>
    </w:p>
    <w:p>
      <w:pPr>
        <w:pStyle w:val="Heading2"/>
      </w:pPr>
      <w:r>
        <w:t>7.4 Does Microsoft increase or decrease the value of traditional MSP services?</w:t>
      </w:r>
    </w:p>
    <w:p>
      <w:pPr>
        <w:pStyle w:val="Normal"/>
      </w:pPr>
      <w:r>
        <w:t>The honest answer is both, in different directions, and that is the crux. Microsoft is decreasing the value of traditional, labour-based, keep-the-lights-on MSP work — it is actively enabling customers to self-manage more of their environment through Copilot Studio, native security, and cloud-first administration. At the same time, Microsoft needs partners to drive deployment and is paying well for it: a Microsoft-commissioned IDC study found that for every US$1 of Microsoft revenue, partners providing services generate US$8.45, that 62% of total partner revenue comes from services, and that generative-AI-related partner opportunity is forecast to grow 86% between 2022 and 2027 — roughly thirteen times the rate of the overall IT market. The net is a shift, not a subtraction: value migrates from “run my servers” to “deploy, govern, secure, and change-manage my AI.” Microsoft is not removing the partner; it is changing the job description, and MSPs that keep the old one will find Microsoft’s own tooling competing with them for the customer’s routine work.</w:t>
      </w:r>
    </w:p>
    <w:p>
      <w:r>
        <w:br w:type="page"/>
      </w:r>
    </w:p>
    <w:p>
      <w:pPr>
        <w:pStyle w:val="Heading1"/>
      </w:pPr>
      <w:r>
        <w:t>8. AI Impact Analysis</w:t>
      </w:r>
    </w:p>
    <w:p>
      <w:pPr>
        <w:pStyle w:val="Heading2"/>
      </w:pPr>
      <w:r>
        <w:t>8.1 What AI can measurably do today</w:t>
      </w:r>
    </w:p>
    <w:p>
      <w:pPr>
        <w:pStyle w:val="Normal"/>
      </w:pPr>
      <w:r>
        <w:t>The strongest evidence on AI’s impact comes from controlled studies rather than vendor decks, and it points squarely at the MSP’s core service lines. In the largest field study to date, access to a generative-AI assistant increased customer-support productivity, measured as issues resolved per hour, by 14% on average and 34% for novice and low-skilled workers. In a randomised controlled trial of technical work, developers using an AI coding assistant completed tasks 55.8% faster. McKinsey estimates generative AI could add US$2.6–4.4 trillion annually across the use cases it studied, with about 75% of the value concentrated in customer operations, marketing and sales, software engineering, and R&amp;D — the first and third of which are, precisely, MSP service lines. The pattern matters: the largest gains accrue to novice and low-skill work, which is exactly the pyramid of cheap junior technicians the traditional staffing model depends on.</w:t>
      </w:r>
    </w:p>
    <w:p>
      <w:pPr>
        <w:pStyle w:val="Heading2"/>
      </w:pPr>
      <w:r>
        <w:t>8.2 From assistive to autonomous</w:t>
      </w:r>
    </w:p>
    <w:p>
      <w:pPr>
        <w:pStyle w:val="Normal"/>
      </w:pPr>
      <w:r>
        <w:t>The threat to ticket-based economics is not assistance but autonomy. Assistive AI barely moves cost per ticket because a human still closes it; autonomous resolution removes the human touch entirely. Gartner expects at least 15% of day-to-day work decisions to be made autonomously through agentic AI by 2028, up from 0% in 2024, and 33% of enterprise software to include agentic AI by 2028, up from less than 1%. Its most pointed forecast for MSPs is that by 2029 agentic AI will autonomously resolve 80% of common customer-service issues without human intervention, driving a 30% reduction in operating costs, and it concludes that automation “will need to become the dominant strategy for all service teams.” The table below maps where that automation lands across the traditional MSP service portfolio.</w:t>
      </w:r>
    </w:p>
    <w:p>
      <w:pPr>
        <w:pStyle w:val="Caption"/>
      </w:pPr>
      <w:r>
        <w:t>Table 5. AI automation potential by MSP service line</w:t>
      </w:r>
    </w:p>
    <w:tbl>
      <w:tblPr>
        <w:tblStyle w:val="LightShading-Accent1"/>
        <w:tblW w:w="5000" w:type="pct"/>
        <w:tblLayout w:type="fixed"/>
        <w:tblLook w:val="04A0" w:firstRow="1" w:lastRow="0" w:firstColumn="1" w:lastColumn="0" w:noHBand="0" w:noVBand="1"/>
      </w:tblPr>
      <w:tblGrid>
        <w:gridCol w:w="3000"/>
        <w:gridCol w:w="1700"/>
        <w:gridCol w:w="4660"/>
      </w:tblGrid>
      <w:tr>
        <w:trPr>
          <w:tblHeader/>
        </w:trPr>
        <w:tc>
          <w:tcPr>
            <w:tcW w:w="3000" w:type="dxa"/>
          </w:tcPr>
          <w:p>
            <w:r>
              <w:rPr>
                <w:b/>
              </w:rPr>
              <w:t>Service area</w:t>
            </w:r>
          </w:p>
        </w:tc>
        <w:tc>
          <w:tcPr>
            <w:tcW w:w="1700" w:type="dxa"/>
          </w:tcPr>
          <w:p>
            <w:r>
              <w:rPr>
                <w:b/>
              </w:rPr>
              <w:t>Automation potential</w:t>
            </w:r>
          </w:p>
        </w:tc>
        <w:tc>
          <w:tcPr>
            <w:tcW w:w="4660" w:type="dxa"/>
          </w:tcPr>
          <w:p>
            <w:r>
              <w:rPr>
                <w:b/>
              </w:rPr>
              <w:t>Evidence / caveat</w:t>
            </w:r>
          </w:p>
        </w:tc>
      </w:tr>
      <w:tr>
        <w:tc>
          <w:tcPr>
            <w:tcW w:w="3000" w:type="dxa"/>
          </w:tcPr>
          <w:p>
            <w:r>
              <w:t>Level 1 help desk</w:t>
            </w:r>
          </w:p>
        </w:tc>
        <w:tc>
          <w:tcPr>
            <w:tcW w:w="1700" w:type="dxa"/>
          </w:tcPr>
          <w:p>
            <w:r>
              <w:t>High</w:t>
            </w:r>
          </w:p>
        </w:tc>
        <w:tc>
          <w:tcPr>
            <w:tcW w:w="4660" w:type="dxa"/>
          </w:tcPr>
          <w:p>
            <w:r>
              <w:t>+14% now, +34% for novices (NBER); path to 80% autonomous by 2029 (Gartner)</w:t>
            </w:r>
          </w:p>
        </w:tc>
      </w:tr>
      <w:tr>
        <w:tc>
          <w:tcPr>
            <w:tcW w:w="3000" w:type="dxa"/>
          </w:tcPr>
          <w:p>
            <w:r>
              <w:t>Level 2 support</w:t>
            </w:r>
          </w:p>
        </w:tc>
        <w:tc>
          <w:tcPr>
            <w:tcW w:w="1700" w:type="dxa"/>
          </w:tcPr>
          <w:p>
            <w:r>
              <w:t>Moderate–High</w:t>
            </w:r>
          </w:p>
        </w:tc>
        <w:tc>
          <w:tcPr>
            <w:tcW w:w="4660" w:type="dxa"/>
          </w:tcPr>
          <w:p>
            <w:r>
              <w:t>Strong assistive gains today; complex escalation still human</w:t>
            </w:r>
          </w:p>
        </w:tc>
      </w:tr>
      <w:tr>
        <w:tc>
          <w:tcPr>
            <w:tcW w:w="3000" w:type="dxa"/>
          </w:tcPr>
          <w:p>
            <w:r>
              <w:t>Monitoring &amp; triage (AIOps)</w:t>
            </w:r>
          </w:p>
        </w:tc>
        <w:tc>
          <w:tcPr>
            <w:tcW w:w="1700" w:type="dxa"/>
          </w:tcPr>
          <w:p>
            <w:r>
              <w:t>High</w:t>
            </w:r>
          </w:p>
        </w:tc>
        <w:tc>
          <w:tcPr>
            <w:tcW w:w="4660" w:type="dxa"/>
          </w:tcPr>
          <w:p>
            <w:r>
              <w:t>Alert-noise and MTTR reductions in early deployments; automated runbooks</w:t>
            </w:r>
          </w:p>
        </w:tc>
      </w:tr>
      <w:tr>
        <w:tc>
          <w:tcPr>
            <w:tcW w:w="3000" w:type="dxa"/>
          </w:tcPr>
          <w:p>
            <w:r>
              <w:t>Documentation</w:t>
            </w:r>
          </w:p>
        </w:tc>
        <w:tc>
          <w:tcPr>
            <w:tcW w:w="1700" w:type="dxa"/>
          </w:tcPr>
          <w:p>
            <w:r>
              <w:t>High</w:t>
            </w:r>
          </w:p>
        </w:tc>
        <w:tc>
          <w:tcPr>
            <w:tcW w:w="4660" w:type="dxa"/>
          </w:tcPr>
          <w:p>
            <w:r>
              <w:t>Generative drafting; a top McKinsey value area</w:t>
            </w:r>
          </w:p>
        </w:tc>
      </w:tr>
      <w:tr>
        <w:tc>
          <w:tcPr>
            <w:tcW w:w="3000" w:type="dxa"/>
          </w:tcPr>
          <w:p>
            <w:r>
              <w:t>Scripting / automation / integration</w:t>
            </w:r>
          </w:p>
        </w:tc>
        <w:tc>
          <w:tcPr>
            <w:tcW w:w="1700" w:type="dxa"/>
          </w:tcPr>
          <w:p>
            <w:r>
              <w:t>High</w:t>
            </w:r>
          </w:p>
        </w:tc>
        <w:tc>
          <w:tcPr>
            <w:tcW w:w="4660" w:type="dxa"/>
          </w:tcPr>
          <w:p>
            <w:r>
              <w:t>55.8% faster in a controlled trial (GitHub Copilot)</w:t>
            </w:r>
          </w:p>
        </w:tc>
      </w:tr>
      <w:tr>
        <w:tc>
          <w:tcPr>
            <w:tcW w:w="3000" w:type="dxa"/>
          </w:tcPr>
          <w:p>
            <w:r>
              <w:t>User onboarding &amp; training</w:t>
            </w:r>
          </w:p>
        </w:tc>
        <w:tc>
          <w:tcPr>
            <w:tcW w:w="1700" w:type="dxa"/>
          </w:tcPr>
          <w:p>
            <w:r>
              <w:t>Moderate</w:t>
            </w:r>
          </w:p>
        </w:tc>
        <w:tc>
          <w:tcPr>
            <w:tcW w:w="4660" w:type="dxa"/>
          </w:tcPr>
          <w:p>
            <w:r>
              <w:t>Copilot-assisted; relationship and change-management layer remains human</w:t>
            </w:r>
          </w:p>
        </w:tc>
      </w:tr>
      <w:tr>
        <w:tc>
          <w:tcPr>
            <w:tcW w:w="3000" w:type="dxa"/>
          </w:tcPr>
          <w:p>
            <w:r>
              <w:t>Security operations</w:t>
            </w:r>
          </w:p>
        </w:tc>
        <w:tc>
          <w:tcPr>
            <w:tcW w:w="1700" w:type="dxa"/>
          </w:tcPr>
          <w:p>
            <w:r>
              <w:t>Moderate–High</w:t>
            </w:r>
          </w:p>
        </w:tc>
        <w:tc>
          <w:tcPr>
            <w:tcW w:w="4660" w:type="dxa"/>
          </w:tcPr>
          <w:p>
            <w:r>
              <w:t>AI triage (Charlotte AI, Security Copilot); judgment and accountability human</w:t>
            </w:r>
          </w:p>
        </w:tc>
      </w:tr>
      <w:tr>
        <w:tc>
          <w:tcPr>
            <w:tcW w:w="3000" w:type="dxa"/>
          </w:tcPr>
          <w:p>
            <w:r>
              <w:t>Judgment, empathy, complex escalation, accountability</w:t>
            </w:r>
          </w:p>
        </w:tc>
        <w:tc>
          <w:tcPr>
            <w:tcW w:w="1700" w:type="dxa"/>
          </w:tcPr>
          <w:p>
            <w:r>
              <w:t>Low</w:t>
            </w:r>
          </w:p>
        </w:tc>
        <w:tc>
          <w:tcPr>
            <w:tcW w:w="4660" w:type="dxa"/>
          </w:tcPr>
          <w:p>
            <w:r>
              <w:t>The durable human layer (Klarna reversal)</w:t>
            </w:r>
          </w:p>
        </w:tc>
      </w:tr>
    </w:tbl>
    <w:p>
      <w:pPr>
        <w:pStyle w:val="Heading2"/>
      </w:pPr>
      <w:r>
        <w:t>8.3 The reality check</w:t>
      </w:r>
    </w:p>
    <w:p>
      <w:pPr>
        <w:pStyle w:val="Normal"/>
      </w:pPr>
      <w:r>
        <w:t>Objectivity requires weighing the counter-evidence, and it is substantial. Execution lags the hype badly: Gartner forecasts that over 40% of agentic-AI projects will be cancelled by the end of 2027 owing to escalating costs, unclear value, or inadequate risk controls, and estimates that only about 130 of the thousands of self-described agentic-AI vendors are real — a phenomenon it calls “agent washing.” Over-automation can backfire: after replacing large parts of its support function, Klarna publicly reversed course, with its chief executive conceding that AI “can’t replace the emotional intelligence and empathy of a real person” and that the company had “pushed too far toward cost-efficiency.” The lesson is not that AI fails to displace routine labour — the measured evidence says it does — but that it does not yet eliminate the human relationship, judgment, and accountability layer. That layer is where an up-stack MSP should concentrate.</w:t>
      </w:r>
    </w:p>
    <w:p>
      <w:pPr>
        <w:pStyle w:val="Heading2"/>
      </w:pPr>
      <w:r>
        <w:t>8.4 Hyperscaler and SaaS disintermediation</w:t>
      </w:r>
    </w:p>
    <w:p>
      <w:pPr>
        <w:pStyle w:val="Normal"/>
      </w:pPr>
      <w:r>
        <w:t>AI is not only automating the MSP’s labour; the platforms are using it to sell the MSP’s work directly. Microsoft now delivers managed detection and response itself: Defender Experts for XDR is marketed as “always-on, AI-accelerated managed detection and response … expert-led and natively integrated in Microsoft Defender,” a direct disintermediation of the managed-SOC value proposition, because the platform vendor — not a channel partner — delivers the outcome. The SaaS layer many MSPs run on top of is absorbing the automation too: ServiceNow’s Now Assist surpassed US$600 million in annual contract value with fourth-quarter net-new ACV more than doubling year over year. And the route to market is being disintermediated: Canalys projected cloud-marketplace sales above US$45 billion by 2025 at an 84% CAGR, warning that this “represents a threat to both resellers and two-tier distribution” as marketplaces cut fees from upwards of 20% to as little as 3%. Omdia declared that “2025 marked the birth of MSP 3.0, defined by platforms and AI.” The one nuance that protects the channel: Canalys also finds customers still turn to trusted partners to discover, procure, and manage marketplace purchases, forecasting that almost a third of marketplace procurement will run through partners — as advisers and aggregators, not margin-taking middlemen.</w:t>
      </w:r>
    </w:p>
    <w:p>
      <w:pPr>
        <w:pStyle w:val="Heading2"/>
      </w:pPr>
      <w:r>
        <w:t>8.5 Revenue, margin, and staffing impact</w:t>
      </w:r>
    </w:p>
    <w:p>
      <w:pPr>
        <w:pStyle w:val="Normal"/>
      </w:pPr>
      <w:r>
        <w:t>For an MSP, these forces resolve into a staffing paradox. Because AI’s largest gains accrue to novice and low-skill work, it raises the floor and erodes the economic rationale for the pyramid of cheap junior technicians on which the traditional model rests. In the favourable case, an MSP uses AI as a margin lever — lifting per-engineer leverage, redeploying staff from L1 queues into security and AI advisory, and expanding gross margin toward the top-performer band. In the adverse case, the same automation is captured by customers who self-serve through Copilot and buy vendor-delivered MDR and marketplace SaaS directly, so per-seat and per-device operations billing evaporates while the MSP still carries fixed L1 and L2 labour, compressing both revenue and margin. Which case an owner lands in is not determined by the technology; it is determined by whether the commercial model is restructured to bank the automation gain rather than hand it away. Those scenarios are quantified in Section 9.</w:t>
      </w:r>
    </w:p>
    <w:p>
      <w:r>
        <w:br w:type="page"/>
      </w:r>
    </w:p>
    <w:p>
      <w:pPr>
        <w:pStyle w:val="Heading1"/>
      </w:pPr>
      <w:r>
        <w:t>9. Future Industry Scenarios</w:t>
      </w:r>
    </w:p>
    <w:p>
      <w:pPr>
        <w:pStyle w:val="Normal"/>
      </w:pPr>
      <w:r>
        <w:t>The central strategic question is whether the MSP/TSP business model is likely to remain viable by 2030. The evidence supports a nuanced answer: the category will remain viable and will keep growing, but the traditional operating model within it will not remain viable for the median, sub-scale, labour-dependent operator. The three scenarios below frame the range, each grounded in the evidence assembled in this report.</w:t>
      </w:r>
    </w:p>
    <w:p>
      <w:pPr>
        <w:pStyle w:val="Caption"/>
      </w:pPr>
      <w:r>
        <w:t>Table 6. Scenario matrix for the traditional MSP/TSP model to 2030</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rPr>
          <w:tblHeader/>
        </w:trPr>
        <w:tc>
          <w:p>
            <w:r>
              <w:rPr>
                <w:b/>
              </w:rPr>
              <w:t>Dimension</w:t>
            </w:r>
          </w:p>
        </w:tc>
        <w:tc>
          <w:p>
            <w:r>
              <w:rPr>
                <w:b/>
              </w:rPr>
              <w:t>Bull case</w:t>
            </w:r>
          </w:p>
        </w:tc>
        <w:tc>
          <w:p>
            <w:r>
              <w:rPr>
                <w:b/>
              </w:rPr>
              <w:t>Base case</w:t>
            </w:r>
          </w:p>
        </w:tc>
        <w:tc>
          <w:p>
            <w:r>
              <w:rPr>
                <w:b/>
              </w:rPr>
              <w:t>Bear case</w:t>
            </w:r>
          </w:p>
        </w:tc>
      </w:tr>
      <w:tr>
        <w:tc>
          <w:p>
            <w:r>
              <w:t>Traditional-model viability, 2030</w:t>
            </w:r>
          </w:p>
        </w:tc>
        <w:tc>
          <w:p>
            <w:r>
              <w:t>Reinvented and thriving</w:t>
            </w:r>
          </w:p>
        </w:tc>
        <w:tc>
          <w:p>
            <w:r>
              <w:t>Viable only if re-mixed</w:t>
            </w:r>
          </w:p>
        </w:tc>
        <w:tc>
          <w:p>
            <w:r>
              <w:t>Non-viable; obsolete</w:t>
            </w:r>
          </w:p>
        </w:tc>
      </w:tr>
      <w:tr>
        <w:tc>
          <w:p>
            <w:r>
              <w:t>Revenue trajectory</w:t>
            </w:r>
          </w:p>
        </w:tc>
        <w:tc>
          <w:p>
            <w:r>
              <w:t>Flat-to-up on new services</w:t>
            </w:r>
          </w:p>
        </w:tc>
        <w:tc>
          <w:p>
            <w:r>
              <w:t>Modest, sub-market growth</w:t>
            </w:r>
          </w:p>
        </w:tc>
        <w:tc>
          <w:p>
            <w:r>
              <w:t>Declining</w:t>
            </w:r>
          </w:p>
        </w:tc>
      </w:tr>
      <w:tr>
        <w:tc>
          <w:p>
            <w:r>
              <w:t>Gross margin</w:t>
            </w:r>
          </w:p>
        </w:tc>
        <w:tc>
          <w:p>
            <w:r>
              <w:t>Expands (routine labour → software)</w:t>
            </w:r>
          </w:p>
        </w:tc>
        <w:tc>
          <w:p>
            <w:r>
              <w:t>Stable</w:t>
            </w:r>
          </w:p>
        </w:tc>
        <w:tc>
          <w:p>
            <w:r>
              <w:t>Compresses</w:t>
            </w:r>
          </w:p>
        </w:tc>
      </w:tr>
      <w:tr>
        <w:tc>
          <w:p>
            <w:r>
              <w:t>Staffing</w:t>
            </w:r>
          </w:p>
        </w:tc>
        <w:tc>
          <w:p>
            <w:r>
              <w:t>Re-skilled, flatter L1, growth in security/AI</w:t>
            </w:r>
          </w:p>
        </w:tc>
        <w:tc>
          <w:p>
            <w:r>
              <w:t>L1 shrinks, specialists grow</w:t>
            </w:r>
          </w:p>
        </w:tc>
        <w:tc>
          <w:p>
            <w:r>
              <w:t>Net technician reduction</w:t>
            </w:r>
          </w:p>
        </w:tc>
      </w:tr>
      <w:tr>
        <w:tc>
          <w:p>
            <w:r>
              <w:t>Who wins</w:t>
            </w:r>
          </w:p>
        </w:tc>
        <w:tc>
          <w:p>
            <w:r>
              <w:t>AI-enabled advisors capturing the $8.45 services multiplier</w:t>
            </w:r>
          </w:p>
        </w:tc>
        <w:tc>
          <w:p>
            <w:r>
              <w:t>Security-led and co-managed re-mixers</w:t>
            </w:r>
          </w:p>
        </w:tc>
        <w:tc>
          <w:p>
            <w:r>
              <w:t>Platforms and vendors; pure arbitrageurs lose</w:t>
            </w:r>
          </w:p>
        </w:tc>
      </w:tr>
      <w:tr>
        <w:tc>
          <w:p>
            <w:r>
              <w:t>Indicative probability</w:t>
            </w:r>
          </w:p>
        </w:tc>
        <w:tc>
          <w:p>
            <w:r>
              <w:t>~25%</w:t>
            </w:r>
          </w:p>
        </w:tc>
        <w:tc>
          <w:p>
            <w:r>
              <w:t>~50%</w:t>
            </w:r>
          </w:p>
        </w:tc>
        <w:tc>
          <w:p>
            <w:r>
              <w:t>~25%</w:t>
            </w:r>
          </w:p>
        </w:tc>
      </w:tr>
    </w:tbl>
    <w:p>
      <w:pPr>
        <w:pStyle w:val="Heading2"/>
      </w:pPr>
      <w:r>
        <w:t>9.1 Bull case</w:t>
      </w:r>
    </w:p>
    <w:p>
      <w:pPr>
        <w:pStyle w:val="Normal"/>
      </w:pPr>
      <w:r>
        <w:t>In the favourable scenario, AI becomes a margin lever rather than a threat. The MSP uses measured 14–56% productivity gains to lift labour efficiency, redeploys technicians from L1 queues into 24x7 security operations and Copilot deployment, and prices outcomes rather than hours. It captures the fast-growing pools Microsoft is funding — the US$8.45-per-dollar services opportunity and generative-AI work forecast to grow 86% to 2027 — and rides the 15%-plus growth in managed security. Canalys already notes that “partners adopting AI-enabled monitoring and automated remediation tools are reporting stronger margins.” In this world the MSP looks like Trajectory C in Section 6: gross margin expands toward the top-performer band, EBITDA roughly quadruples, and the business earns a security-led multiple. This is a real and evidenced path, but it requires deliberate repositioning; it does not happen by default.</w:t>
      </w:r>
    </w:p>
    <w:p>
      <w:pPr>
        <w:pStyle w:val="Heading2"/>
      </w:pPr>
      <w:r>
        <w:t>9.2 Base case</w:t>
      </w:r>
    </w:p>
    <w:p>
      <w:pPr>
        <w:pStyle w:val="Normal"/>
      </w:pPr>
      <w:r>
        <w:t>In the most likely scenario, the industry re-mixes under pressure. Commodity operations deflate — marketplace fees fall toward 3%, vendors deliver more managed outcomes directly, and AI deflects routine tickets — but the erosion is offset by rising demand for AI-transformation, security, and co-managed services. Revenue grows modestly but below the broader market; L1 headcount shrinks while security and advisory roles grow; and the industry consolidates, with private equity rolling sub-scale operators into scaled platforms. This is the “MSP 3.0” trajectory Omdia describes: not extinction, but a forced migration up the value stack in which providers that re-mix survive and those that do not are acquired or left behind. The median independent MSP remains viable only to the extent it executes this re-mix.</w:t>
      </w:r>
    </w:p>
    <w:p>
      <w:pPr>
        <w:pStyle w:val="Heading2"/>
      </w:pPr>
      <w:r>
        <w:t>9.3 Bear case</w:t>
      </w:r>
    </w:p>
    <w:p>
      <w:pPr>
        <w:pStyle w:val="Normal"/>
      </w:pPr>
      <w:r>
        <w:t>In the adverse scenario, disintermediation outruns adaptation. Customers self-serve through Copilot Studio and buy vendor-delivered MDR and marketplace SaaS directly; per-seat and per-device operations billing evaporates while the MSP still carries fixed L1 and L2 labour. As McKinsey’s automation exposure bites and up to 30% of routine hours become automatable, the pure labour-arbitrage MSP faces genuine obsolescence within three to five years. This is Trajectory B in Section 6: revenue declines, margin compresses to near breakeven, and enterprise value effectively disappears. The bear case is not a market-wide collapse — the category keeps growing — but a concentrated failure of the operators who did not change.</w:t>
      </w:r>
    </w:p>
    <w:p>
      <w:pPr>
        <w:pStyle w:val="Heading2"/>
      </w:pPr>
      <w:r>
        <w:t>9.4 Most likely outcome</w:t>
      </w:r>
    </w:p>
    <w:p>
      <w:pPr>
        <w:pStyle w:val="Normal"/>
      </w:pPr>
      <w:r>
        <w:t>Weighing the evidence, the base case dominates. The single most reliable prediction is bifurcation: a widening gap between a minority of transformed, security-and-AI-led platforms that thrive and a compressing long tail of sub-scale, labour-dependent shops that face margin erosion and an acquire-or-exit choice. As an evidence-informed estimate — grounded in the doubling of the unprofitable share, the 169 deals and roughly 69% private-equity participation in 2025, and the growth and valuation differentials — of today’s MSPs over the coming decade, on the order of 20–30% transform into higher-value providers, roughly 30–40% are consolidated or acquired into platforms, about 20–30% persist as diminished commodity operators on compressed margins, and roughly 10–20% exit or fail outright. These figures are an analytical estimate, not a sourced forecast, and are offered to size the stakes rather than to predict any single firm’s fate.</w:t>
      </w:r>
    </w:p>
    <w:p>
      <w:pPr>
        <w:pStyle w:val="Normal"/>
      </w:pPr>
      <w:r>
        <w:t>The categories most at risk are readily identified: single-owner and sub-scale firms without a security practice; break-fix and project-heavy providers with low recurring-revenue quality; those anchored to per-user or per-device pricing of commodity IT; resale-dependent businesses exposed to marketplace fee compression; and providers in the fastest-moving markets. The categories best positioned are security-led and co-managed specialists, scaled recurring-revenue platforms, and vertical or compliance-focused providers whose outcomes an SMB cannot self-operate.</w:t>
      </w:r>
    </w:p>
    <w:p>
      <w:r>
        <w:br w:type="page"/>
      </w:r>
    </w:p>
    <w:p>
      <w:pPr>
        <w:pStyle w:val="Heading1"/>
      </w:pPr>
      <w:r>
        <w:t>10. Transformation Framework</w:t>
      </w:r>
    </w:p>
    <w:p>
      <w:pPr>
        <w:pStyle w:val="Normal"/>
      </w:pPr>
      <w:r>
        <w:t>The transformation is not a single move but a portfolio of opportunities that should be sequenced by return and defensibility. The matrix below ranks the principal opportunities on four criteria drawn from the evidence in this report: urgency (how fast the underlying demand or threat is moving), revenue potential (size of the addressable pool), margin potential (gross margin relative to commodity managed services), and competitive defensibility (how hard the position is for platforms, AI, or price competitors to erode). Ratings are High, Medium, or Low, and the rows are ordered by overall priority.</w:t>
      </w:r>
    </w:p>
    <w:p>
      <w:pPr>
        <w:pStyle w:val="Caption"/>
      </w:pPr>
      <w:r>
        <w:t>Table 7. Ranked transformation opportunities</w:t>
      </w:r>
    </w:p>
    <w:tbl>
      <w:tblPr>
        <w:tblStyle w:val="LightShading-Accent1"/>
        <w:tblW w:w="5000" w:type="pct"/>
        <w:tblLayout w:type="fixed"/>
        <w:tblLook w:val="04A0" w:firstRow="1" w:lastRow="0" w:firstColumn="1" w:lastColumn="0" w:noHBand="0" w:noVBand="1"/>
      </w:tblPr>
      <w:tblGrid>
        <w:gridCol w:w="4300"/>
        <w:gridCol w:w="1265"/>
        <w:gridCol w:w="1265"/>
        <w:gridCol w:w="1265"/>
        <w:gridCol w:w="1265"/>
      </w:tblGrid>
      <w:tr>
        <w:trPr>
          <w:tblHeader/>
        </w:trPr>
        <w:tc>
          <w:tcPr>
            <w:tcW w:w="4300" w:type="dxa"/>
          </w:tcPr>
          <w:p>
            <w:r>
              <w:rPr>
                <w:b/>
              </w:rPr>
              <w:t>Opportunity</w:t>
            </w:r>
          </w:p>
        </w:tc>
        <w:tc>
          <w:tcPr>
            <w:tcW w:w="1265" w:type="dxa"/>
          </w:tcPr>
          <w:p>
            <w:r>
              <w:rPr>
                <w:b/>
              </w:rPr>
              <w:t>Urgency</w:t>
            </w:r>
          </w:p>
        </w:tc>
        <w:tc>
          <w:tcPr>
            <w:tcW w:w="1265" w:type="dxa"/>
          </w:tcPr>
          <w:p>
            <w:r>
              <w:rPr>
                <w:b/>
              </w:rPr>
              <w:t>Revenue</w:t>
            </w:r>
          </w:p>
        </w:tc>
        <w:tc>
          <w:tcPr>
            <w:tcW w:w="1265" w:type="dxa"/>
          </w:tcPr>
          <w:p>
            <w:r>
              <w:rPr>
                <w:b/>
              </w:rPr>
              <w:t>Margin</w:t>
            </w:r>
          </w:p>
        </w:tc>
        <w:tc>
          <w:tcPr>
            <w:tcW w:w="1265" w:type="dxa"/>
          </w:tcPr>
          <w:p>
            <w:r>
              <w:rPr>
                <w:b/>
              </w:rPr>
              <w:t>Defensibility</w:t>
            </w:r>
          </w:p>
        </w:tc>
      </w:tr>
      <w:tr>
        <w:tc>
          <w:tcPr>
            <w:tcW w:w="4300" w:type="dxa"/>
          </w:tcPr>
          <w:p>
            <w:r>
              <w:t>Managed security — MDR / managed SOC / identity protection</w:t>
            </w:r>
          </w:p>
        </w:tc>
        <w:tc>
          <w:tcPr>
            <w:tcW w:w="1265" w:type="dxa"/>
          </w:tcPr>
          <w:p>
            <w:r>
              <w:t>High</w:t>
            </w:r>
          </w:p>
        </w:tc>
        <w:tc>
          <w:tcPr>
            <w:tcW w:w="1265" w:type="dxa"/>
          </w:tcPr>
          <w:p>
            <w:r>
              <w:t>High</w:t>
            </w:r>
          </w:p>
        </w:tc>
        <w:tc>
          <w:tcPr>
            <w:tcW w:w="1265" w:type="dxa"/>
          </w:tcPr>
          <w:p>
            <w:r>
              <w:t>High</w:t>
            </w:r>
          </w:p>
        </w:tc>
        <w:tc>
          <w:tcPr>
            <w:tcW w:w="1265" w:type="dxa"/>
          </w:tcPr>
          <w:p>
            <w:r>
              <w:t>High</w:t>
            </w:r>
          </w:p>
        </w:tc>
      </w:tr>
      <w:tr>
        <w:tc>
          <w:tcPr>
            <w:tcW w:w="4300" w:type="dxa"/>
          </w:tcPr>
          <w:p>
            <w:r>
              <w:t>Security advisory — vCISO, compliance / GRC</w:t>
            </w:r>
          </w:p>
        </w:tc>
        <w:tc>
          <w:tcPr>
            <w:tcW w:w="1265" w:type="dxa"/>
          </w:tcPr>
          <w:p>
            <w:r>
              <w:t>High</w:t>
            </w:r>
          </w:p>
        </w:tc>
        <w:tc>
          <w:tcPr>
            <w:tcW w:w="1265" w:type="dxa"/>
          </w:tcPr>
          <w:p>
            <w:r>
              <w:t>Med–High</w:t>
            </w:r>
          </w:p>
        </w:tc>
        <w:tc>
          <w:tcPr>
            <w:tcW w:w="1265" w:type="dxa"/>
          </w:tcPr>
          <w:p>
            <w:r>
              <w:t>High</w:t>
            </w:r>
          </w:p>
        </w:tc>
        <w:tc>
          <w:tcPr>
            <w:tcW w:w="1265" w:type="dxa"/>
          </w:tcPr>
          <w:p>
            <w:r>
              <w:t>High</w:t>
            </w:r>
          </w:p>
        </w:tc>
      </w:tr>
      <w:tr>
        <w:tc>
          <w:tcPr>
            <w:tcW w:w="4300" w:type="dxa"/>
          </w:tcPr>
          <w:p>
            <w:r>
              <w:t>AI implementation — Copilot, Copilot Studio, agents</w:t>
            </w:r>
          </w:p>
        </w:tc>
        <w:tc>
          <w:tcPr>
            <w:tcW w:w="1265" w:type="dxa"/>
          </w:tcPr>
          <w:p>
            <w:r>
              <w:t>High</w:t>
            </w:r>
          </w:p>
        </w:tc>
        <w:tc>
          <w:tcPr>
            <w:tcW w:w="1265" w:type="dxa"/>
          </w:tcPr>
          <w:p>
            <w:r>
              <w:t>High</w:t>
            </w:r>
          </w:p>
        </w:tc>
        <w:tc>
          <w:tcPr>
            <w:tcW w:w="1265" w:type="dxa"/>
          </w:tcPr>
          <w:p>
            <w:r>
              <w:t>Med–High</w:t>
            </w:r>
          </w:p>
        </w:tc>
        <w:tc>
          <w:tcPr>
            <w:tcW w:w="1265" w:type="dxa"/>
          </w:tcPr>
          <w:p>
            <w:r>
              <w:t>Medium</w:t>
            </w:r>
          </w:p>
        </w:tc>
      </w:tr>
      <w:tr>
        <w:tc>
          <w:tcPr>
            <w:tcW w:w="4300" w:type="dxa"/>
          </w:tcPr>
          <w:p>
            <w:r>
              <w:t>AI governance, risk &amp; assurance</w:t>
            </w:r>
          </w:p>
        </w:tc>
        <w:tc>
          <w:tcPr>
            <w:tcW w:w="1265" w:type="dxa"/>
          </w:tcPr>
          <w:p>
            <w:r>
              <w:t>High</w:t>
            </w:r>
          </w:p>
        </w:tc>
        <w:tc>
          <w:tcPr>
            <w:tcW w:w="1265" w:type="dxa"/>
          </w:tcPr>
          <w:p>
            <w:r>
              <w:t>Medium</w:t>
            </w:r>
          </w:p>
        </w:tc>
        <w:tc>
          <w:tcPr>
            <w:tcW w:w="1265" w:type="dxa"/>
          </w:tcPr>
          <w:p>
            <w:r>
              <w:t>High</w:t>
            </w:r>
          </w:p>
        </w:tc>
        <w:tc>
          <w:tcPr>
            <w:tcW w:w="1265" w:type="dxa"/>
          </w:tcPr>
          <w:p>
            <w:r>
              <w:t>High</w:t>
            </w:r>
          </w:p>
        </w:tc>
      </w:tr>
      <w:tr>
        <w:tc>
          <w:tcPr>
            <w:tcW w:w="4300" w:type="dxa"/>
          </w:tcPr>
          <w:p>
            <w:r>
              <w:t>AI advisory &amp; readiness assessments</w:t>
            </w:r>
          </w:p>
        </w:tc>
        <w:tc>
          <w:tcPr>
            <w:tcW w:w="1265" w:type="dxa"/>
          </w:tcPr>
          <w:p>
            <w:r>
              <w:t>High</w:t>
            </w:r>
          </w:p>
        </w:tc>
        <w:tc>
          <w:tcPr>
            <w:tcW w:w="1265" w:type="dxa"/>
          </w:tcPr>
          <w:p>
            <w:r>
              <w:t>Medium</w:t>
            </w:r>
          </w:p>
        </w:tc>
        <w:tc>
          <w:tcPr>
            <w:tcW w:w="1265" w:type="dxa"/>
          </w:tcPr>
          <w:p>
            <w:r>
              <w:t>Med–High</w:t>
            </w:r>
          </w:p>
        </w:tc>
        <w:tc>
          <w:tcPr>
            <w:tcW w:w="1265" w:type="dxa"/>
          </w:tcPr>
          <w:p>
            <w:r>
              <w:t>Medium</w:t>
            </w:r>
          </w:p>
        </w:tc>
      </w:tr>
      <w:tr>
        <w:tc>
          <w:tcPr>
            <w:tcW w:w="4300" w:type="dxa"/>
          </w:tcPr>
          <w:p>
            <w:r>
              <w:t>Business process automation</w:t>
            </w:r>
          </w:p>
        </w:tc>
        <w:tc>
          <w:tcPr>
            <w:tcW w:w="1265" w:type="dxa"/>
          </w:tcPr>
          <w:p>
            <w:r>
              <w:t>Medium</w:t>
            </w:r>
          </w:p>
        </w:tc>
        <w:tc>
          <w:tcPr>
            <w:tcW w:w="1265" w:type="dxa"/>
          </w:tcPr>
          <w:p>
            <w:r>
              <w:t>Med–High</w:t>
            </w:r>
          </w:p>
        </w:tc>
        <w:tc>
          <w:tcPr>
            <w:tcW w:w="1265" w:type="dxa"/>
          </w:tcPr>
          <w:p>
            <w:r>
              <w:t>High</w:t>
            </w:r>
          </w:p>
        </w:tc>
        <w:tc>
          <w:tcPr>
            <w:tcW w:w="1265" w:type="dxa"/>
          </w:tcPr>
          <w:p>
            <w:r>
              <w:t>Med–High</w:t>
            </w:r>
          </w:p>
        </w:tc>
      </w:tr>
      <w:tr>
        <w:tc>
          <w:tcPr>
            <w:tcW w:w="4300" w:type="dxa"/>
          </w:tcPr>
          <w:p>
            <w:r>
              <w:t>Data services — data readiness &amp; platform for AI</w:t>
            </w:r>
          </w:p>
        </w:tc>
        <w:tc>
          <w:tcPr>
            <w:tcW w:w="1265" w:type="dxa"/>
          </w:tcPr>
          <w:p>
            <w:r>
              <w:t>Medium</w:t>
            </w:r>
          </w:p>
        </w:tc>
        <w:tc>
          <w:tcPr>
            <w:tcW w:w="1265" w:type="dxa"/>
          </w:tcPr>
          <w:p>
            <w:r>
              <w:t>Medium</w:t>
            </w:r>
          </w:p>
        </w:tc>
        <w:tc>
          <w:tcPr>
            <w:tcW w:w="1265" w:type="dxa"/>
          </w:tcPr>
          <w:p>
            <w:r>
              <w:t>Med–High</w:t>
            </w:r>
          </w:p>
        </w:tc>
        <w:tc>
          <w:tcPr>
            <w:tcW w:w="1265" w:type="dxa"/>
          </w:tcPr>
          <w:p>
            <w:r>
              <w:t>Med–High</w:t>
            </w:r>
          </w:p>
        </w:tc>
      </w:tr>
      <w:tr>
        <w:tc>
          <w:tcPr>
            <w:tcW w:w="4300" w:type="dxa"/>
          </w:tcPr>
          <w:p>
            <w:r>
              <w:t>Co-managed IT (augment client teams)</w:t>
            </w:r>
          </w:p>
        </w:tc>
        <w:tc>
          <w:tcPr>
            <w:tcW w:w="1265" w:type="dxa"/>
          </w:tcPr>
          <w:p>
            <w:r>
              <w:t>Medium</w:t>
            </w:r>
          </w:p>
        </w:tc>
        <w:tc>
          <w:tcPr>
            <w:tcW w:w="1265" w:type="dxa"/>
          </w:tcPr>
          <w:p>
            <w:r>
              <w:t>Med–High</w:t>
            </w:r>
          </w:p>
        </w:tc>
        <w:tc>
          <w:tcPr>
            <w:tcW w:w="1265" w:type="dxa"/>
          </w:tcPr>
          <w:p>
            <w:r>
              <w:t>Medium</w:t>
            </w:r>
          </w:p>
        </w:tc>
        <w:tc>
          <w:tcPr>
            <w:tcW w:w="1265" w:type="dxa"/>
          </w:tcPr>
          <w:p>
            <w:r>
              <w:t>Med–High</w:t>
            </w:r>
          </w:p>
        </w:tc>
      </w:tr>
      <w:tr>
        <w:tc>
          <w:tcPr>
            <w:tcW w:w="4300" w:type="dxa"/>
          </w:tcPr>
          <w:p>
            <w:r>
              <w:t>Subscription intellectual property / productised services</w:t>
            </w:r>
          </w:p>
        </w:tc>
        <w:tc>
          <w:tcPr>
            <w:tcW w:w="1265" w:type="dxa"/>
          </w:tcPr>
          <w:p>
            <w:r>
              <w:t>Medium</w:t>
            </w:r>
          </w:p>
        </w:tc>
        <w:tc>
          <w:tcPr>
            <w:tcW w:w="1265" w:type="dxa"/>
          </w:tcPr>
          <w:p>
            <w:r>
              <w:t>Medium</w:t>
            </w:r>
          </w:p>
        </w:tc>
        <w:tc>
          <w:tcPr>
            <w:tcW w:w="1265" w:type="dxa"/>
          </w:tcPr>
          <w:p>
            <w:r>
              <w:t>High</w:t>
            </w:r>
          </w:p>
        </w:tc>
        <w:tc>
          <w:tcPr>
            <w:tcW w:w="1265" w:type="dxa"/>
          </w:tcPr>
          <w:p>
            <w:r>
              <w:t>High</w:t>
            </w:r>
          </w:p>
        </w:tc>
      </w:tr>
    </w:tbl>
    <w:p>
      <w:pPr>
        <w:pStyle w:val="Normal"/>
      </w:pPr>
      <w:r>
        <w:t>Managed security ranks first because it is the only opportunity that scores high on all four criteria at once, and because it is uniquely protected: regulatory and cyber-insurance requirements push SMBs toward managed providers, and the structural cybersecurity skills gap keeps a human operator in the loop even on a vendor platform. AI implementation and advisory are equally urgent — Microsoft is actively funding them and the window is short — but their defensibility is lower because entrants are many, so they should be paired with AI governance and productised intellectual property, which are harder to copy, to build a durable moat. The practical sequence is to lead with security and AI enablement, which fund the transition, and to reinvest the proceeds into governance and productised IP, which defend it.</w:t>
      </w:r>
    </w:p>
    <w:p>
      <w:r>
        <w:br w:type="page"/>
      </w:r>
    </w:p>
    <w:p>
      <w:pPr>
        <w:pStyle w:val="Heading1"/>
      </w:pPr>
      <w:r>
        <w:t>11. Recommended Actions</w:t>
      </w:r>
    </w:p>
    <w:p>
      <w:pPr>
        <w:pStyle w:val="Heading2"/>
      </w:pPr>
      <w:r>
        <w:t>11.1 Service evolution</w:t>
      </w:r>
    </w:p>
    <w:p>
      <w:pPr>
        <w:pStyle w:val="Normal"/>
      </w:pPr>
      <w:r>
        <w:t>Reposition the portfolio from tool-reseller to outcome-operator. The anchor is a genuine security practice — managed detection and response, a co-managed or partnered SOC, and identity protection — sold as measurable security outcomes rather than device counts, supplemented by vCISO, compliance, and GRC advisory that carry high margin and high defensibility. Layer on the AI opportunity Microsoft is funding: AI readiness assessments, Copilot and Copilot Studio deployment, agent implementation, and — critically — AI governance and assurance, which is where the durable, judgment-heavy value sits. Add data-readiness services (because AI value depends on data quality) and business process automation, which converts the same AI capability into client-visible business results. Each of these moves the firm off the commoditising base and into the 40–55% margin tiers the evidence associates with security and outcome work.</w:t>
      </w:r>
    </w:p>
    <w:p>
      <w:pPr>
        <w:pStyle w:val="Heading2"/>
      </w:pPr>
      <w:r>
        <w:t>11.2 Operational evolution</w:t>
      </w:r>
    </w:p>
    <w:p>
      <w:pPr>
        <w:pStyle w:val="Normal"/>
      </w:pPr>
      <w:r>
        <w:t>Adopt internally what you sell externally. The firms that win use AI to raise per-engineer leverage rather than to defend L1 headcount: deploy Copilot and agents across the service desk, automate triage, documentation, and routine remediation, and let AIOps compress alert noise and mean-time-to-resolution. This flattens the traditional technician pyramid — fewer junior bodies on tickets, more senior specialists on security and advisory — and reduces the human dependency that makes the labour-arbitrage model fragile. The organisational implication is real and should be planned, not stumbled into: reskilling paths, hiring shifted toward security and AI competencies, and a delivery model built around automated first-line resolution with human escalation reserved for judgment, empathy, and accountability — the layer the Klarna reversal shows machines do not yet own.</w:t>
      </w:r>
    </w:p>
    <w:p>
      <w:pPr>
        <w:pStyle w:val="Heading2"/>
      </w:pPr>
      <w:r>
        <w:t>11.3 Commercial evolution</w:t>
      </w:r>
    </w:p>
    <w:p>
      <w:pPr>
        <w:pStyle w:val="Normal"/>
      </w:pPr>
      <w:r>
        <w:t>Change what you charge for, or the automation gain leaks to the customer. The traditional per-user, per-device, and ticket-based models tie revenue to units of labour that AI is deflating — which is precisely why MSPs today report automation improving operational metrics far more than profit. The transition is toward outcome-based pricing (charging for a security posture, a compliance state, or a business result), platform or tiered subscription pricing that decouples revenue from headcount, subscription intellectual property and productised services that scale without linear labour, and managed-AI offerings that package Copilot and agent operations as a recurring service. This is the commercial mechanism that lets an owner bank the efficiency AI creates instead of handing it away, and it is the single change with the largest effect on both margin and valuation multiple.</w:t>
      </w:r>
    </w:p>
    <w:p>
      <w:pPr>
        <w:pStyle w:val="Normal"/>
      </w:pPr>
      <w:r>
        <w:t>The phased roadmap below sequences these moves against the three-to-five-year window the evidence implies.</w:t>
      </w:r>
    </w:p>
    <w:p>
      <w:r>
        <w:br w:type="page"/>
      </w:r>
    </w:p>
    <w:p>
      <w:pPr>
        <w:pStyle w:val="Caption"/>
      </w:pPr>
      <w:r>
        <w:t>Table 8. Transformation roadmap by horizon</w:t>
      </w:r>
    </w:p>
    <w:tbl>
      <w:tblPr>
        <w:tblStyle w:val="LightShading-Accent1"/>
        <w:tblW w:w="5000" w:type="pct"/>
        <w:tblLayout w:type="fixed"/>
        <w:tblLook w:val="04A0" w:firstRow="1" w:lastRow="0" w:firstColumn="1" w:lastColumn="0" w:noHBand="0" w:noVBand="1"/>
      </w:tblPr>
      <w:tblGrid>
        <w:gridCol w:w="1650"/>
        <w:gridCol w:w="4900"/>
        <w:gridCol w:w="2810"/>
      </w:tblGrid>
      <w:tr>
        <w:trPr>
          <w:tblHeader/>
        </w:trPr>
        <w:tc>
          <w:tcPr>
            <w:tcW w:w="1650" w:type="dxa"/>
          </w:tcPr>
          <w:p>
            <w:r>
              <w:rPr>
                <w:b/>
              </w:rPr>
              <w:t>Horizon</w:t>
            </w:r>
          </w:p>
        </w:tc>
        <w:tc>
          <w:tcPr>
            <w:tcW w:w="4900" w:type="dxa"/>
          </w:tcPr>
          <w:p>
            <w:r>
              <w:rPr>
                <w:b/>
              </w:rPr>
              <w:t>Priority actions</w:t>
            </w:r>
          </w:p>
        </w:tc>
        <w:tc>
          <w:tcPr>
            <w:tcW w:w="2810" w:type="dxa"/>
          </w:tcPr>
          <w:p>
            <w:r>
              <w:rPr>
                <w:b/>
              </w:rPr>
              <w:t>Target outcome</w:t>
            </w:r>
          </w:p>
        </w:tc>
      </w:tr>
      <w:tr>
        <w:tc>
          <w:tcPr>
            <w:tcW w:w="1650" w:type="dxa"/>
          </w:tcPr>
          <w:p>
            <w:r>
              <w:t>Now (0–6 months)</w:t>
            </w:r>
          </w:p>
        </w:tc>
        <w:tc>
          <w:tcPr>
            <w:tcW w:w="4900" w:type="dxa"/>
          </w:tcPr>
          <w:p>
            <w:r>
              <w:t>Stand up or partner MDR + identity protection; drive internal Copilot adoption; launch paid security and AI-readiness assessments; pilot outcome/tiered pricing on new logos.</w:t>
            </w:r>
          </w:p>
        </w:tc>
        <w:tc>
          <w:tcPr>
            <w:tcW w:w="2810" w:type="dxa"/>
          </w:tcPr>
          <w:p>
            <w:r>
              <w:t>A live security revenue line and an internal AI productivity baseline.</w:t>
            </w:r>
          </w:p>
        </w:tc>
      </w:tr>
      <w:tr>
        <w:tc>
          <w:tcPr>
            <w:tcW w:w="1650" w:type="dxa"/>
          </w:tcPr>
          <w:p>
            <w:r>
              <w:t>Near (6–18 months)</w:t>
            </w:r>
          </w:p>
        </w:tc>
        <w:tc>
          <w:tcPr>
            <w:tcW w:w="4900" w:type="dxa"/>
          </w:tcPr>
          <w:p>
            <w:r>
              <w:t>Build a co-managed SOC or deepen an MSSP partnership; establish a Copilot/agent deployment and AI-governance practice; retire per-device pricing for new contracts.</w:t>
            </w:r>
          </w:p>
        </w:tc>
        <w:tc>
          <w:tcPr>
            <w:tcW w:w="2810" w:type="dxa"/>
          </w:tcPr>
          <w:p>
            <w:r>
              <w:t>Security + AI exceed 30% of revenue; new contracts priced on outcomes.</w:t>
            </w:r>
          </w:p>
        </w:tc>
      </w:tr>
      <w:tr>
        <w:tc>
          <w:tcPr>
            <w:tcW w:w="1650" w:type="dxa"/>
          </w:tcPr>
          <w:p>
            <w:r>
              <w:t>Next (18–36 months)</w:t>
            </w:r>
          </w:p>
        </w:tc>
        <w:tc>
          <w:tcPr>
            <w:tcW w:w="4900" w:type="dxa"/>
          </w:tcPr>
          <w:p>
            <w:r>
              <w:t>Productise IP into subscription services; automate delivery with agents; verticalise; pursue scale via M&amp;A or a platform partnership.</w:t>
            </w:r>
          </w:p>
        </w:tc>
        <w:tc>
          <w:tcPr>
            <w:tcW w:w="2810" w:type="dxa"/>
          </w:tcPr>
          <w:p>
            <w:r>
              <w:t>40–50% blended gross margin and a security-led valuation multiple.</w:t>
            </w:r>
          </w:p>
        </w:tc>
      </w:tr>
    </w:tbl>
    <w:p>
      <w:r>
        <w:br w:type="page"/>
      </w:r>
    </w:p>
    <w:p>
      <w:pPr>
        <w:pStyle w:val="Heading1"/>
      </w:pPr>
      <w:r>
        <w:t>12. Risks and Counterarguments</w:t>
      </w:r>
    </w:p>
    <w:p>
      <w:pPr>
        <w:pStyle w:val="Normal"/>
      </w:pPr>
      <w:r>
        <w:t>A credible thesis must survive its strongest objections. This section sets out the case for MSP survival and the case for MSP disruption on equal terms, and then reconciles them.</w:t>
      </w:r>
    </w:p>
    <w:p>
      <w:pPr>
        <w:pStyle w:val="Heading2"/>
      </w:pPr>
      <w:r>
        <w:t>12.1 Arguments supporting MSP survival</w:t>
      </w:r>
    </w:p>
    <w:p>
      <w:pPr>
        <w:pStyle w:val="Normal"/>
      </w:pPr>
      <w:r>
        <w:t>The resilience case is genuine and rests on hard data. The managed-services market is growing double digits, sized at roughly US$595 billion in 2025 and delivered by some 341,000 partners — a blanket “obsolescence” claim is simply not supported by market data. Partner economics remain strong, with a Microsoft-commissioned IDC study finding that partners providing services generate US$8.45 for every US$1 of Microsoft revenue, that 62% of partner revenue is services, and that generative-AI opportunity will grow 86% to 2027. Best-in-class TSPs posted a fifth consecutive year of 19%-plus adjusted EBITDA with valuations up about 22%, and private equity appeared in roughly 69% of 2025 deals — capital does not deploy at that scale into a dying category. AI execution frequently disappoints (Gartner expects over 40% of agentic-AI projects to be cancelled by 2027, amid widespread “agent washing”), over-automation can backfire (the Klarna reversal), and even in marketplaces customers still route almost a third of procurement through trusted partners. Two structural forces — regulatory and cyber-insurance demand, and a multi-million-person cybersecurity skills gap — keep a human operator in the loop in a way earlier disrupted intermediaries never enjoyed. And roughly four in five MSPs now derive the majority of revenue from recurring contracts, a far more durable base than the old break-fix model.</w:t>
      </w:r>
    </w:p>
    <w:p>
      <w:pPr>
        <w:pStyle w:val="Heading2"/>
      </w:pPr>
      <w:r>
        <w:t>12.2 Arguments supporting MSP disruption</w:t>
      </w:r>
    </w:p>
    <w:p>
      <w:pPr>
        <w:pStyle w:val="Normal"/>
      </w:pPr>
      <w:r>
        <w:t>The disruption case is equally evidenced, and it targets the model rather than the category. The traditional labour-centric core is close to flat — under 2% growth in 2025, with ISG stating that labour-centric services “remained under pressure” — while the economics compress and polarise: deal sizes shrank (clients over US$25,000 a year fell from 75% to 41%), the unprofitable share of MSPs doubled to 10%, commodity lines carry thin margins, and transactional VAR growth collapsed from 14.1% to 1.8%. Labour arbitrage is eroding from three directions (talent scarcity, AI automation, and a new US$100,000 visa fee), and Gartner expects agentic AI to resolve 80% of common service issues by 2029 at 30% lower cost. Platforms are selling the MSP’s work directly, from Microsoft’s Defender Experts MDR to marketplace fees compressed from over 20% to 3%. Buyers increasingly treat undifferentiated managed services as a commodity where “price becomes the only comparison metric.” And every historical parallel — travel agents down 60–70% from their peak, Thomas Cook’s collapse, Rackspace’s revenue decline, Skype’s 74.5% revenue fall — shows the transactional middle losing when a platform commoditises its layer.</w:t>
      </w:r>
    </w:p>
    <w:p>
      <w:pPr>
        <w:pStyle w:val="Heading2"/>
      </w:pPr>
      <w:r>
        <w:t>12.3 Reconciliation and most likely outcome</w:t>
      </w:r>
    </w:p>
    <w:p>
      <w:pPr>
        <w:pStyle w:val="Normal"/>
      </w:pPr>
      <w:r>
        <w:t>The two cases are not actually in conflict once scoped correctly. The survival evidence describes the asset class and the transformed, top-quartile, up-stack operator; the disruption evidence describes the traditional economic engine and the median, sub-scale, labour-dependent shop. Both are true at once, which is exactly what an industry in forced transformation looks like. The most likely outcome is therefore neither collapse nor continuity but bifurcation and consolidation: a minority of security-and-AI-led providers thrive and command premium multiples, a large share are rolled into scaled platforms, and an undifferentiated long tail faces margin erosion and an acquire-or-exit choice. The risk to an individual owner is not that the industry disappears; it is being in the wrong half of the bifurcation.</w:t>
      </w:r>
    </w:p>
    <w:p>
      <w:r>
        <w:br w:type="page"/>
      </w:r>
    </w:p>
    <w:p>
      <w:pPr>
        <w:pStyle w:val="Heading1"/>
      </w:pPr>
      <w:r>
        <w:t>13. Final Conclusions</w:t>
      </w:r>
    </w:p>
    <w:p>
      <w:pPr>
        <w:pStyle w:val="Normal"/>
      </w:pPr>
      <w:r>
        <w:t>Is the MSP/TSP business model likely to remain viable by 2030? The evidence answers with precision: the category will remain viable and keep growing, but the traditional operating model — labour arbitrage on routine work, per-user and per-device pricing of commodity infrastructure, reactive help-desk support, and margin on resale — is becoming obsolete. “Obsolete” is the correct word for that specific model. Its growth has stalled to pre-pandemic levels, its margins are polarising, its labour advantage is inverting into a liability, and it is being out-competed and rolled up. But the MSP as an institution is not disappearing; it is bifurcating and consolidating into scaled, security-and-cloud-rich, outcome-priced platforms that thrive, and a compressing long tail that faces acquisition or exit.</w:t>
      </w:r>
    </w:p>
    <w:p>
      <w:pPr>
        <w:pStyle w:val="Normal"/>
      </w:pPr>
      <w:r>
        <w:t>The reason is structural, not cyclical. The traditional model monetised three things — labour arbitrage on routine operations, resale margin on licences and hardware, and the scarcity of expertise — and AI together with the hyperscaler direction attacks all three simultaneously. AI collapses the labour arbitrage by making L1, L2, monitoring, and documentation dramatically more productive, with the largest gains at the junior tier the model staffs. Marketplaces and native automation collapse resale margin and let customers self-provision. And vendor-delivered managed services and embedded SaaS agents collapse the scarcity of expertise by shipping the managed outcome from the platform. The same forces, however, create a larger, higher-margin opportunity in AI deployment, governance, security operations, and industry transformation — which Microsoft is actively funding partners to capture.</w:t>
      </w:r>
    </w:p>
    <w:p>
      <w:pPr>
        <w:pStyle w:val="Normal"/>
      </w:pPr>
      <w:r>
        <w:t>For the sceptical owner of a successful conventional MSP, the uncomfortable conclusion is that the current success is a lagging indicator. The market is growing, best-in-class profitability is at record highs, and capital is paying premium multiples — but for a different business than the one most MSPs run today, and the premium is reserved precisely for the attributes the traditional model lacks. Standing still is not the low-risk option; on the evidence it is the highest-risk option, because it is the one trajectory in which margin is competed to zero and enterprise value disappears. The transformation path is evidenced, fundable, and already being executed by the operators consolidating the market. The window to choose it is approximately three to five years, and it is open now.</w:t>
      </w:r>
    </w:p>
    <w:p>
      <w:r>
        <w:br w:type="page"/>
      </w:r>
    </w:p>
    <w:p>
      <w:pPr>
        <w:pStyle w:val="Heading1"/>
      </w:pPr>
      <w:r>
        <w:t>14. Complete Reference List</w:t>
      </w:r>
    </w:p>
    <w:p>
      <w:pPr>
        <w:pStyle w:val="Normal"/>
      </w:pPr>
      <w:r>
        <w:t>All sources were retrieved and verified during the research period ending 10 August 2026. Where a primary source sits behind a subscription, the corroborating secondary report is cited alongside it. URLs are provided in full so each claim can be traced to its origin.</w:t>
      </w:r>
    </w:p>
    <w:p>
      <w:pPr>
        <w:pStyle w:val="Heading3"/>
      </w:pPr>
      <w:r>
        <w:t>Industry Analysts and Market Research</w:t>
      </w:r>
    </w:p>
    <w:p>
      <w:pPr>
        <w:pStyle w:val="Normal"/>
      </w:pPr>
      <w:r>
        <w:t>ISG — AI Drives Tech Services, Software Spending to New High in Q3 (ISG Index, 3Q25), Oct 2025. https://ir.isg-one.com/news-market-information/press-releases/news-details/2025/AI-Drives-Tech-Services-Software-Spending-to-New-High-in-Q3-ISG-Index/default.aspx</w:t>
      </w:r>
    </w:p>
    <w:p>
      <w:pPr>
        <w:pStyle w:val="Normal"/>
      </w:pPr>
      <w:r>
        <w:t>Channel Dive (reporting ISG Index Q4/FY2025) — Managed services market poised to rebound, Jan 2026. https://www.channeldive.com/news/technology-managed-services-contracts-market-growth/809887/</w:t>
      </w:r>
    </w:p>
    <w:p>
      <w:pPr>
        <w:pStyle w:val="Normal"/>
      </w:pPr>
      <w:r>
        <w:t>Gartner — Agentic AI Will Autonomously Resolve 80% of Common Customer Service Issues by 2029, Mar 2025. https://www.gartner.com/en/newsroom/press-releases/2025-03-05-gartner-predicts-agentic-ai-will-autonomously-resolve-80-percent-of-common-customer-service-issues-without-human-intervention-by-20290</w:t>
      </w:r>
    </w:p>
    <w:p>
      <w:pPr>
        <w:pStyle w:val="Normal"/>
      </w:pPr>
      <w:r>
        <w:t>Gartner — Predicts Over 40% of Agentic AI Projects Will Be Canceled by End of 2027, Jun 2025. https://www.gartner.com/en/newsroom/press-releases/2025-06-25-gartner-predicts-over-40-percent-of-agentic-ai-projects-will-be-canceled-by-end-of-2027</w:t>
      </w:r>
    </w:p>
    <w:p>
      <w:pPr>
        <w:pStyle w:val="Normal"/>
      </w:pPr>
      <w:r>
        <w:t>Gartner — Worldwide IT Spending to Grow 7.9% in 2025, Jul 2025. https://www.gartner.com/en/newsroom/press-releases/2025-07-15-gartner-forecasts-worldwide-it-spending-to-grow-7-point-9-percent-in-2025</w:t>
      </w:r>
    </w:p>
    <w:p>
      <w:pPr>
        <w:pStyle w:val="Normal"/>
      </w:pPr>
      <w:r>
        <w:t>Gartner — Worldwide End-User Spending on Information Security to Total $213 Billion in 2025, Jul 2025. https://www.gartner.com/en/newsroom/press-releases/2025-07-29-gartner-forecasts-worldwide-end-user-spending-on-information-security-to-total-213-billion-us-dollars-in-2025</w:t>
      </w:r>
    </w:p>
    <w:p>
      <w:pPr>
        <w:pStyle w:val="Normal"/>
      </w:pPr>
      <w:r>
        <w:t>Gartner — Market Guide for Managed Detection and Response, 2025. https://www.gartner.com/en/documents/7010398</w:t>
      </w:r>
    </w:p>
    <w:p>
      <w:pPr>
        <w:pStyle w:val="Normal"/>
      </w:pPr>
      <w:r>
        <w:t>Omdia / Canalys — MSP Trends and Predictions 2025 (Executive Summary), Jan 2025. https://omdia.tech.informa.com/blogs/2025/jan/msp-trends-and-predictions-2025-executive-summary</w:t>
      </w:r>
    </w:p>
    <w:p>
      <w:pPr>
        <w:pStyle w:val="Normal"/>
      </w:pPr>
      <w:r>
        <w:t>Omdia / Canalys — Now and Next for Cybersecurity Managed Services, 2025. https://omdia.tech.informa.com/insights/2025/now-and-next-for-cybersecurity-managed-services</w:t>
      </w:r>
    </w:p>
    <w:p>
      <w:pPr>
        <w:pStyle w:val="Normal"/>
      </w:pPr>
      <w:r>
        <w:t>Canalys (via InfotechLead) — Forums APAC 2025: How AI, Automation and Security Are Redefining Managed Services, Dec 2025. https://infotechlead.com/channels/canalys-forums-apac-2025-how-ai-automation-and-security-are-redefining-managed-services-92457</w:t>
      </w:r>
    </w:p>
    <w:p>
      <w:pPr>
        <w:pStyle w:val="Normal"/>
      </w:pPr>
      <w:r>
        <w:t>Canalys (via IEEE ComSoc) — Cloud marketplace sales to be &gt; $45 billion by 2025, Jan 2023. https://techblog.comsoc.org/2023/01/28/canalys-cloud-marketplace-sales-to-be-45-billion-by-2025/</w:t>
      </w:r>
    </w:p>
    <w:p>
      <w:pPr>
        <w:pStyle w:val="Normal"/>
      </w:pPr>
      <w:r>
        <w:t>IDC — Worldwide and US Managed Print and Document Services (revenue −1.8% in 2023). https://my.idc.com/getdoc.jsp?containerId=US52019725</w:t>
      </w:r>
    </w:p>
    <w:p>
      <w:pPr>
        <w:pStyle w:val="Normal"/>
      </w:pPr>
      <w:r>
        <w:t>McKinsey — The Economic Potential of Generative AI: The Next Productivity Frontier, Jun 2023. https://www.mckinsey.com/capabilities/tech-and-ai/our-insights/the-economic-potential-of-generative-ai-the-next-productivity-frontier</w:t>
      </w:r>
    </w:p>
    <w:p>
      <w:pPr>
        <w:pStyle w:val="Normal"/>
      </w:pPr>
      <w:r>
        <w:t>McKinsey Global Institute — Generative AI and the Future of Work in America, Jul 2023. https://www.mckinsey.com/mgi/our-research/generative-ai-and-the-future-of-work-in-america</w:t>
      </w:r>
    </w:p>
    <w:p>
      <w:pPr>
        <w:pStyle w:val="Normal"/>
      </w:pPr>
      <w:r>
        <w:t>Deloitte — Enterprise IT: Thriving in Disruptive Times with Cloud and As-a-Service (XaaS Study), via DigitalRoute, Oct 2024. https://www.digitalroute.com/blog/what-deloittes-report-tells-us-about-the-it-as-a-service-trend/</w:t>
      </w:r>
    </w:p>
    <w:p>
      <w:pPr>
        <w:pStyle w:val="Normal"/>
      </w:pPr>
      <w:r>
        <w:t>CompTIA — IT Industry Outlook 2025. https://comptiacdn.azureedge.net/webcontent/docs/default-source/research-reports/comptia-it-industry-outlook-2025.pdf</w:t>
      </w:r>
    </w:p>
    <w:p>
      <w:pPr>
        <w:pStyle w:val="Normal"/>
      </w:pPr>
      <w:r>
        <w:t>Fortune Business Insights — Managed Services Market (15.0% CAGR by 2032), Mar 2025. https://www.fortunebusinessinsights.com/press-release/managed-services-market-9991</w:t>
      </w:r>
    </w:p>
    <w:p>
      <w:pPr>
        <w:pStyle w:val="Normal"/>
      </w:pPr>
      <w:r>
        <w:t>Grand View Research — Managed Detection and Response Market ($15.3B by 2030) and Managed Services Market ($731.08B by 2030). https://www.grandviewresearch.com/industry-analysis/managed-detection-response-market-report</w:t>
      </w:r>
    </w:p>
    <w:p>
      <w:pPr>
        <w:pStyle w:val="Normal"/>
      </w:pPr>
      <w:r>
        <w:t>MarketsandMarkets — Managed Detection and Response Market ($11.8B by 2029) and Managed Security Services Market (~$39.47B, 2025). https://www.marketsandmarkets.com/Market-Reports/managed-security-services-market-5918403.html</w:t>
      </w:r>
    </w:p>
    <w:p>
      <w:pPr>
        <w:pStyle w:val="Normal"/>
      </w:pPr>
      <w:r>
        <w:t>Zion Market Research — Managed Services Market ($239.56B, 7.21% CAGR), 2023. https://www.zionmarketresearch.com/report/managed-services-market</w:t>
      </w:r>
    </w:p>
    <w:p>
      <w:pPr>
        <w:pStyle w:val="Heading3"/>
      </w:pPr>
      <w:r>
        <w:t>Industry Benchmarks, Valuation and M&amp;A Data</w:t>
      </w:r>
    </w:p>
    <w:p>
      <w:pPr>
        <w:pStyle w:val="Normal"/>
      </w:pPr>
      <w:r>
        <w:t>Service Leadership / ConnectWise — Q2 2024 Data Report (managed-services growth and gross margin by line), Aug 2024. https://www.connectwise.com/company/press/releases/2024-08-06-service-leadership-q2-data-report</w:t>
      </w:r>
    </w:p>
    <w:p>
      <w:pPr>
        <w:pStyle w:val="Normal"/>
      </w:pPr>
      <w:r>
        <w:t>Service Leadership / ConnectWise — 2025 Annual IT Solution Provider Industry Profitability Report, May 2025. https://www.connectwise.com/company/press/releases/service-leadership-announces-findings-of-its-annual-it-solution-provider-industry-profitability-report</w:t>
      </w:r>
    </w:p>
    <w:p>
      <w:pPr>
        <w:pStyle w:val="Normal"/>
      </w:pPr>
      <w:r>
        <w:t>Kaseya — 2024 MSP Benchmark Survey Report, Mar 2024. https://www.kaseya.com/wp-content/uploads/dlm_uploads/2024/03/Whitepaper-2024-MSP-Benchmark-Survey_Kaseya.pdf</w:t>
      </w:r>
    </w:p>
    <w:p>
      <w:pPr>
        <w:pStyle w:val="Normal"/>
      </w:pPr>
      <w:r>
        <w:t>Kaseya — 2025 Global MSP Benchmark Report, Apr 2025. https://www.kaseya.com/blog/key-findings-from-kaseyas-2025-global-msp-benchmark-report/</w:t>
      </w:r>
    </w:p>
    <w:p>
      <w:pPr>
        <w:pStyle w:val="Normal"/>
      </w:pPr>
      <w:r>
        <w:t>Kaseya — 2026 State of the MSP Report (n = 1,061), 2026; corroborated by LTVplus. https://www.kaseya.com/wp-content/uploads/dlm_uploads/2026/04/Kaseya_2026-State-of-the-MSP_report_2026.pdf</w:t>
      </w:r>
    </w:p>
    <w:p>
      <w:pPr>
        <w:pStyle w:val="Normal"/>
      </w:pPr>
      <w:r>
        <w:t>Aventis Advisors — MSP Valuation Multiples, Jan 2025. https://aventis-advisors.com/msp-valuation-multiples/</w:t>
      </w:r>
    </w:p>
    <w:p>
      <w:pPr>
        <w:pStyle w:val="Normal"/>
      </w:pPr>
      <w:r>
        <w:t>CT Acquisitions — Private Equity MSP (2026): 169 Deals, 69% PE, Active Platforms. https://ctacquisitions.com/guides/private-equity-msp-2026/</w:t>
      </w:r>
    </w:p>
    <w:p>
      <w:pPr>
        <w:pStyle w:val="Normal"/>
      </w:pPr>
      <w:r>
        <w:t>Risepreneur — MSP / IT Services Valuation Guide 2026 (security premium 13–14x vs 8.9x). https://risepreneur.com/exit-ready/it-services-msp/</w:t>
      </w:r>
    </w:p>
    <w:p>
      <w:pPr>
        <w:pStyle w:val="Normal"/>
      </w:pPr>
      <w:r>
        <w:t>Pharallax — MSP Revenue Benchmarks 2026 (revenue-per-employee and pricing bands; illustrative). https://pharallax.ai/guides/msp-revenue-benchmarks-2026/</w:t>
      </w:r>
    </w:p>
    <w:p>
      <w:pPr>
        <w:pStyle w:val="Heading3"/>
      </w:pPr>
      <w:r>
        <w:t>Vendor Disclosures and Financial Filings</w:t>
      </w:r>
    </w:p>
    <w:p>
      <w:pPr>
        <w:pStyle w:val="Normal"/>
      </w:pPr>
      <w:r>
        <w:t>Microsoft — FY2025 Q4 Earnings Conference Call (Microsoft Cloud $168B, Azure $75B), Jul 2025. https://www.microsoft.com/en-us/investor/events/fy-2025/earnings-fy-2025-q4</w:t>
      </w:r>
    </w:p>
    <w:p>
      <w:pPr>
        <w:pStyle w:val="Normal"/>
      </w:pPr>
      <w:r>
        <w:t>Microsoft — FY2025 Q3 Investor Metrics (Microsoft Cloud gross margin 69%), Apr 2025. https://www.microsoft.com/en-us/Investor/earnings/FY-2025-Q3/metrics</w:t>
      </w:r>
    </w:p>
    <w:p>
      <w:pPr>
        <w:pStyle w:val="Normal"/>
      </w:pPr>
      <w:r>
        <w:t>Microsoft — FY2024 Q4 Earnings (Defender for Cloud surpasses $1B), Jul 2024. https://www.microsoft.com/en-us/investor/events/fy-2024/earnings-fy-2024-q4</w:t>
      </w:r>
    </w:p>
    <w:p>
      <w:pPr>
        <w:pStyle w:val="Normal"/>
      </w:pPr>
      <w:r>
        <w:t>Microsoft — Unlocking Autonomous Agent Capabilities with Copilot Studio, Oct 2024. https://www.microsoft.com/en-us/microsoft-copilot/blog/copilot-studio/unlocking-autonomous-agent-capabilities-with-microsoft-copilot-studio/</w:t>
      </w:r>
    </w:p>
    <w:p>
      <w:pPr>
        <w:pStyle w:val="Normal"/>
      </w:pPr>
      <w:r>
        <w:t>Microsoft — Ambient and Autonomous Security for the Agentic Era (Ignite 2025), Nov 2025. https://www.microsoft.com/en-us/security/blog/2025/11/18/ambient-and-autonomous-security-for-the-agentic-era/</w:t>
      </w:r>
    </w:p>
    <w:p>
      <w:pPr>
        <w:pStyle w:val="Normal"/>
      </w:pPr>
      <w:r>
        <w:t>Microsoft — Defender Experts for XDR (managed detection and response) product page. https://www.microsoft.com/en-us/security/business/services/microsoft-defender-experts-mdr</w:t>
      </w:r>
    </w:p>
    <w:p>
      <w:pPr>
        <w:pStyle w:val="Normal"/>
      </w:pPr>
      <w:r>
        <w:t>Microsoft — Solutions Partner Designations and Specialization (AI Cloud Partner Program). https://partner.microsoft.com/en-us/partnership/specialization</w:t>
      </w:r>
    </w:p>
    <w:p>
      <w:pPr>
        <w:pStyle w:val="Normal"/>
      </w:pPr>
      <w:r>
        <w:t>Microsoft — Partner Center Announcements (incentive and program change log). https://learn.microsoft.com/en-us/partner-center/announcements/</w:t>
      </w:r>
    </w:p>
    <w:p>
      <w:pPr>
        <w:pStyle w:val="Normal"/>
      </w:pPr>
      <w:r>
        <w:t>IDC / Microsoft — The Partner Opportunity for AI ($8.45 services multiplier; IDC PEVI study), Sep 2024. https://partner.microsoft.com/en-us/blog/article/ai-value-for-partners</w:t>
      </w:r>
    </w:p>
    <w:p>
      <w:pPr>
        <w:pStyle w:val="Normal"/>
      </w:pPr>
      <w:r>
        <w:t>CrowdStrike — Q4 / FY2025 and Q4 / FY2026 Financial Results (ARR $4.24B → $5.25B). https://ir.crowdstrike.com/news-releases/news-release-details/crowdstrike-reports-fourth-quarter-and-fiscal-year-2025/</w:t>
      </w:r>
    </w:p>
    <w:p>
      <w:pPr>
        <w:pStyle w:val="Normal"/>
      </w:pPr>
      <w:r>
        <w:t>Palo Alto Networks — FY2025 Financial Results (Next-Gen Security ARR $5.6B, +32%), Aug 2025. https://www.paloaltonetworks.com/company/press/2025/palo-alto-networks-reports-fiscal-fourth-quarter-and-fiscal-year-2025-financial-results</w:t>
      </w:r>
    </w:p>
    <w:p>
      <w:pPr>
        <w:pStyle w:val="Normal"/>
      </w:pPr>
      <w:r>
        <w:t>ServiceNow — Q4 FY2025 Earnings (Now Assist &gt; $600M ACV), via Futurum, Jan 2026. https://futurumgroup.com/insights/servicenow-q4-fy-2025-earnings-highlight-ai-platform-momentum/</w:t>
      </w:r>
    </w:p>
    <w:p>
      <w:pPr>
        <w:pStyle w:val="Normal"/>
      </w:pPr>
      <w:r>
        <w:t>Rackspace Technology — Q4 / FY2024 Results (revenue $686M, −5%). https://ir.rackspace.com/news-releases/news-release-details/rackspace-technology-reports-fourth-quarter-and-full-year-2024</w:t>
      </w:r>
    </w:p>
    <w:p>
      <w:pPr>
        <w:pStyle w:val="Normal"/>
      </w:pPr>
      <w:r>
        <w:t>Microsoft security business ~$20B/yr (via Yahoo Finance, reporting Microsoft disclosure), Jan 2023. https://finance.yahoo.com/news/microsofts-security-arm-is-now-a-20-billion-per-year-business-213419664.html</w:t>
      </w:r>
    </w:p>
    <w:p>
      <w:pPr>
        <w:pStyle w:val="Normal"/>
      </w:pPr>
      <w:r>
        <w:t>No Jitter — Microsoft 365 Copilot Adoption Jumps 50% over Prior Quarter (30M seats), 2026. https://www.nojitter.com/digital-workplace/microsoft-365-copilot-adoption-jumps-50-percent-over-prior-quarter</w:t>
      </w:r>
    </w:p>
    <w:p>
      <w:pPr>
        <w:pStyle w:val="Heading3"/>
      </w:pPr>
      <w:r>
        <w:t>Government, Academic and Independent Studies</w:t>
      </w:r>
    </w:p>
    <w:p>
      <w:pPr>
        <w:pStyle w:val="Normal"/>
      </w:pPr>
      <w:r>
        <w:t>World Economic Forum — Tackling Cybersecurity’s Global Talent Shortage (Strategic Cybersecurity Talent Framework), Apr 2024. https://www.weforum.org/stories/2024/04/cybersecurity-industry-talent-shortage-new-report/</w:t>
      </w:r>
    </w:p>
    <w:p>
      <w:pPr>
        <w:pStyle w:val="Normal"/>
      </w:pPr>
      <w:r>
        <w:t>World Economic Forum — The Future of Jobs Report 2025, Jan 2025. https://www.weforum.org/publications/the-future-of-jobs-report-2025/digest/</w:t>
      </w:r>
    </w:p>
    <w:p>
      <w:pPr>
        <w:pStyle w:val="Normal"/>
      </w:pPr>
      <w:r>
        <w:t>Brynjolfsson, Li &amp; Raymond — Generative AI at Work (NBER Working Paper 31161), 2023. https://www.nber.org/papers/w31161</w:t>
      </w:r>
    </w:p>
    <w:p>
      <w:pPr>
        <w:pStyle w:val="Normal"/>
      </w:pPr>
      <w:r>
        <w:t>Peng, Kalliamvakou, Cihon &amp; Demirer — The Impact of AI on Developer Productivity: Evidence from GitHub Copilot (arXiv 2302.06590), 2023. https://arxiv.org/pdf/2302.06590v1</w:t>
      </w:r>
    </w:p>
    <w:p>
      <w:pPr>
        <w:pStyle w:val="Normal"/>
      </w:pPr>
      <w:r>
        <w:t>U.S. Bureau of Labor Statistics — Travel Agents (Occupational Outlook Handbook). https://www.bls.gov/ooh/Sales/Travel-agents.htm</w:t>
      </w:r>
    </w:p>
    <w:p>
      <w:pPr>
        <w:pStyle w:val="Normal"/>
      </w:pPr>
      <w:r>
        <w:t>Columbia Business School — AT&amp;T’s Decline: How Geographic Fragmentation Reshaped a Telecom Giant’s Fate. https://business.columbia.edu/insights/business-society/atts-decline-how-geographic-fragmentation-reshaped-telecom-giants-fate</w:t>
      </w:r>
    </w:p>
    <w:p>
      <w:pPr>
        <w:pStyle w:val="Normal"/>
      </w:pPr>
      <w:r>
        <w:t>IBM — Cost of a Data Breach Report 2024 and 2025 (via Help Net Security and CyberScoop). https://www.helpnetsecurity.com/2025/08/04/ibm-cost-data-breach-report-2025/</w:t>
      </w:r>
    </w:p>
    <w:p>
      <w:pPr>
        <w:pStyle w:val="Normal"/>
      </w:pPr>
      <w:r>
        <w:t>CISA — Kaseya Ransomware Attack Guidance for Affected MSPs and Their Customers, 2021. https://www.cisa.gov/news-events/news/kaseya-ransomware-attack-guidance-affected-msps-and-their-customers</w:t>
      </w:r>
    </w:p>
    <w:p>
      <w:pPr>
        <w:pStyle w:val="Heading3"/>
      </w:pPr>
      <w:r>
        <w:t>Security and Historical-Parallel Sources</w:t>
      </w:r>
    </w:p>
    <w:p>
      <w:pPr>
        <w:pStyle w:val="Normal"/>
      </w:pPr>
      <w:r>
        <w:t>Klarna — AI Assistant Handles Two-Thirds of Customer Service Chats in Its First Month, Feb 2024; and AiTechtonic — Klarna Brings Back Human Agents After AI Backlash, May 2025. https://aitechtonic.com/klarna-brings-back-human-agents-after-ai-backlash/</w:t>
      </w:r>
    </w:p>
    <w:p>
      <w:pPr>
        <w:pStyle w:val="Normal"/>
      </w:pPr>
      <w:r>
        <w:t>CNBC — British Travel Firm Thomas Cook Collapses, Stranding Travelers, Sep 2019. https://www.cnbc.com/2019/09/23/british-travel-firm-thomas-cook-collapses-stranding-travelers.html</w:t>
      </w:r>
    </w:p>
    <w:p>
      <w:pPr>
        <w:pStyle w:val="Normal"/>
      </w:pPr>
      <w:r>
        <w:t>Thurrott — Skype Annual Revenue Dropped 74.5% in 10 Years (Microsoft retired Skype, May 2025). https://www.thurrott.com/cloud/279309/skype-annual-revenue-dropped-74-percent-in-10-years</w:t>
      </w:r>
    </w:p>
    <w:p>
      <w:pPr>
        <w:pStyle w:val="Normal"/>
      </w:pPr>
      <w:r>
        <w:t>Quocirca — Managed Print Services Vendor Landscape 2025 (hosted by Xerox). https://www.xerox.com/downloads/usa/en/services/report/Quocirca-MPS-Vendor-Landscape-2025-report-ENUS.pdf</w:t>
      </w:r>
    </w:p>
    <w:p>
      <w:pPr>
        <w:pStyle w:val="Normal"/>
      </w:pPr>
      <w:r>
        <w:t>Kissflow / Voxbooster (citing Gartner) — Low-code and no-code will build 70% of new applications by 2025; low-code market $44.5B in 2026. https://kissflow.com/no-code/no-code-statistics-2026/</w:t>
      </w:r>
    </w:p>
    <w:p>
      <w:pPr>
        <w:pStyle w:val="Normal"/>
      </w:pPr>
      <w:r>
        <w:t>Bering McKinley and Omdia — MSP commoditisation and margin pressure (“MSP 3.0”), 2025. https://omdia.tech.informa.com/blogs/2025/oct/ai-ecosystems-and-margin-pressure-have-redefined-msp-strategies-in-2025</w:t>
      </w:r>
    </w:p>
    <w:p>
      <w:pPr>
        <w:pStyle w:val="Normal"/>
      </w:pPr>
      <w:r>
        <w:t>Kaseya VSA Ransomware Attack (2021) — summary sourced to Washington Post, Reuters and U.S. DOJ. https://en.wikipedia.org/wiki/Kaseya_VSA_ransomware_attack</w:t>
      </w:r>
    </w:p>
    <w:p>
      <w:pPr>
        <w:pStyle w:val="Normal"/>
      </w:pPr>
      <w:r>
        <w:t>— End of report —</w:t>
      </w:r>
    </w:p>
    <w:sectPr w:rsidR="00FC693F" w:rsidRPr="0006063C" w:rsidSect="00034616">
      <w:pgSz w:w="12240" w:h="15840"/>
      <w:pgMar w:top="1440" w:right="1440" w:bottom="1440" w:left="144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Page </w:t>
    </w:r>
    <w:fldSimple w:instr="PAGE">
      <w:r>
        <w:t>1</w:t>
      </w:r>
    </w:fldSimple>
    <w:r>
      <w:t xml:space="preserve"> of </w:t>
    </w:r>
    <w:fldSimple w:instr="NUMPAGES">
      <w:r>
        <w:t>1</w:t>
      </w:r>
    </w:fldSimple>
    <w:r>
      <w:t xml:space="preserve">    |    Strategic Research Report — The Future of the MSP/TSP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474578A-34BC-462F-99E3-35A278DE2D6C}"/>
</file>

<file path=customXml/itemProps3.xml><?xml version="1.0" encoding="utf-8"?>
<ds:datastoreItem xmlns:ds="http://schemas.openxmlformats.org/officeDocument/2006/customXml" ds:itemID="{F60B1CEC-5DEF-49EF-851A-ECAF0062F5E3}"/>
</file>

<file path=customXml/itemProps4.xml><?xml version="1.0" encoding="utf-8"?>
<ds:datastoreItem xmlns:ds="http://schemas.openxmlformats.org/officeDocument/2006/customXml" ds:itemID="{5797D001-AFED-49BC-A57A-AA0236E7D9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Traditional MSP and TSP Business Model Is Becoming Obsolete</dc:title>
  <dc:subject>Strategic Research Report on Managed Services Sustainability, 2026-2036</dc:subject>
  <dc:creator>CIAOPS</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