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Research Report: Why the Traditional MSP and TSP Business Model Is Becoming Obsolete</w:t>
      </w:r>
    </w:p>
    <w:p>
      <w:r>
        <w:rPr>
          <w:i/>
          <w:sz w:val="24"/>
          <w:szCs w:val="24"/>
        </w:rPr>
        <w:t>An executive-level assessment of whether conventional Managed Service Provider and Technology Service Provider models are becoming economically and strategically unsustainable over the next 3-10 years.</w:t>
      </w:r>
    </w:p>
    <w:p>
      <w:r>
        <w:t>Prepared: 11 August 2026 | Audience: MSP owners, Microsoft partners, service-provider executives, boards, private equity investors and technology consultants | Overall confidence: moderate-high on direction, moderate on magnitude, low on precise timing.</w:t>
      </w:r>
    </w:p>
    <w:p>
      <w:r>
        <w:rPr>
          <w:b/>
          <w:sz w:val="28"/>
          <w:szCs w:val="28"/>
        </w:rPr>
        <w:t>Table of Contents</w:t>
      </w:r>
    </w:p>
    <w:p>
      <w:fldSimple w:instr="TOC \o &quot;1-3&quot; \h \z \u" w:dirty="true">
        <w:r>
          <w:t>Table of contents (updates when the document opens)</w:t>
        </w:r>
      </w:fldSimple>
    </w:p>
    <w:p>
      <w:r>
        <w:br w:type="page"/>
      </w:r>
    </w:p>
    <w:p>
      <w:pPr>
        <w:pStyle w:val="Heading1"/>
      </w:pPr>
      <w:r>
        <w:t>Executive Summary</w:t>
      </w:r>
    </w:p>
    <w:p>
      <w:r>
        <w:t>The evidence does not support a simple claim that all MSPs are dying. It also does not support a comfortable conclusion that conventional managed services can continue unchanged. The best evidence supports bifurcation: the traditional labour-arbitrage MSP/TSP model is becoming economically marginal, while the managed-services market itself remains large and growing.</w:t>
      </w:r>
    </w:p>
    <w:p>
      <w:r>
        <w:t>The traditional model means per-user or per-device recurring fees, fixed-fee support, a human service desk, reactive break-fix, infrastructure monitoring and commoditised administration. That model is exposed because price is increasingly detached from both customer value and delivery cost, while AI, hyperscaler automation and platform-native security are automating work that MSPs historically monetised.</w:t>
      </w:r>
    </w:p>
    <w:p>
      <w:r>
        <w:t>First, the aggregate market is still expanding. Omdia/Canalys forecast channel-delivered IT managed services to grow about 13% year-on-year in 2025 to roughly US$595 billion, with around 341,000 partners globally. At the same time, ConnectWise Service Leadership reported worldwide managed-service revenue growth of only 1.0% in Q4 2024, the lowest of that year. Market growth therefore should not be confused with incumbent health.</w:t>
      </w:r>
    </w:p>
    <w:p>
      <w:r>
        <w:t>Second, fixed-fee economics are under pressure. NinjaOne/Omdia reported that the standard per-seat/per-device MSP pricing model has struggled to keep pace with inflation as core services have been commoditised. ConnectWise Service Leadership reported adjusted EBITDA around 11.1%, but also found that 18% of MSPs were operating at a loss and that project-services gross margin fell from 23% in Q4 2023 to 12.9% in Q4 2024.</w:t>
      </w:r>
    </w:p>
    <w:p>
      <w:r>
        <w:t>Third, AI and agentic automation directly target billable MSP tasks. Gartner predicts agentic AI will autonomously resolve 80% of common customer-service issues by 2029, reducing operational costs by 30%. Microsoft and CrowdStrike have both announced security agents that triage routine alerts and reduce manual SOC work. These are not peripheral tools; they automate the service desk, triage, monitoring, documentation and alert-handling layers that sit at the centre of legacy MSP delivery.</w:t>
      </w:r>
    </w:p>
    <w:p>
      <w:r>
        <w:t>Balanced conclusion: traditional commodity MSP services are likely to remain viable only as low-margin, consolidated utilities by 2030. MSPs that move toward security-first services, AI advisory and governance, compliance, data and business-process automation can remain relevant and may improve margins. The strategic question for a successful conventional MSP owner is not whether managed services disappear; it is whether the current operating model can be repriced and retooled before automation and platform disintermediation reset the market floor.</w:t>
      </w:r>
    </w:p>
    <w:p>
      <w:pPr>
        <w:pStyle w:val="Heading1"/>
      </w:pPr>
      <w:r>
        <w:t>Research Methodology</w:t>
      </w:r>
    </w:p>
    <w:p>
      <w:r>
        <w:t>The research used a source hierarchy that prioritised analyst, vendor, financial, government, academic and ecosystem materials. The strongest weight was given to primary sources, analyst research and public financial disclosures. Vendor-sourced figures were included when relevant but treated cautiously and cross-checked where possible.</w:t>
      </w:r>
    </w:p>
    <w:p>
      <w:r>
        <w:t>The analysis explicitly tested three hypotheses: a bear case in which the traditional model becomes broadly unsustainable; a base case in which the sector bifurcates between transformed providers and commodity utilities; and a bull case in which AI expands the addressable market quickly enough for many MSPs to adapt. Evidence was assessed for consistency with each hypothesis rather than selected to prove a predetermined conclusion.</w:t>
      </w:r>
    </w:p>
    <w:p>
      <w:r>
        <w:t>Modelled assumptions are labelled as such. The report avoids treating scenario percentages, future revenue mix and valuation outcomes as sourced forecasts; they are directional board-level models anchored in observable evidence such as organic growth, EBITDA benchmarks, valuation multiples, M&amp;A activity, AI productivity claims and hyperscaler channel data.</w:t>
      </w:r>
    </w:p>
    <w:p>
      <w:pPr>
        <w:pStyle w:val="Heading1"/>
      </w:pPr>
      <w:r>
        <w:t>Key Findings</w:t>
      </w:r>
    </w:p>
    <w:p>
      <w:r>
        <w:t>The evidence points to seven board-level findings. First, the managed-services category is growing while many conventional providers are stagnating. Second, per-user and per-device economics are structurally deflationary. Third, AI and agents automate the labour core of MSP delivery, but adoption is phased. Fourth, Microsoft's strategy simultaneously creates partner opportunity and disintermediates commodity administration.</w:t>
      </w:r>
    </w:p>
    <w:p>
      <w:r>
        <w:t>Fifth, security-led providers are better positioned than generalist MSPs because MDR, XDR, SOC, identity and compliance services are more urgent, higher value and harder to self-serve. Sixth, labour-based revenue is beginning to decouple from headcount in adjacent IT-services markets. Seventh, consolidation and valuation dispersion will separate security/AI leaders from small commodity operators.</w:t>
      </w:r>
    </w:p>
    <w:p>
      <w:r>
        <w:t>The highest-risk providers are small and mid-sized generalist MSPs with high service-desk labour intensity, undifferentiated per-seat pricing, limited security capability, weak automation, low project utilisation and no credible AI/data/compliance offer. The best-positioned providers are those that already operate as security, governance, automation and transformation partners rather than ticket-resolution vendors.</w:t>
      </w:r>
    </w:p>
    <w:p>
      <w:pPr>
        <w:pStyle w:val="Heading1"/>
      </w:pPr>
      <w:r>
        <w:t>Evidence and Source Citations</w:t>
      </w:r>
    </w:p>
    <w:p>
      <w:r>
        <w:t>The following dashboard ties the core claims to the primary evidence base. Detailed citations and links appear in the complete reference list.</w:t>
      </w:r>
    </w:p>
    <w:p>
      <w:r>
        <w:rPr>
          <w:b/>
        </w:rPr>
        <w:t>Table 1. Evidence dashboard.</w:t>
      </w:r>
    </w:p>
    <w:tbl>
      <w:tblPr>
        <w:tblStyle w:val="LightShading-Accent1"/>
        <w:tblW w:w="5000" w:type="pct"/>
        <w:tblLayout w:type="fixed"/>
        <w:tblLook w:val="04A0" w:firstRow="1" w:lastRow="0" w:firstColumn="1" w:lastColumn="0" w:noHBand="0" w:noVBand="1"/>
      </w:tblPr>
      <w:tblGrid>
        <w:gridCol w:w="2340"/>
        <w:gridCol w:w="2340"/>
        <w:gridCol w:w="2340"/>
        <w:gridCol w:w="2340"/>
      </w:tblGrid>
      <w:tr>
        <w:trPr>
          <w:tblHeader/>
        </w:trPr>
        <w:tc>
          <w:p>
            <w:r>
              <w:t>Pressure</w:t>
            </w:r>
          </w:p>
        </w:tc>
        <w:tc>
          <w:p>
            <w:r>
              <w:t>Evidence</w:t>
            </w:r>
          </w:p>
        </w:tc>
        <w:tc>
          <w:p>
            <w:r>
              <w:t>Strategic meaning</w:t>
            </w:r>
          </w:p>
        </w:tc>
        <w:tc>
          <w:p>
            <w:r>
              <w:t>Sources</w:t>
            </w:r>
          </w:p>
        </w:tc>
      </w:tr>
      <w:tr>
        <w:tc>
          <w:p>
            <w:r>
              <w:t>Market growth but incumbent stagnation</w:t>
            </w:r>
          </w:p>
        </w:tc>
        <w:tc>
          <w:p>
            <w:r>
              <w:t>Channel-managed services forecast to grow about 13% to US$595B; existing-provider managed-service growth only 1.0% in Q4 2024.</w:t>
            </w:r>
          </w:p>
        </w:tc>
        <w:tc>
          <w:p>
            <w:r>
              <w:t>Aggregate market growth is not proof the conventional provider model is healthy.</w:t>
            </w:r>
          </w:p>
        </w:tc>
        <w:tc>
          <w:p>
            <w:r>
              <w:t>Refs 4, 6</w:t>
            </w:r>
          </w:p>
        </w:tc>
      </w:tr>
      <w:tr>
        <w:tc>
          <w:p>
            <w:r>
              <w:t>Margin compression</w:t>
            </w:r>
          </w:p>
        </w:tc>
        <w:tc>
          <w:p>
            <w:r>
              <w:t>Per-seat/per-device pricing struggling with inflation; 18% of MSPs loss-making; project gross margin fell from 23% to 12.9%.</w:t>
            </w:r>
          </w:p>
        </w:tc>
        <w:tc>
          <w:p>
            <w:r>
              <w:t>Fixed-fee support becomes a margin trap when scope expands but price stays flat.</w:t>
            </w:r>
          </w:p>
        </w:tc>
        <w:tc>
          <w:p>
            <w:r>
              <w:t>Refs 5, 6</w:t>
            </w:r>
          </w:p>
        </w:tc>
      </w:tr>
      <w:tr>
        <w:tc>
          <w:p>
            <w:r>
              <w:t>AI automation</w:t>
            </w:r>
          </w:p>
        </w:tc>
        <w:tc>
          <w:p>
            <w:r>
              <w:t>Gartner projects 80% autonomous resolution of common service issues by 2029 and 30% operational cost reduction; security vendors report automated alert triage.</w:t>
            </w:r>
          </w:p>
        </w:tc>
        <w:tc>
          <w:p>
            <w:r>
              <w:t>AI attacks L1/L2 support, monitoring, triage, documentation and SOC tier-1.</w:t>
            </w:r>
          </w:p>
        </w:tc>
        <w:tc>
          <w:p>
            <w:r>
              <w:t>Refs 1, 16, 17</w:t>
            </w:r>
          </w:p>
        </w:tc>
      </w:tr>
      <w:tr>
        <w:tc>
          <w:p>
            <w:r>
              <w:t>Platform disintermediation</w:t>
            </w:r>
          </w:p>
        </w:tc>
        <w:tc>
          <w:p>
            <w:r>
              <w:t>Only 34.7% of global cloud-infrastructure services were partner-delivered in 2024; Microsoft expands Copilot, agents, marketplaces and direct SMB offers.</w:t>
            </w:r>
          </w:p>
        </w:tc>
        <w:tc>
          <w:p>
            <w:r>
              <w:t>Commodity administration shifts into the platform; governance and integration remain partner lanes.</w:t>
            </w:r>
          </w:p>
        </w:tc>
        <w:tc>
          <w:p>
            <w:r>
              <w:t>Refs 8, 9, 11</w:t>
            </w:r>
          </w:p>
        </w:tc>
      </w:tr>
      <w:tr>
        <w:tc>
          <w:p>
            <w:r>
              <w:t>Security-led advantage</w:t>
            </w:r>
          </w:p>
        </w:tc>
        <w:tc>
          <w:p>
            <w:r>
              <w:t>Gartner describes MDR as human-led turnkey SOC functions; MDR market estimated at US$6.2B in 2025 with 16.9% CAGR; cybersecurity firms command valuation premiums.</w:t>
            </w:r>
          </w:p>
        </w:tc>
        <w:tc>
          <w:p>
            <w:r>
              <w:t>Security-focused providers should outperform generalist MSPs.</w:t>
            </w:r>
          </w:p>
        </w:tc>
        <w:tc>
          <w:p>
            <w:r>
              <w:t>Refs 13, 22, 23</w:t>
            </w:r>
          </w:p>
        </w:tc>
      </w:tr>
    </w:tbl>
    <w:p>
      <w:pPr>
        <w:pStyle w:val="Heading1"/>
      </w:pPr>
      <w:r>
        <w:t>Market Analysis</w:t>
      </w:r>
    </w:p>
    <w:p>
      <w:r>
        <w:t>The central market contradiction is that aggregate demand for managed outcomes is rising while the legacy delivery model is becoming weaker. Omdia/Canalys forecast a large and growing channel-managed-services market, but Service Leadership data show same-store managed-service growth close to flat. This pattern is consistent with a market expanding through security demand, new entrants, acquisitions and price/mix change rather than broad incumbent strength.</w:t>
      </w:r>
    </w:p>
    <w:p>
      <w:r>
        <w:t>Traditional MSP vulnerabilities cluster around commoditised pricing, labour dependence and scope creep. Per-user/per-device pricing creates an easy comparison point for buyers and competitors. Fixed-fee contracts reward the provider only if ticket volume falls, but the historical delivery model depended on staffing for tickets, projects and escalation. As customers expect cyber-insurance readiness, compliance documentation and security monitoring inside the base agreement, the same contract must absorb more work.</w:t>
      </w:r>
    </w:p>
    <w:p>
      <w:r>
        <w:t>Scale remains constrained by technician productivity. NinjaOne/Omdia cite industry averages of 200-300 endpoints per technician, with leading operators achieving far higher ratios through automation and standardisation. Providers with fragmented tool stacks, manual documentation and reactive processes therefore hit a scale ceiling earlier than software-led competitors.</w:t>
      </w:r>
    </w:p>
    <w:p>
      <w:r>
        <w:t>Customer buying behaviour is shifting from effort to outcomes. Buyers increasingly want automation instead of administration, business transformation instead of basic support, security instead of maintenance, and AI strategy instead of infrastructure strategy. Forrester's prediction that enterprises will defer 25% of planned AI spend to 2027 is not a demand collapse; it is a proof-over-promises signal that buyers will reward partners who can operationalise AI safely and measurably.</w:t>
      </w:r>
    </w:p>
    <w:p>
      <w:r>
        <w:t>Hyperscalers and SaaS vendors intensify the pressure. Omdia/Canalys reported that channel partner-delivered cloud infrastructure services accounted for only 34.7% of the total global cloud-infrastructure market in 2024. Microsoft is also expanding digital self-serve marketplaces, direct Copilot offers and platform-native security. This reduces the need for commodity resale and administration while increasing the need for governance, integration, security and change management.</w:t>
      </w:r>
    </w:p>
    <w:p>
      <w:r>
        <w:t>Adjacent industries show the pattern. Print services, telecommunications and VARs demonstrate that intermediaries who stay near the commodity layer lose margin to platforms and scale players. The positive counter-example is system integration and consulting: Accenture's FY2025 annual report shows that generative-AI and agentic-AI revenue and bookings can become a major growth engine when the provider sells transformation rather than labour.</w:t>
      </w:r>
    </w:p>
    <w:p>
      <w:pPr>
        <w:pStyle w:val="Heading1"/>
      </w:pPr>
      <w:r>
        <w:t>Financial Analysis</w:t>
      </w:r>
    </w:p>
    <w:p>
      <w:r>
        <w:t>A conventional MSP P&amp;L is exposed because revenue often scales with users, devices and tickets, while cost scales with skilled labour, tool sprawl and escalation complexity. The model can still produce healthy EBITDA when retention is high and operations are disciplined, but the margin buffer narrows when growth slows, project utilisation falls, and customers demand more security/compliance work at the same price.</w:t>
      </w:r>
    </w:p>
    <w:p>
      <w:r>
        <w:rPr>
          <w:b/>
        </w:rPr>
        <w:t>Table 2. Current MSP economics evidence and assumptions.</w:t>
      </w:r>
    </w:p>
    <w:tbl>
      <w:tblPr>
        <w:tblStyle w:val="LightShading-Accent1"/>
        <w:tblW w:w="5000" w:type="pct"/>
        <w:tblLayout w:type="fixed"/>
        <w:tblLook w:val="04A0" w:firstRow="1" w:lastRow="0" w:firstColumn="1" w:lastColumn="0" w:noHBand="0" w:noVBand="1"/>
      </w:tblPr>
      <w:tblGrid>
        <w:gridCol w:w="3120"/>
        <w:gridCol w:w="3120"/>
        <w:gridCol w:w="3120"/>
      </w:tblGrid>
      <w:tr>
        <w:trPr>
          <w:tblHeader/>
        </w:trPr>
        <w:tc>
          <w:p>
            <w:r>
              <w:t>Line</w:t>
            </w:r>
          </w:p>
        </w:tc>
        <w:tc>
          <w:p>
            <w:r>
              <w:t>Value or assumption</w:t>
            </w:r>
          </w:p>
        </w:tc>
        <w:tc>
          <w:p>
            <w:r>
              <w:t>Implication</w:t>
            </w:r>
          </w:p>
        </w:tc>
      </w:tr>
      <w:tr>
        <w:tc>
          <w:p>
            <w:r>
              <w:t>Per-user price</w:t>
            </w:r>
          </w:p>
        </w:tc>
        <w:tc>
          <w:p>
            <w:r>
              <w:t>About US$100-250 per user per month for comprehensive managed services.</w:t>
            </w:r>
          </w:p>
        </w:tc>
        <w:tc>
          <w:p>
            <w:r>
              <w:t>Easy for buyers to benchmark; difficult to raise without differentiated outcomes.</w:t>
            </w:r>
          </w:p>
        </w:tc>
      </w:tr>
      <w:tr>
        <w:tc>
          <w:p>
            <w:r>
              <w:t>Revenue mix</w:t>
            </w:r>
          </w:p>
        </w:tc>
        <w:tc>
          <w:p>
            <w:r>
              <w:t>Modelled: 55-65% recurring managed services, 15-20% projects, 15-25% product/resale.</w:t>
            </w:r>
          </w:p>
        </w:tc>
        <w:tc>
          <w:p>
            <w:r>
              <w:t>Recurring revenue is valuable, but mix quality matters more than recurring labels.</w:t>
            </w:r>
          </w:p>
        </w:tc>
      </w:tr>
      <w:tr>
        <w:tc>
          <w:p>
            <w:r>
              <w:t>Managed-services gross margin</w:t>
            </w:r>
          </w:p>
        </w:tc>
        <w:tc>
          <w:p>
            <w:r>
              <w:t>Modelled: 45-55% for conventional SMB MSP managed services.</w:t>
            </w:r>
          </w:p>
        </w:tc>
        <w:tc>
          <w:p>
            <w:r>
              <w:t>Margin depends heavily on automation, standardisation and ticket volume.</w:t>
            </w:r>
          </w:p>
        </w:tc>
      </w:tr>
      <w:tr>
        <w:tc>
          <w:p>
            <w:r>
              <w:t>Project gross margin</w:t>
            </w:r>
          </w:p>
        </w:tc>
        <w:tc>
          <w:p>
            <w:r>
              <w:t>12.9% in Q4 2024, down from 23% in Q4 2023.</w:t>
            </w:r>
          </w:p>
        </w:tc>
        <w:tc>
          <w:p>
            <w:r>
              <w:t>Project utilisation weakness can quickly damage EBITDA.</w:t>
            </w:r>
          </w:p>
        </w:tc>
      </w:tr>
      <w:tr>
        <w:tc>
          <w:p>
            <w:r>
              <w:t>Adjusted EBITDA</w:t>
            </w:r>
          </w:p>
        </w:tc>
        <w:tc>
          <w:p>
            <w:r>
              <w:t>About 11.1% worldwide average in Service Leadership Q4 2024 data.</w:t>
            </w:r>
          </w:p>
        </w:tc>
        <w:tc>
          <w:p>
            <w:r>
              <w:t>Current profitability is defendable but not a guarantee of future viability.</w:t>
            </w:r>
          </w:p>
        </w:tc>
      </w:tr>
      <w:tr>
        <w:tc>
          <w:p>
            <w:r>
              <w:t>Loss-making share</w:t>
            </w:r>
          </w:p>
        </w:tc>
        <w:tc>
          <w:p>
            <w:r>
              <w:t>18% of MSPs reported a loss, up from 14% in the prior quarter.</w:t>
            </w:r>
          </w:p>
        </w:tc>
        <w:tc>
          <w:p>
            <w:r>
              <w:t>A stressed tail already exists before full AI displacement.</w:t>
            </w:r>
          </w:p>
        </w:tc>
      </w:tr>
      <w:tr>
        <w:tc>
          <w:p>
            <w:r>
              <w:t>Organic growth</w:t>
            </w:r>
          </w:p>
        </w:tc>
        <w:tc>
          <w:p>
            <w:r>
              <w:t>Managed-service revenue growth around 1.0% in Q4 2024.</w:t>
            </w:r>
          </w:p>
        </w:tc>
        <w:tc>
          <w:p>
            <w:r>
              <w:t>Low same-store growth makes repricing and new offers urgent.</w:t>
            </w:r>
          </w:p>
        </w:tc>
      </w:tr>
      <w:tr>
        <w:tc>
          <w:p>
            <w:r>
              <w:t>Scale ratio</w:t>
            </w:r>
          </w:p>
        </w:tc>
        <w:tc>
          <w:p>
            <w:r>
              <w:t>Industry averages around 200-300 endpoints per technician.</w:t>
            </w:r>
          </w:p>
        </w:tc>
        <w:tc>
          <w:p>
            <w:r>
              <w:t>Human throughput limits growth unless automation changes the ratio.</w:t>
            </w:r>
          </w:p>
        </w:tc>
      </w:tr>
      <w:tr>
        <w:tc>
          <w:p>
            <w:r>
              <w:t>Valuation</w:t>
            </w:r>
          </w:p>
        </w:tc>
        <w:tc>
          <w:p>
            <w:r>
              <w:t>Private MSP median around 8.9x EV/EBITDA; micro firms much lower; scaled platforms higher.</w:t>
            </w:r>
          </w:p>
        </w:tc>
        <w:tc>
          <w:p>
            <w:r>
              <w:t>M&amp;A rewards scale, security specialisation and recurring quality.</w:t>
            </w:r>
          </w:p>
        </w:tc>
      </w:tr>
    </w:tbl>
    <w:p>
      <w:r>
        <w:rPr>
          <w:b/>
        </w:rPr>
        <w:t>Table 3. Illustrative 2030 financial scenarios for a US$10 million MSP.</w:t>
      </w:r>
    </w:p>
    <w:tbl>
      <w:tblPr>
        <w:tblStyle w:val="MediumShading1-Accent1"/>
        <w:tblW w:w="5000" w:type="pct"/>
        <w:tblLayout w:type="fixed"/>
        <w:tblLook w:val="04A0" w:firstRow="1" w:lastRow="0" w:firstColumn="1" w:lastColumn="0" w:noHBand="0" w:noVBand="1"/>
      </w:tblPr>
      <w:tblGrid>
        <w:gridCol w:w="1872"/>
        <w:gridCol w:w="1872"/>
        <w:gridCol w:w="1872"/>
        <w:gridCol w:w="1872"/>
        <w:gridCol w:w="1872"/>
      </w:tblGrid>
      <w:tr>
        <w:trPr>
          <w:tblHeader/>
        </w:trPr>
        <w:tc>
          <w:p>
            <w:r>
              <w:t>Scenario</w:t>
            </w:r>
          </w:p>
        </w:tc>
        <w:tc>
          <w:p>
            <w:r>
              <w:t>Revenue CAGR</w:t>
            </w:r>
          </w:p>
        </w:tc>
        <w:tc>
          <w:p>
            <w:r>
              <w:t>2030 revenue</w:t>
            </w:r>
          </w:p>
        </w:tc>
        <w:tc>
          <w:p>
            <w:r>
              <w:t>EBITDA</w:t>
            </w:r>
          </w:p>
        </w:tc>
        <w:tc>
          <w:p>
            <w:r>
              <w:t>Indicative valuation</w:t>
            </w:r>
          </w:p>
        </w:tc>
      </w:tr>
      <w:tr>
        <w:tc>
          <w:p>
            <w:r>
              <w:t>No-pivot utility</w:t>
            </w:r>
          </w:p>
        </w:tc>
        <w:tc>
          <w:p>
            <w:r>
              <w:t>1%</w:t>
            </w:r>
          </w:p>
        </w:tc>
        <w:tc>
          <w:p>
            <w:r>
              <w:t>US$10.51M</w:t>
            </w:r>
          </w:p>
        </w:tc>
        <w:tc>
          <w:p>
            <w:r>
              <w:t>8.0% margin = US$0.84M</w:t>
            </w:r>
          </w:p>
        </w:tc>
        <w:tc>
          <w:p>
            <w:r>
              <w:t>US$4.20M at 5.0x</w:t>
            </w:r>
          </w:p>
        </w:tc>
      </w:tr>
      <w:tr>
        <w:tc>
          <w:p>
            <w:r>
              <w:t>Base transformation</w:t>
            </w:r>
          </w:p>
        </w:tc>
        <w:tc>
          <w:p>
            <w:r>
              <w:t>5%</w:t>
            </w:r>
          </w:p>
        </w:tc>
        <w:tc>
          <w:p>
            <w:r>
              <w:t>US$12.76M</w:t>
            </w:r>
          </w:p>
        </w:tc>
        <w:tc>
          <w:p>
            <w:r>
              <w:t>16.5% margin = US$2.11M</w:t>
            </w:r>
          </w:p>
        </w:tc>
        <w:tc>
          <w:p>
            <w:r>
              <w:t>US$14.74M at 7.0x</w:t>
            </w:r>
          </w:p>
        </w:tc>
      </w:tr>
      <w:tr>
        <w:tc>
          <w:p>
            <w:r>
              <w:t>Security/AI leader</w:t>
            </w:r>
          </w:p>
        </w:tc>
        <w:tc>
          <w:p>
            <w:r>
              <w:t>8%</w:t>
            </w:r>
          </w:p>
        </w:tc>
        <w:tc>
          <w:p>
            <w:r>
              <w:t>US$14.69M</w:t>
            </w:r>
          </w:p>
        </w:tc>
        <w:tc>
          <w:p>
            <w:r>
              <w:t>22.0% margin = US$3.23M</w:t>
            </w:r>
          </w:p>
        </w:tc>
        <w:tc>
          <w:p>
            <w:r>
              <w:t>US$29.09M at 9.0x</w:t>
            </w:r>
          </w:p>
        </w:tc>
      </w:tr>
    </w:tbl>
    <w:p>
      <w:r>
        <w:t>The scenario table is modelled, not a sourced forecast. It uses a US$10 million starting revenue base and five-year growth assumptions. The no-pivot case uses 1% annual growth, consistent with the Service Leadership organic-growth signal. The transformation cases assume higher growth and EBITDA as AI productivity, security mix and outcome pricing improve the revenue-per-employee profile. Multiples are directional and anchored to Aventis-reported MSP valuation ranges.</w:t>
      </w:r>
    </w:p>
    <w:p>
      <w:r>
        <w:t>Valuation implications are material. If a provider remains a low-growth commodity utility, EBITDA dollars and valuation multiple both compress. If it becomes a credible security and AI platform, the same starting business can produce meaningfully higher EBITDA and a larger multiple. Private equity consolidation accelerates this gap because scaled platforms can fund automation, standardise delivery and compete aggressively on price while still protecting margin.</w:t>
      </w:r>
    </w:p>
    <w:p>
      <w:pPr>
        <w:pStyle w:val="Heading1"/>
      </w:pPr>
      <w:r>
        <w:t>Microsoft Strategy Analysis</w:t>
      </w:r>
    </w:p>
    <w:p>
      <w:r>
        <w:t>Microsoft is the largest strategic variable for many MSPs because it is both the channel's engine and its disintermediator. Microsoft FY25 Q4 results reported revenue of US$281.7 billion for the year, net income of US$101.8 billion, Azure revenue above US$75 billion and Microsoft Cloud quarterly revenue of US$46.7 billion. The company has the scale, incentive and product surface to move more administration, security and automation directly into the platform.</w:t>
      </w:r>
    </w:p>
    <w:p>
      <w:r>
        <w:t>Microsoft's direction is AI-first and agent-led. Copilot, Copilot Studio, Dynamics 365 agents, Security Copilot agents and Agent 365 point toward environments that are human-led but increasingly agent-operated. Microsoft Ignite 2025 positioned agents as a core operating layer, including a control plane for agent registry, access, visualisation, interoperability and security. This is exactly the layer a traditional MSP might otherwise have hoped to own.</w:t>
      </w:r>
    </w:p>
    <w:p>
      <w:r>
        <w:t>The partner message is not anti-partner; it is anti-commodity. Microsoft partner materials for FY26 emphasise AI Business Solutions, Cloud and AI Platforms, and Security, with Cloud Solution Provider enhancements focused on profitability, operational efficiency and lifecycle management. The implication is clear: partners are valuable when they drive AI adoption, governance, security and business transformation; they are less valuable when they merely administer commodity infrastructure.</w:t>
      </w:r>
    </w:p>
    <w:p>
      <w:pPr>
        <w:pStyle w:val="Heading1"/>
      </w:pPr>
      <w:r>
        <w:t>AI Impact Analysis</w:t>
      </w:r>
    </w:p>
    <w:p>
      <w:r>
        <w:t>AI changes MSP economics by reducing the human effort required for many recurring tasks. The near-term impact is not a sudden collapse, because customers still need governance, escalation, trust and change management. However, over 3-10 years, service desks, monitoring, triage, documentation, onboarding, training and first-line SOC work are highly exposed to automation.</w:t>
      </w:r>
    </w:p>
    <w:p>
      <w:r>
        <w:rPr>
          <w:b/>
        </w:rPr>
        <w:t>Table 4. AI exposure by service line.</w:t>
      </w:r>
    </w:p>
    <w:tbl>
      <w:tblPr>
        <w:tblStyle w:val="LightShading-Accent1"/>
        <w:tblW w:w="5000" w:type="pct"/>
        <w:tblLayout w:type="fixed"/>
        <w:tblLook w:val="04A0" w:firstRow="1" w:lastRow="0" w:firstColumn="1" w:lastColumn="0" w:noHBand="0" w:noVBand="1"/>
      </w:tblPr>
      <w:tblGrid>
        <w:gridCol w:w="2340"/>
        <w:gridCol w:w="2340"/>
        <w:gridCol w:w="2340"/>
        <w:gridCol w:w="2340"/>
      </w:tblGrid>
      <w:tr>
        <w:trPr>
          <w:tblHeader/>
        </w:trPr>
        <w:tc>
          <w:p>
            <w:r>
              <w:t>MSP function</w:t>
            </w:r>
          </w:p>
        </w:tc>
        <w:tc>
          <w:p>
            <w:r>
              <w:t>AI exposure</w:t>
            </w:r>
          </w:p>
        </w:tc>
        <w:tc>
          <w:p>
            <w:r>
              <w:t>Likely timing</w:t>
            </w:r>
          </w:p>
        </w:tc>
        <w:tc>
          <w:p>
            <w:r>
              <w:t>Revenue and margin impact</w:t>
            </w:r>
          </w:p>
        </w:tc>
      </w:tr>
      <w:tr>
        <w:tc>
          <w:p>
            <w:r>
              <w:t>Level 1 support</w:t>
            </w:r>
          </w:p>
        </w:tc>
        <w:tc>
          <w:p>
            <w:r>
              <w:t>Very high: password, access, how-to and routine troubleshooting.</w:t>
            </w:r>
          </w:p>
        </w:tc>
        <w:tc>
          <w:p>
            <w:r>
              <w:t>Now to 2029.</w:t>
            </w:r>
          </w:p>
        </w:tc>
        <w:tc>
          <w:p>
            <w:r>
              <w:t>Ticket volume and staffing needs fall; margins improve only if pricing changes.</w:t>
            </w:r>
          </w:p>
        </w:tc>
      </w:tr>
      <w:tr>
        <w:tc>
          <w:p>
            <w:r>
              <w:t>Level 2 support</w:t>
            </w:r>
          </w:p>
        </w:tc>
        <w:tc>
          <w:p>
            <w:r>
              <w:t>High: guided diagnosis, knowledge retrieval and remediation scripts.</w:t>
            </w:r>
          </w:p>
        </w:tc>
        <w:tc>
          <w:p>
            <w:r>
              <w:t>2026-2030.</w:t>
            </w:r>
          </w:p>
        </w:tc>
        <w:tc>
          <w:p>
            <w:r>
              <w:t>Escalation work shifts toward exception handling and automation design.</w:t>
            </w:r>
          </w:p>
        </w:tc>
      </w:tr>
      <w:tr>
        <w:tc>
          <w:p>
            <w:r>
              <w:t>Monitoring and AIOps</w:t>
            </w:r>
          </w:p>
        </w:tc>
        <w:tc>
          <w:p>
            <w:r>
              <w:t>High: anomaly detection, alert correlation and self-heal.</w:t>
            </w:r>
          </w:p>
        </w:tc>
        <w:tc>
          <w:p>
            <w:r>
              <w:t>Now to 2030.</w:t>
            </w:r>
          </w:p>
        </w:tc>
        <w:tc>
          <w:p>
            <w:r>
              <w:t>Manual monitoring becomes a commodity; platform engineering becomes valuable.</w:t>
            </w:r>
          </w:p>
        </w:tc>
      </w:tr>
      <w:tr>
        <w:tc>
          <w:p>
            <w:r>
              <w:t>Documentation and onboarding</w:t>
            </w:r>
          </w:p>
        </w:tc>
        <w:tc>
          <w:p>
            <w:r>
              <w:t>High: knowledge-base creation, runbooks, training content and user guidance.</w:t>
            </w:r>
          </w:p>
        </w:tc>
        <w:tc>
          <w:p>
            <w:r>
              <w:t>Immediate.</w:t>
            </w:r>
          </w:p>
        </w:tc>
        <w:tc>
          <w:p>
            <w:r>
              <w:t>Reduces labour intensity; raises expectation of always-current documentation.</w:t>
            </w:r>
          </w:p>
        </w:tc>
      </w:tr>
      <w:tr>
        <w:tc>
          <w:p>
            <w:r>
              <w:t>SOC triage</w:t>
            </w:r>
          </w:p>
        </w:tc>
        <w:tc>
          <w:p>
            <w:r>
              <w:t>Very high for routine phishing and alert triage; lower for incident command.</w:t>
            </w:r>
          </w:p>
        </w:tc>
        <w:tc>
          <w:p>
            <w:r>
              <w:t>Now to 2029.</w:t>
            </w:r>
          </w:p>
        </w:tc>
        <w:tc>
          <w:p>
            <w:r>
              <w:t>Commodity alert monitoring compresses; threat hunting and response gain value.</w:t>
            </w:r>
          </w:p>
        </w:tc>
      </w:tr>
      <w:tr>
        <w:tc>
          <w:p>
            <w:r>
              <w:t>Security governance</w:t>
            </w:r>
          </w:p>
        </w:tc>
        <w:tc>
          <w:p>
            <w:r>
              <w:t>Medium: AI assists but accountability remains human-led.</w:t>
            </w:r>
          </w:p>
        </w:tc>
        <w:tc>
          <w:p>
            <w:r>
              <w:t>Ongoing.</w:t>
            </w:r>
          </w:p>
        </w:tc>
        <w:tc>
          <w:p>
            <w:r>
              <w:t>Defensible advisory and compliance revenue.</w:t>
            </w:r>
          </w:p>
        </w:tc>
      </w:tr>
      <w:tr>
        <w:tc>
          <w:p>
            <w:r>
              <w:t>AI advisory and governance</w:t>
            </w:r>
          </w:p>
        </w:tc>
        <w:tc>
          <w:p>
            <w:r>
              <w:t>Low displacement; high augmentation.</w:t>
            </w:r>
          </w:p>
        </w:tc>
        <w:tc>
          <w:p>
            <w:r>
              <w:t>Immediate growth market.</w:t>
            </w:r>
          </w:p>
        </w:tc>
        <w:tc>
          <w:p>
            <w:r>
              <w:t>New high-margin replacement revenue for transformed MSPs.</w:t>
            </w:r>
          </w:p>
        </w:tc>
      </w:tr>
    </w:tbl>
    <w:p>
      <w:r>
        <w:t>Best case for MSPs: AI increases technician leverage, ticket resolution speed and documentation quality, enabling the provider to expand revenue without proportional headcount. The MSP captures productivity as margin and reinvests in security, governance and advisory capabilities. Worst case: customers and platform vendors capture the productivity benefit, price benchmarks reset lower, and the MSP's labour-priced revenue erodes faster than replacement services grow.</w:t>
      </w:r>
    </w:p>
    <w:p>
      <w:r>
        <w:t>The most realistic base case is phased substitution. Gartner's 2029 forecast and CrowdStrike's SOC automation data show that automation is real. At the same time, Gartner-reported customer-service surveys and ISC2 security-workforce research suggest humans remain critical for governance, exception handling, accountability and risk decisions. The MSP opportunity is to sell that higher-order role before the lower-order role is commoditised.</w:t>
      </w:r>
    </w:p>
    <w:p>
      <w:pPr>
        <w:pStyle w:val="Heading1"/>
      </w:pPr>
      <w:r>
        <w:t>Future Industry Scenarios</w:t>
      </w:r>
    </w:p>
    <w:p>
      <w:r>
        <w:t>The MSP/TSP business model is likely to remain viable by 2030, but not in its conventional form. The market will probably split into transformed providers, consolidated platforms, commodity utilities and exits. The following shares are modelled analyst judgement, not sourced forecasts; they are anchored in organic growth, loss-making share, consolidation activity, valuation gaps, AI productivity and platform disintermediation.</w:t>
      </w:r>
    </w:p>
    <w:p>
      <w:r>
        <w:rPr>
          <w:b/>
        </w:rPr>
        <w:t>Table 5. Forecast cohorts of today's MSPs by 2030.</w:t>
      </w:r>
    </w:p>
    <w:tbl>
      <w:tblPr>
        <w:tblStyle w:val="MediumShading1-Accent1"/>
        <w:tblW w:w="5000" w:type="pct"/>
        <w:tblLayout w:type="fixed"/>
        <w:tblLook w:val="04A0" w:firstRow="1" w:lastRow="0" w:firstColumn="1" w:lastColumn="0" w:noHBand="0" w:noVBand="1"/>
      </w:tblPr>
      <w:tblGrid>
        <w:gridCol w:w="2340"/>
        <w:gridCol w:w="2340"/>
        <w:gridCol w:w="2340"/>
        <w:gridCol w:w="2340"/>
      </w:tblGrid>
      <w:tr>
        <w:trPr>
          <w:tblHeader/>
        </w:trPr>
        <w:tc>
          <w:p>
            <w:r>
              <w:t>Cohort by 2030</w:t>
            </w:r>
          </w:p>
        </w:tc>
        <w:tc>
          <w:p>
            <w:r>
              <w:t>Bear</w:t>
            </w:r>
          </w:p>
        </w:tc>
        <w:tc>
          <w:p>
            <w:r>
              <w:t>Base</w:t>
            </w:r>
          </w:p>
        </w:tc>
        <w:tc>
          <w:p>
            <w:r>
              <w:t>Bull</w:t>
            </w:r>
          </w:p>
        </w:tc>
      </w:tr>
      <w:tr>
        <w:tc>
          <w:p>
            <w:r>
              <w:t>Transform and thrive</w:t>
            </w:r>
          </w:p>
        </w:tc>
        <w:tc>
          <w:p>
            <w:r>
              <w:t>~10%</w:t>
            </w:r>
          </w:p>
        </w:tc>
        <w:tc>
          <w:p>
            <w:r>
              <w:t>~20%</w:t>
            </w:r>
          </w:p>
        </w:tc>
        <w:tc>
          <w:p>
            <w:r>
              <w:t>~35%</w:t>
            </w:r>
          </w:p>
        </w:tc>
      </w:tr>
      <w:tr>
        <w:tc>
          <w:p>
            <w:r>
              <w:t>Consolidate</w:t>
            </w:r>
          </w:p>
        </w:tc>
        <w:tc>
          <w:p>
            <w:r>
              <w:t>~35%</w:t>
            </w:r>
          </w:p>
        </w:tc>
        <w:tc>
          <w:p>
            <w:r>
              <w:t>~35%</w:t>
            </w:r>
          </w:p>
        </w:tc>
        <w:tc>
          <w:p>
            <w:r>
              <w:t>~30%</w:t>
            </w:r>
          </w:p>
        </w:tc>
      </w:tr>
      <w:tr>
        <w:tc>
          <w:p>
            <w:r>
              <w:t>Struggle as low-margin utilities</w:t>
            </w:r>
          </w:p>
        </w:tc>
        <w:tc>
          <w:p>
            <w:r>
              <w:t>~30%</w:t>
            </w:r>
          </w:p>
        </w:tc>
        <w:tc>
          <w:p>
            <w:r>
              <w:t>~30%</w:t>
            </w:r>
          </w:p>
        </w:tc>
        <w:tc>
          <w:p>
            <w:r>
              <w:t>~25%</w:t>
            </w:r>
          </w:p>
        </w:tc>
      </w:tr>
      <w:tr>
        <w:tc>
          <w:p>
            <w:r>
              <w:t>Exit or disappear</w:t>
            </w:r>
          </w:p>
        </w:tc>
        <w:tc>
          <w:p>
            <w:r>
              <w:t>~25%</w:t>
            </w:r>
          </w:p>
        </w:tc>
        <w:tc>
          <w:p>
            <w:r>
              <w:t>~15%</w:t>
            </w:r>
          </w:p>
        </w:tc>
        <w:tc>
          <w:p>
            <w:r>
              <w:t>~10%</w:t>
            </w:r>
          </w:p>
        </w:tc>
      </w:tr>
    </w:tbl>
    <w:p>
      <w:r>
        <w:t>Bull case: AI expands the addressable market faster than it reduces labour revenue. SMBs and mid-market firms cannot govern agent estates, security controls, data quality and compliance unaided, so trusted managed partners become more valuable. About 35% of today's MSPs transform and thrive in this case.</w:t>
      </w:r>
    </w:p>
    <w:p>
      <w:r>
        <w:t>Base case: the sector grows but bifurcates. About 20% transform and thrive, 35% consolidate into larger platforms, 30% survive as low-margin utilities and 15% exit or disappear. This is the most consistent case because it reconciles market growth with margin compression, platform disintermediation and phased AI adoption.</w:t>
      </w:r>
    </w:p>
    <w:p>
      <w:r>
        <w:t>Bear case: automation displacement and hyperscaler self-service move faster than MSPs can reprice. PE-funded roll-ups use AI productivity as a price weapon, direct platform capabilities reduce reliance on intermediaries, and the long tail of generalists exits. In this case, only about 10% transform and thrive while about 25% exit or disappear.</w:t>
      </w:r>
    </w:p>
    <w:p>
      <w:pPr>
        <w:pStyle w:val="Heading1"/>
      </w:pPr>
      <w:r>
        <w:t>Transformation Framework</w:t>
      </w:r>
    </w:p>
    <w:p>
      <w:r>
        <w:t>The transformation objective is to convert labour-priced commodity revenue into judgment-priced, security-and-AI-led, outcome-based revenue. The priority is not to abandon managed services, but to change what is being managed: from devices and tickets to security posture, AI adoption, compliance, data quality, automation performance and business outcomes.</w:t>
      </w:r>
    </w:p>
    <w:p>
      <w:r>
        <w:rPr>
          <w:b/>
        </w:rPr>
        <w:t>Table 6. Roadmap ranked by urgency, revenue potential, margin potential and defensibility.</w:t>
      </w:r>
    </w:p>
    <w:tbl>
      <w:tblPr>
        <w:tblStyle w:val="LightShading-Accent1"/>
        <w:tblW w:w="5000" w:type="pct"/>
        <w:tblLayout w:type="fixed"/>
        <w:tblLook w:val="04A0" w:firstRow="1" w:lastRow="0" w:firstColumn="1" w:lastColumn="0" w:noHBand="0" w:noVBand="1"/>
      </w:tblPr>
      <w:tblGrid>
        <w:gridCol w:w="1560"/>
        <w:gridCol w:w="1560"/>
        <w:gridCol w:w="1560"/>
        <w:gridCol w:w="1560"/>
        <w:gridCol w:w="1560"/>
        <w:gridCol w:w="1560"/>
      </w:tblGrid>
      <w:tr>
        <w:trPr>
          <w:tblHeader/>
        </w:trPr>
        <w:tc>
          <w:p>
            <w:r>
              <w:t>Rank</w:t>
            </w:r>
          </w:p>
        </w:tc>
        <w:tc>
          <w:p>
            <w:r>
              <w:t>Move</w:t>
            </w:r>
          </w:p>
        </w:tc>
        <w:tc>
          <w:p>
            <w:r>
              <w:t>Urgency</w:t>
            </w:r>
          </w:p>
        </w:tc>
        <w:tc>
          <w:p>
            <w:r>
              <w:t>Revenue</w:t>
            </w:r>
          </w:p>
        </w:tc>
        <w:tc>
          <w:p>
            <w:r>
              <w:t>Margin</w:t>
            </w:r>
          </w:p>
        </w:tc>
        <w:tc>
          <w:p>
            <w:r>
              <w:t>Defensibility</w:t>
            </w:r>
          </w:p>
        </w:tc>
      </w:tr>
      <w:tr>
        <w:tc>
          <w:p>
            <w:r>
              <w:t>1</w:t>
            </w:r>
          </w:p>
        </w:tc>
        <w:tc>
          <w:p>
            <w:r>
              <w:t>Security-first services: MDR/XDR/SOC, identity, resilience, threat hunting.</w:t>
            </w:r>
          </w:p>
        </w:tc>
        <w:tc>
          <w:p>
            <w:r>
              <w:t>High</w:t>
            </w:r>
          </w:p>
        </w:tc>
        <w:tc>
          <w:p>
            <w:r>
              <w:t>High</w:t>
            </w:r>
          </w:p>
        </w:tc>
        <w:tc>
          <w:p>
            <w:r>
              <w:t>High</w:t>
            </w:r>
          </w:p>
        </w:tc>
        <w:tc>
          <w:p>
            <w:r>
              <w:t>High</w:t>
            </w:r>
          </w:p>
        </w:tc>
      </w:tr>
      <w:tr>
        <w:tc>
          <w:p>
            <w:r>
              <w:t>2</w:t>
            </w:r>
          </w:p>
        </w:tc>
        <w:tc>
          <w:p>
            <w:r>
              <w:t>AI advisory, governance and implementation.</w:t>
            </w:r>
          </w:p>
        </w:tc>
        <w:tc>
          <w:p>
            <w:r>
              <w:t>High</w:t>
            </w:r>
          </w:p>
        </w:tc>
        <w:tc>
          <w:p>
            <w:r>
              <w:t>High</w:t>
            </w:r>
          </w:p>
        </w:tc>
        <w:tc>
          <w:p>
            <w:r>
              <w:t>High</w:t>
            </w:r>
          </w:p>
        </w:tc>
        <w:tc>
          <w:p>
            <w:r>
              <w:t>High</w:t>
            </w:r>
          </w:p>
        </w:tc>
      </w:tr>
      <w:tr>
        <w:tc>
          <w:p>
            <w:r>
              <w:t>3</w:t>
            </w:r>
          </w:p>
        </w:tc>
        <w:tc>
          <w:p>
            <w:r>
              <w:t>Internal AI adoption and automated service delivery.</w:t>
            </w:r>
          </w:p>
        </w:tc>
        <w:tc>
          <w:p>
            <w:r>
              <w:t>High</w:t>
            </w:r>
          </w:p>
        </w:tc>
        <w:tc>
          <w:p>
            <w:r>
              <w:t>Medium</w:t>
            </w:r>
          </w:p>
        </w:tc>
        <w:tc>
          <w:p>
            <w:r>
              <w:t>High</w:t>
            </w:r>
          </w:p>
        </w:tc>
        <w:tc>
          <w:p>
            <w:r>
              <w:t>Medium</w:t>
            </w:r>
          </w:p>
        </w:tc>
      </w:tr>
      <w:tr>
        <w:tc>
          <w:p>
            <w:r>
              <w:t>4</w:t>
            </w:r>
          </w:p>
        </w:tc>
        <w:tc>
          <w:p>
            <w:r>
              <w:t>Compliance and regulatory services: cyber-insurance, DORA, NIS2, CMMC-style readiness.</w:t>
            </w:r>
          </w:p>
        </w:tc>
        <w:tc>
          <w:p>
            <w:r>
              <w:t>High</w:t>
            </w:r>
          </w:p>
        </w:tc>
        <w:tc>
          <w:p>
            <w:r>
              <w:t>Medium</w:t>
            </w:r>
          </w:p>
        </w:tc>
        <w:tc>
          <w:p>
            <w:r>
              <w:t>High</w:t>
            </w:r>
          </w:p>
        </w:tc>
        <w:tc>
          <w:p>
            <w:r>
              <w:t>High</w:t>
            </w:r>
          </w:p>
        </w:tc>
      </w:tr>
      <w:tr>
        <w:tc>
          <w:p>
            <w:r>
              <w:t>5</w:t>
            </w:r>
          </w:p>
        </w:tc>
        <w:tc>
          <w:p>
            <w:r>
              <w:t>Data services: data estate, governance, AI grounding and analytics.</w:t>
            </w:r>
          </w:p>
        </w:tc>
        <w:tc>
          <w:p>
            <w:r>
              <w:t>Medium</w:t>
            </w:r>
          </w:p>
        </w:tc>
        <w:tc>
          <w:p>
            <w:r>
              <w:t>High</w:t>
            </w:r>
          </w:p>
        </w:tc>
        <w:tc>
          <w:p>
            <w:r>
              <w:t>Medium</w:t>
            </w:r>
          </w:p>
        </w:tc>
        <w:tc>
          <w:p>
            <w:r>
              <w:t>Medium</w:t>
            </w:r>
          </w:p>
        </w:tc>
      </w:tr>
      <w:tr>
        <w:tc>
          <w:p>
            <w:r>
              <w:t>6</w:t>
            </w:r>
          </w:p>
        </w:tc>
        <w:tc>
          <w:p>
            <w:r>
              <w:t>New pricing: outcome-based, platform, per-agent and managed AI subscriptions.</w:t>
            </w:r>
          </w:p>
        </w:tc>
        <w:tc>
          <w:p>
            <w:r>
              <w:t>High</w:t>
            </w:r>
          </w:p>
        </w:tc>
        <w:tc>
          <w:p>
            <w:r>
              <w:t>Medium</w:t>
            </w:r>
          </w:p>
        </w:tc>
        <w:tc>
          <w:p>
            <w:r>
              <w:t>High</w:t>
            </w:r>
          </w:p>
        </w:tc>
        <w:tc>
          <w:p>
            <w:r>
              <w:t>Medium</w:t>
            </w:r>
          </w:p>
        </w:tc>
      </w:tr>
      <w:tr>
        <w:tc>
          <w:p>
            <w:r>
              <w:t>7</w:t>
            </w:r>
          </w:p>
        </w:tc>
        <w:tc>
          <w:p>
            <w:r>
              <w:t>Business process automation and managed agent operations.</w:t>
            </w:r>
          </w:p>
        </w:tc>
        <w:tc>
          <w:p>
            <w:r>
              <w:t>Medium</w:t>
            </w:r>
          </w:p>
        </w:tc>
        <w:tc>
          <w:p>
            <w:r>
              <w:t>High</w:t>
            </w:r>
          </w:p>
        </w:tc>
        <w:tc>
          <w:p>
            <w:r>
              <w:t>High</w:t>
            </w:r>
          </w:p>
        </w:tc>
        <w:tc>
          <w:p>
            <w:r>
              <w:t>Medium</w:t>
            </w:r>
          </w:p>
        </w:tc>
      </w:tr>
    </w:tbl>
    <w:p>
      <w:r>
        <w:t>Sequencing matters. Internal AI adoption should come early because it funds the pivot and protects margin. Security and AI governance should become flagship offers because they are urgent and defensible. Pricing must change in parallel; otherwise the MSP gives away productivity gains through lower per-seat prices while bearing the cost of transformation.</w:t>
      </w:r>
    </w:p>
    <w:p>
      <w:pPr>
        <w:pStyle w:val="Heading1"/>
      </w:pPr>
      <w:r>
        <w:t>Recommended Actions</w:t>
      </w:r>
    </w:p>
    <w:p>
      <w:r>
        <w:t>The recommended strategy is to treat the traditional MSP core as a melting ice cube that funds a 24-36 month repositioning. A successful conventional MSP should not wait for revenue decline before transforming, because valuation and capability gaps widen before the decline is obvious in trailing financial statements.</w:t>
      </w:r>
    </w:p>
    <w:p>
      <w:r>
        <w:t>0-90 days: map revenue and gross margin by service line; quantify tickets per endpoint, endpoints per technician, escalation rates and automation opportunity; identify top security/compliance gaps in the client base; create an AI-readiness offer; and deploy AI internally for documentation, triage, knowledge management and service-desk quality assurance.</w:t>
      </w:r>
    </w:p>
    <w:p>
      <w:r>
        <w:t>3-12 months: package security-first services around MDR/XDR, identity, backup resilience, cyber-insurance readiness and compliance documentation; build Copilot and agent-governance services; standardise the tool stack; retrain L1/L2 staff toward automation supervision, customer success, security operations and business-process analysis.</w:t>
      </w:r>
    </w:p>
    <w:p>
      <w:r>
        <w:t>12-24 months: reduce dependence on per-user and per-device pricing; introduce platform subscriptions, outcome-based pricing, managed AI offerings, compliance retainers and packaged automation intellectual property; create board-level reporting that measures risk reduction, productivity improvement and business outcomes rather than ticket volume.</w:t>
      </w:r>
    </w:p>
    <w:p>
      <w:r>
        <w:t>Commercial evolution should move away from ticket-based value. Customers will not continue to pay premium rates for labour-intensive activity once agents and platform-native automation make the work cheaper and faster. The provider must sell confidence, governance, security and measurable outcomes, not hours disguised as recurring fees.</w:t>
      </w:r>
    </w:p>
    <w:p>
      <w:pPr>
        <w:pStyle w:val="Heading1"/>
      </w:pPr>
      <w:r>
        <w:t>Risks and Counterarguments</w:t>
      </w:r>
    </w:p>
    <w:p>
      <w:r>
        <w:t>A balanced view is essential. There are strong arguments supporting MSP survival: customers still need trusted operators, security and compliance are harder than ever, AI creates implementation and governance demand, and many SMBs lack internal capability. There are also strong arguments supporting disruption: platform self-service expands, AI automates ticket work, per-seat pricing commoditises, and scale players can undercut labour-intensive providers.</w:t>
      </w:r>
    </w:p>
    <w:p>
      <w:r>
        <w:rPr>
          <w:b/>
        </w:rPr>
        <w:t>Table 7. Risk and counterargument analysis.</w:t>
      </w:r>
    </w:p>
    <w:tbl>
      <w:tblPr>
        <w:tblStyle w:val="LightShading-Accent1"/>
        <w:tblW w:w="5000" w:type="pct"/>
        <w:tblLayout w:type="fixed"/>
        <w:tblLook w:val="04A0" w:firstRow="1" w:lastRow="0" w:firstColumn="1" w:lastColumn="0" w:noHBand="0" w:noVBand="1"/>
      </w:tblPr>
      <w:tblGrid>
        <w:gridCol w:w="3120"/>
        <w:gridCol w:w="3120"/>
        <w:gridCol w:w="3120"/>
      </w:tblGrid>
      <w:tr>
        <w:trPr>
          <w:tblHeader/>
        </w:trPr>
        <w:tc>
          <w:p>
            <w:r>
              <w:t>Argument or risk</w:t>
            </w:r>
          </w:p>
        </w:tc>
        <w:tc>
          <w:p>
            <w:r>
              <w:t>Evidence or rationale</w:t>
            </w:r>
          </w:p>
        </w:tc>
        <w:tc>
          <w:p>
            <w:r>
              <w:t>Strategic response</w:t>
            </w:r>
          </w:p>
        </w:tc>
      </w:tr>
      <w:tr>
        <w:tc>
          <w:p>
            <w:r>
              <w:t>MSPs may survive because SMBs lack internal capability.</w:t>
            </w:r>
          </w:p>
        </w:tc>
        <w:tc>
          <w:p>
            <w:r>
              <w:t>Security, AI governance and compliance remain complex and accountable work.</w:t>
            </w:r>
          </w:p>
        </w:tc>
        <w:tc>
          <w:p>
            <w:r>
              <w:t>Package trust, governance and measurable outcomes.</w:t>
            </w:r>
          </w:p>
        </w:tc>
      </w:tr>
      <w:tr>
        <w:tc>
          <w:p>
            <w:r>
              <w:t>AI may augment before it replaces.</w:t>
            </w:r>
          </w:p>
        </w:tc>
        <w:tc>
          <w:p>
            <w:r>
              <w:t>Gartner-reported surveys show only a minority have cut headcount so far; McKinsey shows limited enterprise EBIT impact.</w:t>
            </w:r>
          </w:p>
        </w:tc>
        <w:tc>
          <w:p>
            <w:r>
              <w:t>Use the transition window to redesign delivery and pricing.</w:t>
            </w:r>
          </w:p>
        </w:tc>
      </w:tr>
      <w:tr>
        <w:tc>
          <w:p>
            <w:r>
              <w:t>Platform vendors may capture commodity value.</w:t>
            </w:r>
          </w:p>
        </w:tc>
        <w:tc>
          <w:p>
            <w:r>
              <w:t>Microsoft and hyperscalers embed security, self-service and AI administration into native products.</w:t>
            </w:r>
          </w:p>
        </w:tc>
        <w:tc>
          <w:p>
            <w:r>
              <w:t>Move above administration into architecture, governance and integration.</w:t>
            </w:r>
          </w:p>
        </w:tc>
      </w:tr>
      <w:tr>
        <w:tc>
          <w:p>
            <w:r>
              <w:t>Security specialisation can also commoditise.</w:t>
            </w:r>
          </w:p>
        </w:tc>
        <w:tc>
          <w:p>
            <w:r>
              <w:t>Platform vendors automate SOC tier-1 and alert triage.</w:t>
            </w:r>
          </w:p>
        </w:tc>
        <w:tc>
          <w:p>
            <w:r>
              <w:t>Differentiate in threat hunting, incident response, identity and GRC.</w:t>
            </w:r>
          </w:p>
        </w:tc>
      </w:tr>
      <w:tr>
        <w:tc>
          <w:p>
            <w:r>
              <w:t>Transformation requires new talent.</w:t>
            </w:r>
          </w:p>
        </w:tc>
        <w:tc>
          <w:p>
            <w:r>
              <w:t>Cybersecurity and AI skills remain scarce; ISC2 frames the constraint around skills.</w:t>
            </w:r>
          </w:p>
        </w:tc>
        <w:tc>
          <w:p>
            <w:r>
              <w:t>Reskill early, partner selectively and standardise delivery.</w:t>
            </w:r>
          </w:p>
        </w:tc>
      </w:tr>
      <w:tr>
        <w:tc>
          <w:p>
            <w:r>
              <w:t>Scenario timing is uncertain.</w:t>
            </w:r>
          </w:p>
        </w:tc>
        <w:tc>
          <w:p>
            <w:r>
              <w:t>AI-spend deferrals and slow headcount displacement suggest a phased transition.</w:t>
            </w:r>
          </w:p>
        </w:tc>
        <w:tc>
          <w:p>
            <w:r>
              <w:t>Avoid panic, but act before lagging financials deteriorate.</w:t>
            </w:r>
          </w:p>
        </w:tc>
      </w:tr>
    </w:tbl>
    <w:p>
      <w:r>
        <w:t>Most likely outcome: a meaningful minority of today's MSPs transform and thrive, a large share consolidate, a large tail struggles as low-margin utilities, and a smaller but material share exits. The categories most at risk are undifferentiated generalists, project-dependent firms with weak utilisation, providers without security capability, and small MSPs unable to fund automation and governance talent.</w:t>
      </w:r>
    </w:p>
    <w:p>
      <w:pPr>
        <w:pStyle w:val="Heading1"/>
      </w:pPr>
      <w:r>
        <w:t>Final Conclusions</w:t>
      </w:r>
    </w:p>
    <w:p>
      <w:r>
        <w:t>Is the MSP/TSP business model likely to remain viable by 2030? Yes, but only if the question is about managed services as a category. No, if the question is about the traditional labour-centric, ticket-centric, per-user/per-device model remaining attractive on its current economics.</w:t>
      </w:r>
    </w:p>
    <w:p>
      <w:r>
        <w:t>The traditional model is threatened because its revenue is linear with human labour applied to commoditised infrastructure and reactive support, while AI, agents, hyperscaler self-service, embedded security and PE-funded scale players are attacking all of those inputs. Maintaining the current operating model is likely to produce declining relevance, margin pressure, lower valuation and eventual consolidation or exit for many providers.</w:t>
      </w:r>
    </w:p>
    <w:p>
      <w:r>
        <w:t>The strongest conclusion is not that MSPs become obsolete; it is that the old definition of an MSP becomes obsolete. The future defensible provider manages outcomes: security posture, AI governance, compliance, data foundations, automation, resilience and measurable business transformation. For the skeptical owner of a successful conventional MSP, the evidence supports action now rather than panic later.</w:t>
      </w:r>
    </w:p>
    <w:p>
      <w:r>
        <w:t>Board decision: commit to a security-first and AI-advisory repositioning, fund internal automation immediately, redesign pricing away from labour proxies, and set a 24-36 month transformation timetable before platform self-service and AI-enabled competitors reset market expectations.</w:t>
      </w:r>
    </w:p>
    <w:p>
      <w:pPr>
        <w:pStyle w:val="Heading1"/>
      </w:pPr>
      <w:r>
        <w:t>Complete Reference List</w:t>
      </w:r>
    </w:p>
    <w:p>
      <w:r>
        <w:t>The following sources informed the report. URLs are included for verification.</w:t>
      </w:r>
    </w:p>
    <w:p>
      <w:r>
        <w:t>Gartner, Gartner Predicts Agentic AI Will Autonomously Resolve 80% of Common Customer Service Issues by 2029, 5 Mar 2025. https://www.gartner.com/en/newsroom/press-releases/2025-03-05-gartner-predicts-agentic-ai-will-autonomously-resolve-80-percent-of-common-customer-service-issues-without-human-intervention-by-20290</w:t>
      </w:r>
    </w:p>
    <w:p>
      <w:r>
        <w:t>CXO Voice reporting Gartner survey, Why Customer Service Costs Are Rising: Gartner Sees 50% of Firms Doubling Tech Spend by 2028, Apr 2026. https://cxovoice.com/why-customer-service-costs-are-rising-gartner-sees-50-of-firms-doubling-tech-spend-by-2028/</w:t>
      </w:r>
    </w:p>
    <w:p>
      <w:r>
        <w:t>Computerworld, Gartner sees untamed growth in agentic AI, Apr 2026. https://www.computerworld.com/article/4165686/gartner-sees-untamed-growth-in-agentic-ai.html</w:t>
      </w:r>
    </w:p>
    <w:p>
      <w:r>
        <w:t>Omdia/Canalys, MSP trends and predictions 2025 - executive summary, 15 Jan 2025. https://omdia.tech.informa.com/blogs/2025/jan/msp%20trends%20and%20predictions%202025%20-%20executive%20summary</w:t>
      </w:r>
    </w:p>
    <w:p>
      <w:r>
        <w:t>NinjaOne/Omdia, The Price Gap Problem: Why MSP Margins Are Quietly Shrinking, Jun 2026. https://www.ninjaone.com/blog/msp-margin-shrinking/</w:t>
      </w:r>
    </w:p>
    <w:p>
      <w:r>
        <w:t>ConnectWise/Service Leadership, Service Leadership Index Q4 Data: MSP Profitability Near Historic Highs While Managed Service Revenue Growth Slows, 13 Feb 2025. https://www.connectwise.com/company/press/releases/service-leadership-index-q4-data</w:t>
      </w:r>
    </w:p>
    <w:p>
      <w:r>
        <w:t>Microsoft, Unlocking autonomous agent capabilities with Microsoft Copilot Studio, 21 Oct 2024. https://www.microsoft.com/en-us/microsoft-copilot/blog/copilot-studio/unlocking-autonomous-agent-capabilities-with-microsoft-copilot-studio/</w:t>
      </w:r>
    </w:p>
    <w:p>
      <w:r>
        <w:t>Microsoft, Microsoft Ignite 2025: Copilot and agents built to power the Frontier Firm, 18 Nov 2025. https://www.microsoft.com/en-us/microsoft-365/blog/2025/11/18/microsoft-ignite-2025-copilot-and-agents-built-to-power-the-frontier-firm/</w:t>
      </w:r>
    </w:p>
    <w:p>
      <w:r>
        <w:t>Microsoft Cloud Partner Program, What's new for Microsoft partners: July 2025 edition, 10 Jul 2025. https://partner.microsoft.com/en-us/blog/article/whats-new-for-partners-july-2025-edition</w:t>
      </w:r>
    </w:p>
    <w:p>
      <w:r>
        <w:t>The Economic Times, IT's revenue per employee up in productivity win, May 2026. https://economictimes.indiatimes.com/tech/information-tech/its-revenue-per-employee-up-in-productivity-win/articleshow/130739462.cms</w:t>
      </w:r>
    </w:p>
    <w:p>
      <w:r>
        <w:t>Omdia/Canalys, Channel partner investment in cloud hyperscalers: a strategic pivot point, 1 Jul 2025. https://omdia.tech.informa.com/blogs/2025/july/channel-partner-investment-in-cloud-hyperscalers</w:t>
      </w:r>
    </w:p>
    <w:p>
      <w:r>
        <w:t>McKinsey QuantumBlack, The State of AI in 2025: Agents, innovation, and transformation, 5 Nov 2025. https://www.mckinsey.com/capabilities/quantumblack/our-insights/the-state-of-ai</w:t>
      </w:r>
    </w:p>
    <w:p>
      <w:r>
        <w:t>Aventis Advisors, MSP Valuation Multiples, 22 Jan 2025. https://aventis-advisors.com/msp-valuation-multiples/</w:t>
      </w:r>
    </w:p>
    <w:p>
      <w:r>
        <w:t>The MSP Summit / Channel Futures, MSP Merger and Acquisition Trends in 2025, 2025. https://themspsummit.com/article/msp-merger-and-acquisition-trends-in-2025-growth-challenges-and-forecasts/</w:t>
      </w:r>
    </w:p>
    <w:p>
      <w:r>
        <w:t>ISC2, 2025 ISC2 Cybersecurity Workforce Study, 4 Dec 2025. https://www.isc2.org/insights/2025/12/2025-ISC2-Cybersecurity-Workforce-Study</w:t>
      </w:r>
    </w:p>
    <w:p>
      <w:r>
        <w:t>Microsoft Security, Microsoft unveils Microsoft Security Copilot agents and new protections for AI, 24 Mar 2025. https://www.microsoft.com/en-us/security/blog/2025/03/24/microsoft-unveils-microsoft-security-copilot-agents-and-new-protections-for-ai/</w:t>
      </w:r>
    </w:p>
    <w:p>
      <w:r>
        <w:t>CrowdStrike / Business Wire, CrowdStrike Delivers Charlotte AI Detection Triage, 13 Feb 2025. https://www.businesswire.com/news/home/20250212935384/en/CrowdStrike-Delivers-the-Next-Breakthrough-in-AI-Powered-Agentic-Cybersecurity-with-Charlotte-AI-Detection-Triage</w:t>
      </w:r>
    </w:p>
    <w:p>
      <w:r>
        <w:t>Microsoft Investor Relations, Microsoft FY25 Q4 Earnings Press Release, 30 Jul 2025. https://www.microsoft.com/en-us/investor/earnings/fy-2025-q4/press-release-webcast</w:t>
      </w:r>
    </w:p>
    <w:p>
      <w:r>
        <w:t>Quocirca, Print 2025: Six lessons learned and the way ahead, 29 Aug 2025. https://quocirca.com/content/print-2025-six-lessons-learned-and-the-way-ahead/</w:t>
      </w:r>
    </w:p>
    <w:p>
      <w:r>
        <w:t>Accenture, FY2025 Annual Report, year ended 31 Aug 2025. https://www.accenture.com/content/dam/accenture/final/accenture-com/document-4/Annual-Report-2025.pdf</w:t>
      </w:r>
    </w:p>
    <w:p>
      <w:r>
        <w:t>Forrester, Forrester's 2026 Technology and Security Predictions, 28 Oct 2025. https://investor.forrester.com/news-releases/news-release-details/forresters-2026-technology-security-predictions-ais-hype-fades</w:t>
      </w:r>
    </w:p>
    <w:p>
      <w:r>
        <w:t>Gartner, Market Guide for Managed Detection and Response, 1 Oct 2025. https://www.gartner.com/en/documents/7010398</w:t>
      </w:r>
    </w:p>
    <w:p>
      <w:r>
        <w:t>Emergen Research, Managed Detection and Response Market, 2025. https://www.emergenresearch.com/industry-report/managed-detection-and-response-market</w:t>
      </w:r>
    </w:p>
    <w:p>
      <w:r>
        <w:t>Fortune Business Insights, AIOps Market, 2025. https://www.fortunebusinessinsights.com/aiops-market-109984</w:t>
      </w:r>
    </w:p>
    <w:p>
      <w:r>
        <w:t>Inside Telecom, From Dumb Pipe to Intelligence Platform, Jul 2026. https://insidetelecom.com/from-dumb-pipe-to-intelligence-platform/</w:t>
      </w:r>
    </w:p>
    <w:p>
      <w:r>
        <w:t>Mordor Intelligence, Managed Print Services Market, 2026. https://www.mordorintelligence.com/industry-reports/managed-print-services-market</w:t>
      </w:r>
    </w:p>
    <w:p>
      <w:r>
        <w:t>Cybersecurity Dive reporting ISC2 2024, Global cybersecurity workforce flatlines, Sep 2024. https://www.cybersecuritydive.com/news/global-cyber-workforce-flatlines-isc2/726667/</w:t>
      </w:r>
    </w:p>
    <w:p>
      <w:r>
        <w:t>MSP ProTips, The MSP Pricing Showdown: Per-User vs Per-Device, Oct 2025. https://www.mspprotips.com/posts/msp-pricing-showdown-per-user-device-ayce</w:t>
      </w:r>
    </w:p>
    <w:p>
      <w:r>
        <w:t>Forrester, Predictions 2026: AI Agents and New Business Models Impact Enterprise Software, Nov 2025. https://www.forrester.com/blogs/predictions-2026-ai-agents-changing-business-models-and-workplace-culture-impact-enterprise-software/</w:t>
      </w:r>
    </w:p>
    <w:sectPr w:rsidR="00FC693F" w:rsidRPr="0006063C" w:rsidSect="00034616">
      <w:pgSz w:w="15840" w:h="12240" w:orient="landscape"/>
      <w:pgMar w:top="1440" w:right="1440" w:bottom="1440" w:left="144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Strategic Research Report | 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1D796A-40DD-4A65-B7DA-726DDE993352}"/>
</file>

<file path=customXml/itemProps3.xml><?xml version="1.0" encoding="utf-8"?>
<ds:datastoreItem xmlns:ds="http://schemas.openxmlformats.org/officeDocument/2006/customXml" ds:itemID="{EA16F4A2-A0BF-4E7D-8E14-3A575FF6CB98}"/>
</file>

<file path=customXml/itemProps4.xml><?xml version="1.0" encoding="utf-8"?>
<ds:datastoreItem xmlns:ds="http://schemas.openxmlformats.org/officeDocument/2006/customXml" ds:itemID="{FAD9F8EE-918E-4A43-A21A-6F5B8A988F6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Research Report: Why the Traditional MSP and TSP Business Model Is Becoming Obsolete</dc:title>
  <dc:subject>Executive research report for MSP/TSP strategy</dc:subject>
  <dc:creator>Microsoft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