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03C3" w14:textId="77777777" w:rsidR="00DC181F" w:rsidRDefault="001C4E0A">
      <w:pPr>
        <w:pStyle w:val="Title"/>
      </w:pPr>
      <w:r>
        <w:t>Is the Traditional MSP and TSP Business Model Becoming Obsolete?</w:t>
      </w:r>
    </w:p>
    <w:p w14:paraId="04E32B08" w14:textId="77777777" w:rsidR="00DC181F" w:rsidRDefault="001C4E0A">
      <w:pPr>
        <w:pStyle w:val="Subtitle"/>
      </w:pPr>
      <w:r>
        <w:t>A strategic research report on the economics, disruption and transformation of managed and technology service providers, 2026–2035</w:t>
      </w:r>
    </w:p>
    <w:p w14:paraId="19F6878F" w14:textId="77777777" w:rsidR="00DC181F" w:rsidRDefault="001C4E0A">
      <w:r>
        <w:rPr>
          <w:i/>
          <w:sz w:val="20"/>
          <w:szCs w:val="20"/>
        </w:rPr>
        <w:t>Prepared for MSP owners, Microsoft partners, TSP and partner executives, leadership teams, boards, private-equity investors and technology consultants advising service-provider businesses.</w:t>
      </w:r>
    </w:p>
    <w:p w14:paraId="21BB2E86" w14:textId="77777777" w:rsidR="00DC181F" w:rsidRDefault="001C4E0A">
      <w:r>
        <w:rPr>
          <w:i/>
          <w:sz w:val="20"/>
          <w:szCs w:val="20"/>
        </w:rPr>
        <w:t>Written to be read by the owner of a successful, conventional managed-services business who is sceptical that major change is required.</w:t>
      </w:r>
    </w:p>
    <w:p w14:paraId="24F49FA6" w14:textId="77777777" w:rsidR="00DC181F" w:rsidRDefault="001C4E0A">
      <w:r>
        <w:rPr>
          <w:i/>
          <w:sz w:val="20"/>
          <w:szCs w:val="20"/>
        </w:rPr>
        <w:t>31 July 2026</w:t>
      </w:r>
    </w:p>
    <w:p w14:paraId="579D7C65" w14:textId="77777777" w:rsidR="00DC181F" w:rsidRDefault="001C4E0A">
      <w:r>
        <w:rPr>
          <w:i/>
          <w:sz w:val="20"/>
          <w:szCs w:val="20"/>
        </w:rPr>
        <w:t>Conventions: British English spelling. All monetary figures are in US dollars unless otherwise stated. Every material statistic is attributed to a named source in the text and listed with full publication details in the Complete Reference List.</w:t>
      </w:r>
    </w:p>
    <w:p w14:paraId="418355EA" w14:textId="549DBBBA" w:rsidR="001044C9" w:rsidRDefault="001C4E0A">
      <w:pPr>
        <w:pStyle w:val="TOC1"/>
        <w:tabs>
          <w:tab w:val="right" w:leader="dot" w:pos="9350"/>
        </w:tabs>
        <w:rPr>
          <w:noProof/>
          <w:kern w:val="2"/>
          <w:sz w:val="24"/>
          <w:szCs w:val="24"/>
          <w:lang w:val="en-AU" w:eastAsia="en-AU"/>
          <w14:ligatures w14:val="standardContextual"/>
        </w:rPr>
      </w:pPr>
      <w:r>
        <w:fldChar w:fldCharType="begin"/>
      </w:r>
      <w:r>
        <w:instrText>TOC \o "1-3" \h \z \u</w:instrText>
      </w:r>
      <w:r>
        <w:fldChar w:fldCharType="separate"/>
      </w:r>
      <w:hyperlink w:anchor="_Toc236412118" w:history="1">
        <w:r w:rsidR="001044C9" w:rsidRPr="00380D7F">
          <w:rPr>
            <w:rStyle w:val="Hyperlink"/>
            <w:noProof/>
          </w:rPr>
          <w:t>1. Executive Summary</w:t>
        </w:r>
        <w:r w:rsidR="001044C9">
          <w:rPr>
            <w:noProof/>
            <w:webHidden/>
          </w:rPr>
          <w:tab/>
        </w:r>
        <w:r w:rsidR="001044C9">
          <w:rPr>
            <w:noProof/>
            <w:webHidden/>
          </w:rPr>
          <w:fldChar w:fldCharType="begin"/>
        </w:r>
        <w:r w:rsidR="001044C9">
          <w:rPr>
            <w:noProof/>
            <w:webHidden/>
          </w:rPr>
          <w:instrText xml:space="preserve"> PAGEREF _Toc236412118 \h </w:instrText>
        </w:r>
        <w:r w:rsidR="001044C9">
          <w:rPr>
            <w:noProof/>
            <w:webHidden/>
          </w:rPr>
        </w:r>
        <w:r w:rsidR="001044C9">
          <w:rPr>
            <w:noProof/>
            <w:webHidden/>
          </w:rPr>
          <w:fldChar w:fldCharType="separate"/>
        </w:r>
        <w:r w:rsidR="001044C9">
          <w:rPr>
            <w:noProof/>
            <w:webHidden/>
          </w:rPr>
          <w:t>4</w:t>
        </w:r>
        <w:r w:rsidR="001044C9">
          <w:rPr>
            <w:noProof/>
            <w:webHidden/>
          </w:rPr>
          <w:fldChar w:fldCharType="end"/>
        </w:r>
      </w:hyperlink>
    </w:p>
    <w:p w14:paraId="6683C626" w14:textId="6B0B43E9" w:rsidR="001044C9" w:rsidRDefault="001044C9">
      <w:pPr>
        <w:pStyle w:val="TOC2"/>
        <w:tabs>
          <w:tab w:val="right" w:leader="dot" w:pos="9350"/>
        </w:tabs>
        <w:rPr>
          <w:noProof/>
          <w:kern w:val="2"/>
          <w:sz w:val="24"/>
          <w:szCs w:val="24"/>
          <w:lang w:val="en-AU" w:eastAsia="en-AU"/>
          <w14:ligatures w14:val="standardContextual"/>
        </w:rPr>
      </w:pPr>
      <w:hyperlink w:anchor="_Toc236412119" w:history="1">
        <w:r w:rsidRPr="00380D7F">
          <w:rPr>
            <w:rStyle w:val="Hyperlink"/>
            <w:noProof/>
          </w:rPr>
          <w:t>The six findings that matter most</w:t>
        </w:r>
        <w:r>
          <w:rPr>
            <w:noProof/>
            <w:webHidden/>
          </w:rPr>
          <w:tab/>
        </w:r>
        <w:r>
          <w:rPr>
            <w:noProof/>
            <w:webHidden/>
          </w:rPr>
          <w:fldChar w:fldCharType="begin"/>
        </w:r>
        <w:r>
          <w:rPr>
            <w:noProof/>
            <w:webHidden/>
          </w:rPr>
          <w:instrText xml:space="preserve"> PAGEREF _Toc236412119 \h </w:instrText>
        </w:r>
        <w:r>
          <w:rPr>
            <w:noProof/>
            <w:webHidden/>
          </w:rPr>
        </w:r>
        <w:r>
          <w:rPr>
            <w:noProof/>
            <w:webHidden/>
          </w:rPr>
          <w:fldChar w:fldCharType="separate"/>
        </w:r>
        <w:r>
          <w:rPr>
            <w:noProof/>
            <w:webHidden/>
          </w:rPr>
          <w:t>5</w:t>
        </w:r>
        <w:r>
          <w:rPr>
            <w:noProof/>
            <w:webHidden/>
          </w:rPr>
          <w:fldChar w:fldCharType="end"/>
        </w:r>
      </w:hyperlink>
    </w:p>
    <w:p w14:paraId="68559F55" w14:textId="6FE2678C" w:rsidR="001044C9" w:rsidRDefault="001044C9">
      <w:pPr>
        <w:pStyle w:val="TOC1"/>
        <w:tabs>
          <w:tab w:val="right" w:leader="dot" w:pos="9350"/>
        </w:tabs>
        <w:rPr>
          <w:noProof/>
          <w:kern w:val="2"/>
          <w:sz w:val="24"/>
          <w:szCs w:val="24"/>
          <w:lang w:val="en-AU" w:eastAsia="en-AU"/>
          <w14:ligatures w14:val="standardContextual"/>
        </w:rPr>
      </w:pPr>
      <w:hyperlink w:anchor="_Toc236412120" w:history="1">
        <w:r w:rsidRPr="00380D7F">
          <w:rPr>
            <w:rStyle w:val="Hyperlink"/>
            <w:noProof/>
          </w:rPr>
          <w:t>2. Research Methodology</w:t>
        </w:r>
        <w:r>
          <w:rPr>
            <w:noProof/>
            <w:webHidden/>
          </w:rPr>
          <w:tab/>
        </w:r>
        <w:r>
          <w:rPr>
            <w:noProof/>
            <w:webHidden/>
          </w:rPr>
          <w:fldChar w:fldCharType="begin"/>
        </w:r>
        <w:r>
          <w:rPr>
            <w:noProof/>
            <w:webHidden/>
          </w:rPr>
          <w:instrText xml:space="preserve"> PAGEREF _Toc236412120 \h </w:instrText>
        </w:r>
        <w:r>
          <w:rPr>
            <w:noProof/>
            <w:webHidden/>
          </w:rPr>
        </w:r>
        <w:r>
          <w:rPr>
            <w:noProof/>
            <w:webHidden/>
          </w:rPr>
          <w:fldChar w:fldCharType="separate"/>
        </w:r>
        <w:r>
          <w:rPr>
            <w:noProof/>
            <w:webHidden/>
          </w:rPr>
          <w:t>7</w:t>
        </w:r>
        <w:r>
          <w:rPr>
            <w:noProof/>
            <w:webHidden/>
          </w:rPr>
          <w:fldChar w:fldCharType="end"/>
        </w:r>
      </w:hyperlink>
    </w:p>
    <w:p w14:paraId="37CE5F90" w14:textId="57637D8F" w:rsidR="001044C9" w:rsidRDefault="001044C9">
      <w:pPr>
        <w:pStyle w:val="TOC1"/>
        <w:tabs>
          <w:tab w:val="right" w:leader="dot" w:pos="9350"/>
        </w:tabs>
        <w:rPr>
          <w:noProof/>
          <w:kern w:val="2"/>
          <w:sz w:val="24"/>
          <w:szCs w:val="24"/>
          <w:lang w:val="en-AU" w:eastAsia="en-AU"/>
          <w14:ligatures w14:val="standardContextual"/>
        </w:rPr>
      </w:pPr>
      <w:hyperlink w:anchor="_Toc236412121" w:history="1">
        <w:r w:rsidRPr="00380D7F">
          <w:rPr>
            <w:rStyle w:val="Hyperlink"/>
            <w:noProof/>
          </w:rPr>
          <w:t>3. Key Findings</w:t>
        </w:r>
        <w:r>
          <w:rPr>
            <w:noProof/>
            <w:webHidden/>
          </w:rPr>
          <w:tab/>
        </w:r>
        <w:r>
          <w:rPr>
            <w:noProof/>
            <w:webHidden/>
          </w:rPr>
          <w:fldChar w:fldCharType="begin"/>
        </w:r>
        <w:r>
          <w:rPr>
            <w:noProof/>
            <w:webHidden/>
          </w:rPr>
          <w:instrText xml:space="preserve"> PAGEREF _Toc236412121 \h </w:instrText>
        </w:r>
        <w:r>
          <w:rPr>
            <w:noProof/>
            <w:webHidden/>
          </w:rPr>
        </w:r>
        <w:r>
          <w:rPr>
            <w:noProof/>
            <w:webHidden/>
          </w:rPr>
          <w:fldChar w:fldCharType="separate"/>
        </w:r>
        <w:r>
          <w:rPr>
            <w:noProof/>
            <w:webHidden/>
          </w:rPr>
          <w:t>9</w:t>
        </w:r>
        <w:r>
          <w:rPr>
            <w:noProof/>
            <w:webHidden/>
          </w:rPr>
          <w:fldChar w:fldCharType="end"/>
        </w:r>
      </w:hyperlink>
    </w:p>
    <w:p w14:paraId="0334EF6F" w14:textId="61D9982E" w:rsidR="001044C9" w:rsidRDefault="001044C9">
      <w:pPr>
        <w:pStyle w:val="TOC1"/>
        <w:tabs>
          <w:tab w:val="right" w:leader="dot" w:pos="9350"/>
        </w:tabs>
        <w:rPr>
          <w:noProof/>
          <w:kern w:val="2"/>
          <w:sz w:val="24"/>
          <w:szCs w:val="24"/>
          <w:lang w:val="en-AU" w:eastAsia="en-AU"/>
          <w14:ligatures w14:val="standardContextual"/>
        </w:rPr>
      </w:pPr>
      <w:hyperlink w:anchor="_Toc236412122" w:history="1">
        <w:r w:rsidRPr="00380D7F">
          <w:rPr>
            <w:rStyle w:val="Hyperlink"/>
            <w:noProof/>
          </w:rPr>
          <w:t>4. Evidence and Source Citations</w:t>
        </w:r>
        <w:r>
          <w:rPr>
            <w:noProof/>
            <w:webHidden/>
          </w:rPr>
          <w:tab/>
        </w:r>
        <w:r>
          <w:rPr>
            <w:noProof/>
            <w:webHidden/>
          </w:rPr>
          <w:fldChar w:fldCharType="begin"/>
        </w:r>
        <w:r>
          <w:rPr>
            <w:noProof/>
            <w:webHidden/>
          </w:rPr>
          <w:instrText xml:space="preserve"> PAGEREF _Toc236412122 \h </w:instrText>
        </w:r>
        <w:r>
          <w:rPr>
            <w:noProof/>
            <w:webHidden/>
          </w:rPr>
        </w:r>
        <w:r>
          <w:rPr>
            <w:noProof/>
            <w:webHidden/>
          </w:rPr>
          <w:fldChar w:fldCharType="separate"/>
        </w:r>
        <w:r>
          <w:rPr>
            <w:noProof/>
            <w:webHidden/>
          </w:rPr>
          <w:t>13</w:t>
        </w:r>
        <w:r>
          <w:rPr>
            <w:noProof/>
            <w:webHidden/>
          </w:rPr>
          <w:fldChar w:fldCharType="end"/>
        </w:r>
      </w:hyperlink>
    </w:p>
    <w:p w14:paraId="20D219D1" w14:textId="443886DD" w:rsidR="001044C9" w:rsidRDefault="001044C9">
      <w:pPr>
        <w:pStyle w:val="TOC2"/>
        <w:tabs>
          <w:tab w:val="right" w:leader="dot" w:pos="9350"/>
        </w:tabs>
        <w:rPr>
          <w:noProof/>
          <w:kern w:val="2"/>
          <w:sz w:val="24"/>
          <w:szCs w:val="24"/>
          <w:lang w:val="en-AU" w:eastAsia="en-AU"/>
          <w14:ligatures w14:val="standardContextual"/>
        </w:rPr>
      </w:pPr>
      <w:hyperlink w:anchor="_Toc236412123" w:history="1">
        <w:r w:rsidRPr="00380D7F">
          <w:rPr>
            <w:rStyle w:val="Hyperlink"/>
            <w:noProof/>
          </w:rPr>
          <w:t>4.1 The single most important new citation</w:t>
        </w:r>
        <w:r>
          <w:rPr>
            <w:noProof/>
            <w:webHidden/>
          </w:rPr>
          <w:tab/>
        </w:r>
        <w:r>
          <w:rPr>
            <w:noProof/>
            <w:webHidden/>
          </w:rPr>
          <w:fldChar w:fldCharType="begin"/>
        </w:r>
        <w:r>
          <w:rPr>
            <w:noProof/>
            <w:webHidden/>
          </w:rPr>
          <w:instrText xml:space="preserve"> PAGEREF _Toc236412123 \h </w:instrText>
        </w:r>
        <w:r>
          <w:rPr>
            <w:noProof/>
            <w:webHidden/>
          </w:rPr>
        </w:r>
        <w:r>
          <w:rPr>
            <w:noProof/>
            <w:webHidden/>
          </w:rPr>
          <w:fldChar w:fldCharType="separate"/>
        </w:r>
        <w:r>
          <w:rPr>
            <w:noProof/>
            <w:webHidden/>
          </w:rPr>
          <w:t>13</w:t>
        </w:r>
        <w:r>
          <w:rPr>
            <w:noProof/>
            <w:webHidden/>
          </w:rPr>
          <w:fldChar w:fldCharType="end"/>
        </w:r>
      </w:hyperlink>
    </w:p>
    <w:p w14:paraId="37352C03" w14:textId="1356E620" w:rsidR="001044C9" w:rsidRDefault="001044C9">
      <w:pPr>
        <w:pStyle w:val="TOC2"/>
        <w:tabs>
          <w:tab w:val="right" w:leader="dot" w:pos="9350"/>
        </w:tabs>
        <w:rPr>
          <w:noProof/>
          <w:kern w:val="2"/>
          <w:sz w:val="24"/>
          <w:szCs w:val="24"/>
          <w:lang w:val="en-AU" w:eastAsia="en-AU"/>
          <w14:ligatures w14:val="standardContextual"/>
        </w:rPr>
      </w:pPr>
      <w:hyperlink w:anchor="_Toc236412124" w:history="1">
        <w:r w:rsidRPr="00380D7F">
          <w:rPr>
            <w:rStyle w:val="Hyperlink"/>
            <w:noProof/>
          </w:rPr>
          <w:t>4.2 The ten most load-bearing pieces of evidence</w:t>
        </w:r>
        <w:r>
          <w:rPr>
            <w:noProof/>
            <w:webHidden/>
          </w:rPr>
          <w:tab/>
        </w:r>
        <w:r>
          <w:rPr>
            <w:noProof/>
            <w:webHidden/>
          </w:rPr>
          <w:fldChar w:fldCharType="begin"/>
        </w:r>
        <w:r>
          <w:rPr>
            <w:noProof/>
            <w:webHidden/>
          </w:rPr>
          <w:instrText xml:space="preserve"> PAGEREF _Toc236412124 \h </w:instrText>
        </w:r>
        <w:r>
          <w:rPr>
            <w:noProof/>
            <w:webHidden/>
          </w:rPr>
        </w:r>
        <w:r>
          <w:rPr>
            <w:noProof/>
            <w:webHidden/>
          </w:rPr>
          <w:fldChar w:fldCharType="separate"/>
        </w:r>
        <w:r>
          <w:rPr>
            <w:noProof/>
            <w:webHidden/>
          </w:rPr>
          <w:t>13</w:t>
        </w:r>
        <w:r>
          <w:rPr>
            <w:noProof/>
            <w:webHidden/>
          </w:rPr>
          <w:fldChar w:fldCharType="end"/>
        </w:r>
      </w:hyperlink>
    </w:p>
    <w:p w14:paraId="0DE64BB4" w14:textId="7E480255" w:rsidR="001044C9" w:rsidRDefault="001044C9">
      <w:pPr>
        <w:pStyle w:val="TOC1"/>
        <w:tabs>
          <w:tab w:val="right" w:leader="dot" w:pos="9350"/>
        </w:tabs>
        <w:rPr>
          <w:noProof/>
          <w:kern w:val="2"/>
          <w:sz w:val="24"/>
          <w:szCs w:val="24"/>
          <w:lang w:val="en-AU" w:eastAsia="en-AU"/>
          <w14:ligatures w14:val="standardContextual"/>
        </w:rPr>
      </w:pPr>
      <w:hyperlink w:anchor="_Toc236412125" w:history="1">
        <w:r w:rsidRPr="00380D7F">
          <w:rPr>
            <w:rStyle w:val="Hyperlink"/>
            <w:noProof/>
          </w:rPr>
          <w:t>5. Market Analysis: A Growing Market That Is Quietly Bifurcating</w:t>
        </w:r>
        <w:r>
          <w:rPr>
            <w:noProof/>
            <w:webHidden/>
          </w:rPr>
          <w:tab/>
        </w:r>
        <w:r>
          <w:rPr>
            <w:noProof/>
            <w:webHidden/>
          </w:rPr>
          <w:fldChar w:fldCharType="begin"/>
        </w:r>
        <w:r>
          <w:rPr>
            <w:noProof/>
            <w:webHidden/>
          </w:rPr>
          <w:instrText xml:space="preserve"> PAGEREF _Toc236412125 \h </w:instrText>
        </w:r>
        <w:r>
          <w:rPr>
            <w:noProof/>
            <w:webHidden/>
          </w:rPr>
        </w:r>
        <w:r>
          <w:rPr>
            <w:noProof/>
            <w:webHidden/>
          </w:rPr>
          <w:fldChar w:fldCharType="separate"/>
        </w:r>
        <w:r>
          <w:rPr>
            <w:noProof/>
            <w:webHidden/>
          </w:rPr>
          <w:t>15</w:t>
        </w:r>
        <w:r>
          <w:rPr>
            <w:noProof/>
            <w:webHidden/>
          </w:rPr>
          <w:fldChar w:fldCharType="end"/>
        </w:r>
      </w:hyperlink>
    </w:p>
    <w:p w14:paraId="56F2FF59" w14:textId="1341B4F7" w:rsidR="001044C9" w:rsidRDefault="001044C9">
      <w:pPr>
        <w:pStyle w:val="TOC2"/>
        <w:tabs>
          <w:tab w:val="right" w:leader="dot" w:pos="9350"/>
        </w:tabs>
        <w:rPr>
          <w:noProof/>
          <w:kern w:val="2"/>
          <w:sz w:val="24"/>
          <w:szCs w:val="24"/>
          <w:lang w:val="en-AU" w:eastAsia="en-AU"/>
          <w14:ligatures w14:val="standardContextual"/>
        </w:rPr>
      </w:pPr>
      <w:hyperlink w:anchor="_Toc236412126" w:history="1">
        <w:r w:rsidRPr="00380D7F">
          <w:rPr>
            <w:rStyle w:val="Hyperlink"/>
            <w:noProof/>
          </w:rPr>
          <w:t>5.1 A growing market with fewer winners</w:t>
        </w:r>
        <w:r>
          <w:rPr>
            <w:noProof/>
            <w:webHidden/>
          </w:rPr>
          <w:tab/>
        </w:r>
        <w:r>
          <w:rPr>
            <w:noProof/>
            <w:webHidden/>
          </w:rPr>
          <w:fldChar w:fldCharType="begin"/>
        </w:r>
        <w:r>
          <w:rPr>
            <w:noProof/>
            <w:webHidden/>
          </w:rPr>
          <w:instrText xml:space="preserve"> PAGEREF _Toc236412126 \h </w:instrText>
        </w:r>
        <w:r>
          <w:rPr>
            <w:noProof/>
            <w:webHidden/>
          </w:rPr>
        </w:r>
        <w:r>
          <w:rPr>
            <w:noProof/>
            <w:webHidden/>
          </w:rPr>
          <w:fldChar w:fldCharType="separate"/>
        </w:r>
        <w:r>
          <w:rPr>
            <w:noProof/>
            <w:webHidden/>
          </w:rPr>
          <w:t>15</w:t>
        </w:r>
        <w:r>
          <w:rPr>
            <w:noProof/>
            <w:webHidden/>
          </w:rPr>
          <w:fldChar w:fldCharType="end"/>
        </w:r>
      </w:hyperlink>
    </w:p>
    <w:p w14:paraId="433AD3B2" w14:textId="4B9D1CD8" w:rsidR="001044C9" w:rsidRDefault="001044C9">
      <w:pPr>
        <w:pStyle w:val="TOC2"/>
        <w:tabs>
          <w:tab w:val="right" w:leader="dot" w:pos="9350"/>
        </w:tabs>
        <w:rPr>
          <w:noProof/>
          <w:kern w:val="2"/>
          <w:sz w:val="24"/>
          <w:szCs w:val="24"/>
          <w:lang w:val="en-AU" w:eastAsia="en-AU"/>
          <w14:ligatures w14:val="standardContextual"/>
        </w:rPr>
      </w:pPr>
      <w:hyperlink w:anchor="_Toc236412127" w:history="1">
        <w:r w:rsidRPr="00380D7F">
          <w:rPr>
            <w:rStyle w:val="Hyperlink"/>
            <w:noProof/>
          </w:rPr>
          <w:t>5.2 Growth is quietly bifurcating</w:t>
        </w:r>
        <w:r>
          <w:rPr>
            <w:noProof/>
            <w:webHidden/>
          </w:rPr>
          <w:tab/>
        </w:r>
        <w:r>
          <w:rPr>
            <w:noProof/>
            <w:webHidden/>
          </w:rPr>
          <w:fldChar w:fldCharType="begin"/>
        </w:r>
        <w:r>
          <w:rPr>
            <w:noProof/>
            <w:webHidden/>
          </w:rPr>
          <w:instrText xml:space="preserve"> PAGEREF _Toc236412127 \h </w:instrText>
        </w:r>
        <w:r>
          <w:rPr>
            <w:noProof/>
            <w:webHidden/>
          </w:rPr>
        </w:r>
        <w:r>
          <w:rPr>
            <w:noProof/>
            <w:webHidden/>
          </w:rPr>
          <w:fldChar w:fldCharType="separate"/>
        </w:r>
        <w:r>
          <w:rPr>
            <w:noProof/>
            <w:webHidden/>
          </w:rPr>
          <w:t>15</w:t>
        </w:r>
        <w:r>
          <w:rPr>
            <w:noProof/>
            <w:webHidden/>
          </w:rPr>
          <w:fldChar w:fldCharType="end"/>
        </w:r>
      </w:hyperlink>
    </w:p>
    <w:p w14:paraId="42D82FC0" w14:textId="739D3CAF" w:rsidR="001044C9" w:rsidRDefault="001044C9">
      <w:pPr>
        <w:pStyle w:val="TOC2"/>
        <w:tabs>
          <w:tab w:val="right" w:leader="dot" w:pos="9350"/>
        </w:tabs>
        <w:rPr>
          <w:noProof/>
          <w:kern w:val="2"/>
          <w:sz w:val="24"/>
          <w:szCs w:val="24"/>
          <w:lang w:val="en-AU" w:eastAsia="en-AU"/>
          <w14:ligatures w14:val="standardContextual"/>
        </w:rPr>
      </w:pPr>
      <w:hyperlink w:anchor="_Toc236412128" w:history="1">
        <w:r w:rsidRPr="00380D7F">
          <w:rPr>
            <w:rStyle w:val="Hyperlink"/>
            <w:noProof/>
          </w:rPr>
          <w:t>5.3 Where legacy delivery is most vulnerable</w:t>
        </w:r>
        <w:r>
          <w:rPr>
            <w:noProof/>
            <w:webHidden/>
          </w:rPr>
          <w:tab/>
        </w:r>
        <w:r>
          <w:rPr>
            <w:noProof/>
            <w:webHidden/>
          </w:rPr>
          <w:fldChar w:fldCharType="begin"/>
        </w:r>
        <w:r>
          <w:rPr>
            <w:noProof/>
            <w:webHidden/>
          </w:rPr>
          <w:instrText xml:space="preserve"> PAGEREF _Toc236412128 \h </w:instrText>
        </w:r>
        <w:r>
          <w:rPr>
            <w:noProof/>
            <w:webHidden/>
          </w:rPr>
        </w:r>
        <w:r>
          <w:rPr>
            <w:noProof/>
            <w:webHidden/>
          </w:rPr>
          <w:fldChar w:fldCharType="separate"/>
        </w:r>
        <w:r>
          <w:rPr>
            <w:noProof/>
            <w:webHidden/>
          </w:rPr>
          <w:t>16</w:t>
        </w:r>
        <w:r>
          <w:rPr>
            <w:noProof/>
            <w:webHidden/>
          </w:rPr>
          <w:fldChar w:fldCharType="end"/>
        </w:r>
      </w:hyperlink>
    </w:p>
    <w:p w14:paraId="7AACBBA7" w14:textId="68BAAAF8" w:rsidR="001044C9" w:rsidRDefault="001044C9">
      <w:pPr>
        <w:pStyle w:val="TOC2"/>
        <w:tabs>
          <w:tab w:val="right" w:leader="dot" w:pos="9350"/>
        </w:tabs>
        <w:rPr>
          <w:noProof/>
          <w:kern w:val="2"/>
          <w:sz w:val="24"/>
          <w:szCs w:val="24"/>
          <w:lang w:val="en-AU" w:eastAsia="en-AU"/>
          <w14:ligatures w14:val="standardContextual"/>
        </w:rPr>
      </w:pPr>
      <w:hyperlink w:anchor="_Toc236412129" w:history="1">
        <w:r w:rsidRPr="00380D7F">
          <w:rPr>
            <w:rStyle w:val="Hyperlink"/>
            <w:noProof/>
          </w:rPr>
          <w:t>5.4 Consolidation is the defining structural force</w:t>
        </w:r>
        <w:r>
          <w:rPr>
            <w:noProof/>
            <w:webHidden/>
          </w:rPr>
          <w:tab/>
        </w:r>
        <w:r>
          <w:rPr>
            <w:noProof/>
            <w:webHidden/>
          </w:rPr>
          <w:fldChar w:fldCharType="begin"/>
        </w:r>
        <w:r>
          <w:rPr>
            <w:noProof/>
            <w:webHidden/>
          </w:rPr>
          <w:instrText xml:space="preserve"> PAGEREF _Toc236412129 \h </w:instrText>
        </w:r>
        <w:r>
          <w:rPr>
            <w:noProof/>
            <w:webHidden/>
          </w:rPr>
        </w:r>
        <w:r>
          <w:rPr>
            <w:noProof/>
            <w:webHidden/>
          </w:rPr>
          <w:fldChar w:fldCharType="separate"/>
        </w:r>
        <w:r>
          <w:rPr>
            <w:noProof/>
            <w:webHidden/>
          </w:rPr>
          <w:t>16</w:t>
        </w:r>
        <w:r>
          <w:rPr>
            <w:noProof/>
            <w:webHidden/>
          </w:rPr>
          <w:fldChar w:fldCharType="end"/>
        </w:r>
      </w:hyperlink>
    </w:p>
    <w:p w14:paraId="4FA7ECE1" w14:textId="4BCA91DF" w:rsidR="001044C9" w:rsidRDefault="001044C9">
      <w:pPr>
        <w:pStyle w:val="TOC2"/>
        <w:tabs>
          <w:tab w:val="right" w:leader="dot" w:pos="9350"/>
        </w:tabs>
        <w:rPr>
          <w:noProof/>
          <w:kern w:val="2"/>
          <w:sz w:val="24"/>
          <w:szCs w:val="24"/>
          <w:lang w:val="en-AU" w:eastAsia="en-AU"/>
          <w14:ligatures w14:val="standardContextual"/>
        </w:rPr>
      </w:pPr>
      <w:hyperlink w:anchor="_Toc236412130" w:history="1">
        <w:r w:rsidRPr="00380D7F">
          <w:rPr>
            <w:rStyle w:val="Hyperlink"/>
            <w:noProof/>
          </w:rPr>
          <w:t>5.5 The channel is losing share of a growing pie</w:t>
        </w:r>
        <w:r>
          <w:rPr>
            <w:noProof/>
            <w:webHidden/>
          </w:rPr>
          <w:tab/>
        </w:r>
        <w:r>
          <w:rPr>
            <w:noProof/>
            <w:webHidden/>
          </w:rPr>
          <w:fldChar w:fldCharType="begin"/>
        </w:r>
        <w:r>
          <w:rPr>
            <w:noProof/>
            <w:webHidden/>
          </w:rPr>
          <w:instrText xml:space="preserve"> PAGEREF _Toc236412130 \h </w:instrText>
        </w:r>
        <w:r>
          <w:rPr>
            <w:noProof/>
            <w:webHidden/>
          </w:rPr>
        </w:r>
        <w:r>
          <w:rPr>
            <w:noProof/>
            <w:webHidden/>
          </w:rPr>
          <w:fldChar w:fldCharType="separate"/>
        </w:r>
        <w:r>
          <w:rPr>
            <w:noProof/>
            <w:webHidden/>
          </w:rPr>
          <w:t>17</w:t>
        </w:r>
        <w:r>
          <w:rPr>
            <w:noProof/>
            <w:webHidden/>
          </w:rPr>
          <w:fldChar w:fldCharType="end"/>
        </w:r>
      </w:hyperlink>
    </w:p>
    <w:p w14:paraId="78374D46" w14:textId="178345FD" w:rsidR="001044C9" w:rsidRDefault="001044C9">
      <w:pPr>
        <w:pStyle w:val="TOC2"/>
        <w:tabs>
          <w:tab w:val="right" w:leader="dot" w:pos="9350"/>
        </w:tabs>
        <w:rPr>
          <w:noProof/>
          <w:kern w:val="2"/>
          <w:sz w:val="24"/>
          <w:szCs w:val="24"/>
          <w:lang w:val="en-AU" w:eastAsia="en-AU"/>
          <w14:ligatures w14:val="standardContextual"/>
        </w:rPr>
      </w:pPr>
      <w:hyperlink w:anchor="_Toc236412131" w:history="1">
        <w:r w:rsidRPr="00380D7F">
          <w:rPr>
            <w:rStyle w:val="Hyperlink"/>
            <w:noProof/>
          </w:rPr>
          <w:t>5.6 The channel does not agree with itself on how exposed it is</w:t>
        </w:r>
        <w:r>
          <w:rPr>
            <w:noProof/>
            <w:webHidden/>
          </w:rPr>
          <w:tab/>
        </w:r>
        <w:r>
          <w:rPr>
            <w:noProof/>
            <w:webHidden/>
          </w:rPr>
          <w:fldChar w:fldCharType="begin"/>
        </w:r>
        <w:r>
          <w:rPr>
            <w:noProof/>
            <w:webHidden/>
          </w:rPr>
          <w:instrText xml:space="preserve"> PAGEREF _Toc236412131 \h </w:instrText>
        </w:r>
        <w:r>
          <w:rPr>
            <w:noProof/>
            <w:webHidden/>
          </w:rPr>
        </w:r>
        <w:r>
          <w:rPr>
            <w:noProof/>
            <w:webHidden/>
          </w:rPr>
          <w:fldChar w:fldCharType="separate"/>
        </w:r>
        <w:r>
          <w:rPr>
            <w:noProof/>
            <w:webHidden/>
          </w:rPr>
          <w:t>17</w:t>
        </w:r>
        <w:r>
          <w:rPr>
            <w:noProof/>
            <w:webHidden/>
          </w:rPr>
          <w:fldChar w:fldCharType="end"/>
        </w:r>
      </w:hyperlink>
    </w:p>
    <w:p w14:paraId="7C9C78F4" w14:textId="5F35AAF0" w:rsidR="001044C9" w:rsidRDefault="001044C9">
      <w:pPr>
        <w:pStyle w:val="TOC2"/>
        <w:tabs>
          <w:tab w:val="right" w:leader="dot" w:pos="9350"/>
        </w:tabs>
        <w:rPr>
          <w:noProof/>
          <w:kern w:val="2"/>
          <w:sz w:val="24"/>
          <w:szCs w:val="24"/>
          <w:lang w:val="en-AU" w:eastAsia="en-AU"/>
          <w14:ligatures w14:val="standardContextual"/>
        </w:rPr>
      </w:pPr>
      <w:hyperlink w:anchor="_Toc236412132" w:history="1">
        <w:r w:rsidRPr="00380D7F">
          <w:rPr>
            <w:rStyle w:val="Hyperlink"/>
            <w:noProof/>
          </w:rPr>
          <w:t>5.7 Customer buying behaviour: outcomes, security and AI advice</w:t>
        </w:r>
        <w:r>
          <w:rPr>
            <w:noProof/>
            <w:webHidden/>
          </w:rPr>
          <w:tab/>
        </w:r>
        <w:r>
          <w:rPr>
            <w:noProof/>
            <w:webHidden/>
          </w:rPr>
          <w:fldChar w:fldCharType="begin"/>
        </w:r>
        <w:r>
          <w:rPr>
            <w:noProof/>
            <w:webHidden/>
          </w:rPr>
          <w:instrText xml:space="preserve"> PAGEREF _Toc236412132 \h </w:instrText>
        </w:r>
        <w:r>
          <w:rPr>
            <w:noProof/>
            <w:webHidden/>
          </w:rPr>
        </w:r>
        <w:r>
          <w:rPr>
            <w:noProof/>
            <w:webHidden/>
          </w:rPr>
          <w:fldChar w:fldCharType="separate"/>
        </w:r>
        <w:r>
          <w:rPr>
            <w:noProof/>
            <w:webHidden/>
          </w:rPr>
          <w:t>17</w:t>
        </w:r>
        <w:r>
          <w:rPr>
            <w:noProof/>
            <w:webHidden/>
          </w:rPr>
          <w:fldChar w:fldCharType="end"/>
        </w:r>
      </w:hyperlink>
    </w:p>
    <w:p w14:paraId="19D912AB" w14:textId="7581CB04" w:rsidR="001044C9" w:rsidRDefault="001044C9">
      <w:pPr>
        <w:pStyle w:val="TOC1"/>
        <w:tabs>
          <w:tab w:val="right" w:leader="dot" w:pos="9350"/>
        </w:tabs>
        <w:rPr>
          <w:noProof/>
          <w:kern w:val="2"/>
          <w:sz w:val="24"/>
          <w:szCs w:val="24"/>
          <w:lang w:val="en-AU" w:eastAsia="en-AU"/>
          <w14:ligatures w14:val="standardContextual"/>
        </w:rPr>
      </w:pPr>
      <w:hyperlink w:anchor="_Toc236412133" w:history="1">
        <w:r w:rsidRPr="00380D7F">
          <w:rPr>
            <w:rStyle w:val="Hyperlink"/>
            <w:noProof/>
          </w:rPr>
          <w:t>6. Financial Analysis: Legacy vs. Transformed Economics</w:t>
        </w:r>
        <w:r>
          <w:rPr>
            <w:noProof/>
            <w:webHidden/>
          </w:rPr>
          <w:tab/>
        </w:r>
        <w:r>
          <w:rPr>
            <w:noProof/>
            <w:webHidden/>
          </w:rPr>
          <w:fldChar w:fldCharType="begin"/>
        </w:r>
        <w:r>
          <w:rPr>
            <w:noProof/>
            <w:webHidden/>
          </w:rPr>
          <w:instrText xml:space="preserve"> PAGEREF _Toc236412133 \h </w:instrText>
        </w:r>
        <w:r>
          <w:rPr>
            <w:noProof/>
            <w:webHidden/>
          </w:rPr>
        </w:r>
        <w:r>
          <w:rPr>
            <w:noProof/>
            <w:webHidden/>
          </w:rPr>
          <w:fldChar w:fldCharType="separate"/>
        </w:r>
        <w:r>
          <w:rPr>
            <w:noProof/>
            <w:webHidden/>
          </w:rPr>
          <w:t>19</w:t>
        </w:r>
        <w:r>
          <w:rPr>
            <w:noProof/>
            <w:webHidden/>
          </w:rPr>
          <w:fldChar w:fldCharType="end"/>
        </w:r>
      </w:hyperlink>
    </w:p>
    <w:p w14:paraId="37ADDE7F" w14:textId="7C8E8E0E" w:rsidR="001044C9" w:rsidRDefault="001044C9">
      <w:pPr>
        <w:pStyle w:val="TOC2"/>
        <w:tabs>
          <w:tab w:val="right" w:leader="dot" w:pos="9350"/>
        </w:tabs>
        <w:rPr>
          <w:noProof/>
          <w:kern w:val="2"/>
          <w:sz w:val="24"/>
          <w:szCs w:val="24"/>
          <w:lang w:val="en-AU" w:eastAsia="en-AU"/>
          <w14:ligatures w14:val="standardContextual"/>
        </w:rPr>
      </w:pPr>
      <w:hyperlink w:anchor="_Toc236412134" w:history="1">
        <w:r w:rsidRPr="00380D7F">
          <w:rPr>
            <w:rStyle w:val="Hyperlink"/>
            <w:noProof/>
          </w:rPr>
          <w:t>6.1 The unit economics of a labour business</w:t>
        </w:r>
        <w:r>
          <w:rPr>
            <w:noProof/>
            <w:webHidden/>
          </w:rPr>
          <w:tab/>
        </w:r>
        <w:r>
          <w:rPr>
            <w:noProof/>
            <w:webHidden/>
          </w:rPr>
          <w:fldChar w:fldCharType="begin"/>
        </w:r>
        <w:r>
          <w:rPr>
            <w:noProof/>
            <w:webHidden/>
          </w:rPr>
          <w:instrText xml:space="preserve"> PAGEREF _Toc236412134 \h </w:instrText>
        </w:r>
        <w:r>
          <w:rPr>
            <w:noProof/>
            <w:webHidden/>
          </w:rPr>
        </w:r>
        <w:r>
          <w:rPr>
            <w:noProof/>
            <w:webHidden/>
          </w:rPr>
          <w:fldChar w:fldCharType="separate"/>
        </w:r>
        <w:r>
          <w:rPr>
            <w:noProof/>
            <w:webHidden/>
          </w:rPr>
          <w:t>19</w:t>
        </w:r>
        <w:r>
          <w:rPr>
            <w:noProof/>
            <w:webHidden/>
          </w:rPr>
          <w:fldChar w:fldCharType="end"/>
        </w:r>
      </w:hyperlink>
    </w:p>
    <w:p w14:paraId="243D86B4" w14:textId="27363C6D" w:rsidR="001044C9" w:rsidRDefault="001044C9">
      <w:pPr>
        <w:pStyle w:val="TOC2"/>
        <w:tabs>
          <w:tab w:val="right" w:leader="dot" w:pos="9350"/>
        </w:tabs>
        <w:rPr>
          <w:noProof/>
          <w:kern w:val="2"/>
          <w:sz w:val="24"/>
          <w:szCs w:val="24"/>
          <w:lang w:val="en-AU" w:eastAsia="en-AU"/>
          <w14:ligatures w14:val="standardContextual"/>
        </w:rPr>
      </w:pPr>
      <w:hyperlink w:anchor="_Toc236412135" w:history="1">
        <w:r w:rsidRPr="00380D7F">
          <w:rPr>
            <w:rStyle w:val="Hyperlink"/>
            <w:noProof/>
          </w:rPr>
          <w:t>6.2 The profitability distribution: record highs and a loss-making tail</w:t>
        </w:r>
        <w:r>
          <w:rPr>
            <w:noProof/>
            <w:webHidden/>
          </w:rPr>
          <w:tab/>
        </w:r>
        <w:r>
          <w:rPr>
            <w:noProof/>
            <w:webHidden/>
          </w:rPr>
          <w:fldChar w:fldCharType="begin"/>
        </w:r>
        <w:r>
          <w:rPr>
            <w:noProof/>
            <w:webHidden/>
          </w:rPr>
          <w:instrText xml:space="preserve"> PAGEREF _Toc236412135 \h </w:instrText>
        </w:r>
        <w:r>
          <w:rPr>
            <w:noProof/>
            <w:webHidden/>
          </w:rPr>
        </w:r>
        <w:r>
          <w:rPr>
            <w:noProof/>
            <w:webHidden/>
          </w:rPr>
          <w:fldChar w:fldCharType="separate"/>
        </w:r>
        <w:r>
          <w:rPr>
            <w:noProof/>
            <w:webHidden/>
          </w:rPr>
          <w:t>19</w:t>
        </w:r>
        <w:r>
          <w:rPr>
            <w:noProof/>
            <w:webHidden/>
          </w:rPr>
          <w:fldChar w:fldCharType="end"/>
        </w:r>
      </w:hyperlink>
    </w:p>
    <w:p w14:paraId="676575B0" w14:textId="5EDE0886" w:rsidR="001044C9" w:rsidRDefault="001044C9">
      <w:pPr>
        <w:pStyle w:val="TOC2"/>
        <w:tabs>
          <w:tab w:val="right" w:leader="dot" w:pos="9350"/>
        </w:tabs>
        <w:rPr>
          <w:noProof/>
          <w:kern w:val="2"/>
          <w:sz w:val="24"/>
          <w:szCs w:val="24"/>
          <w:lang w:val="en-AU" w:eastAsia="en-AU"/>
          <w14:ligatures w14:val="standardContextual"/>
        </w:rPr>
      </w:pPr>
      <w:hyperlink w:anchor="_Toc236412136" w:history="1">
        <w:r w:rsidRPr="00380D7F">
          <w:rPr>
            <w:rStyle w:val="Hyperlink"/>
            <w:noProof/>
          </w:rPr>
          <w:t>6.3 Valuation: the market has already priced the thesis</w:t>
        </w:r>
        <w:r>
          <w:rPr>
            <w:noProof/>
            <w:webHidden/>
          </w:rPr>
          <w:tab/>
        </w:r>
        <w:r>
          <w:rPr>
            <w:noProof/>
            <w:webHidden/>
          </w:rPr>
          <w:fldChar w:fldCharType="begin"/>
        </w:r>
        <w:r>
          <w:rPr>
            <w:noProof/>
            <w:webHidden/>
          </w:rPr>
          <w:instrText xml:space="preserve"> PAGEREF _Toc236412136 \h </w:instrText>
        </w:r>
        <w:r>
          <w:rPr>
            <w:noProof/>
            <w:webHidden/>
          </w:rPr>
        </w:r>
        <w:r>
          <w:rPr>
            <w:noProof/>
            <w:webHidden/>
          </w:rPr>
          <w:fldChar w:fldCharType="separate"/>
        </w:r>
        <w:r>
          <w:rPr>
            <w:noProof/>
            <w:webHidden/>
          </w:rPr>
          <w:t>19</w:t>
        </w:r>
        <w:r>
          <w:rPr>
            <w:noProof/>
            <w:webHidden/>
          </w:rPr>
          <w:fldChar w:fldCharType="end"/>
        </w:r>
      </w:hyperlink>
    </w:p>
    <w:p w14:paraId="3A60DA06" w14:textId="3EB223EC" w:rsidR="001044C9" w:rsidRDefault="001044C9">
      <w:pPr>
        <w:pStyle w:val="TOC2"/>
        <w:tabs>
          <w:tab w:val="right" w:leader="dot" w:pos="9350"/>
        </w:tabs>
        <w:rPr>
          <w:noProof/>
          <w:kern w:val="2"/>
          <w:sz w:val="24"/>
          <w:szCs w:val="24"/>
          <w:lang w:val="en-AU" w:eastAsia="en-AU"/>
          <w14:ligatures w14:val="standardContextual"/>
        </w:rPr>
      </w:pPr>
      <w:hyperlink w:anchor="_Toc236412137" w:history="1">
        <w:r w:rsidRPr="00380D7F">
          <w:rPr>
            <w:rStyle w:val="Hyperlink"/>
            <w:noProof/>
          </w:rPr>
          <w:t>6.4 An illustrative five-year model: status quo versus transformation</w:t>
        </w:r>
        <w:r>
          <w:rPr>
            <w:noProof/>
            <w:webHidden/>
          </w:rPr>
          <w:tab/>
        </w:r>
        <w:r>
          <w:rPr>
            <w:noProof/>
            <w:webHidden/>
          </w:rPr>
          <w:fldChar w:fldCharType="begin"/>
        </w:r>
        <w:r>
          <w:rPr>
            <w:noProof/>
            <w:webHidden/>
          </w:rPr>
          <w:instrText xml:space="preserve"> PAGEREF _Toc236412137 \h </w:instrText>
        </w:r>
        <w:r>
          <w:rPr>
            <w:noProof/>
            <w:webHidden/>
          </w:rPr>
        </w:r>
        <w:r>
          <w:rPr>
            <w:noProof/>
            <w:webHidden/>
          </w:rPr>
          <w:fldChar w:fldCharType="separate"/>
        </w:r>
        <w:r>
          <w:rPr>
            <w:noProof/>
            <w:webHidden/>
          </w:rPr>
          <w:t>20</w:t>
        </w:r>
        <w:r>
          <w:rPr>
            <w:noProof/>
            <w:webHidden/>
          </w:rPr>
          <w:fldChar w:fldCharType="end"/>
        </w:r>
      </w:hyperlink>
    </w:p>
    <w:p w14:paraId="3098E00A" w14:textId="7D1DFF3D" w:rsidR="001044C9" w:rsidRDefault="001044C9">
      <w:pPr>
        <w:pStyle w:val="TOC2"/>
        <w:tabs>
          <w:tab w:val="right" w:leader="dot" w:pos="9350"/>
        </w:tabs>
        <w:rPr>
          <w:noProof/>
          <w:kern w:val="2"/>
          <w:sz w:val="24"/>
          <w:szCs w:val="24"/>
          <w:lang w:val="en-AU" w:eastAsia="en-AU"/>
          <w14:ligatures w14:val="standardContextual"/>
        </w:rPr>
      </w:pPr>
      <w:hyperlink w:anchor="_Toc236412138" w:history="1">
        <w:r w:rsidRPr="00380D7F">
          <w:rPr>
            <w:rStyle w:val="Hyperlink"/>
            <w:noProof/>
          </w:rPr>
          <w:t>6.5 Valuation and M&amp;A implications summary</w:t>
        </w:r>
        <w:r>
          <w:rPr>
            <w:noProof/>
            <w:webHidden/>
          </w:rPr>
          <w:tab/>
        </w:r>
        <w:r>
          <w:rPr>
            <w:noProof/>
            <w:webHidden/>
          </w:rPr>
          <w:fldChar w:fldCharType="begin"/>
        </w:r>
        <w:r>
          <w:rPr>
            <w:noProof/>
            <w:webHidden/>
          </w:rPr>
          <w:instrText xml:space="preserve"> PAGEREF _Toc236412138 \h </w:instrText>
        </w:r>
        <w:r>
          <w:rPr>
            <w:noProof/>
            <w:webHidden/>
          </w:rPr>
        </w:r>
        <w:r>
          <w:rPr>
            <w:noProof/>
            <w:webHidden/>
          </w:rPr>
          <w:fldChar w:fldCharType="separate"/>
        </w:r>
        <w:r>
          <w:rPr>
            <w:noProof/>
            <w:webHidden/>
          </w:rPr>
          <w:t>20</w:t>
        </w:r>
        <w:r>
          <w:rPr>
            <w:noProof/>
            <w:webHidden/>
          </w:rPr>
          <w:fldChar w:fldCharType="end"/>
        </w:r>
      </w:hyperlink>
    </w:p>
    <w:p w14:paraId="73D79A86" w14:textId="5AF29320" w:rsidR="001044C9" w:rsidRDefault="001044C9">
      <w:pPr>
        <w:pStyle w:val="TOC1"/>
        <w:tabs>
          <w:tab w:val="right" w:leader="dot" w:pos="9350"/>
        </w:tabs>
        <w:rPr>
          <w:noProof/>
          <w:kern w:val="2"/>
          <w:sz w:val="24"/>
          <w:szCs w:val="24"/>
          <w:lang w:val="en-AU" w:eastAsia="en-AU"/>
          <w14:ligatures w14:val="standardContextual"/>
        </w:rPr>
      </w:pPr>
      <w:hyperlink w:anchor="_Toc236412139" w:history="1">
        <w:r w:rsidRPr="00380D7F">
          <w:rPr>
            <w:rStyle w:val="Hyperlink"/>
            <w:noProof/>
          </w:rPr>
          <w:t>7. Microsoft Strategy Analysis</w:t>
        </w:r>
        <w:r>
          <w:rPr>
            <w:noProof/>
            <w:webHidden/>
          </w:rPr>
          <w:tab/>
        </w:r>
        <w:r>
          <w:rPr>
            <w:noProof/>
            <w:webHidden/>
          </w:rPr>
          <w:fldChar w:fldCharType="begin"/>
        </w:r>
        <w:r>
          <w:rPr>
            <w:noProof/>
            <w:webHidden/>
          </w:rPr>
          <w:instrText xml:space="preserve"> PAGEREF _Toc236412139 \h </w:instrText>
        </w:r>
        <w:r>
          <w:rPr>
            <w:noProof/>
            <w:webHidden/>
          </w:rPr>
        </w:r>
        <w:r>
          <w:rPr>
            <w:noProof/>
            <w:webHidden/>
          </w:rPr>
          <w:fldChar w:fldCharType="separate"/>
        </w:r>
        <w:r>
          <w:rPr>
            <w:noProof/>
            <w:webHidden/>
          </w:rPr>
          <w:t>22</w:t>
        </w:r>
        <w:r>
          <w:rPr>
            <w:noProof/>
            <w:webHidden/>
          </w:rPr>
          <w:fldChar w:fldCharType="end"/>
        </w:r>
      </w:hyperlink>
    </w:p>
    <w:p w14:paraId="314FFE0B" w14:textId="3BA032CB" w:rsidR="001044C9" w:rsidRDefault="001044C9">
      <w:pPr>
        <w:pStyle w:val="TOC2"/>
        <w:tabs>
          <w:tab w:val="right" w:leader="dot" w:pos="9350"/>
        </w:tabs>
        <w:rPr>
          <w:noProof/>
          <w:kern w:val="2"/>
          <w:sz w:val="24"/>
          <w:szCs w:val="24"/>
          <w:lang w:val="en-AU" w:eastAsia="en-AU"/>
          <w14:ligatures w14:val="standardContextual"/>
        </w:rPr>
      </w:pPr>
      <w:hyperlink w:anchor="_Toc236412140" w:history="1">
        <w:r w:rsidRPr="00380D7F">
          <w:rPr>
            <w:rStyle w:val="Hyperlink"/>
            <w:noProof/>
          </w:rPr>
          <w:t>7.1 The headline numbers partners cannot ignore</w:t>
        </w:r>
        <w:r>
          <w:rPr>
            <w:noProof/>
            <w:webHidden/>
          </w:rPr>
          <w:tab/>
        </w:r>
        <w:r>
          <w:rPr>
            <w:noProof/>
            <w:webHidden/>
          </w:rPr>
          <w:fldChar w:fldCharType="begin"/>
        </w:r>
        <w:r>
          <w:rPr>
            <w:noProof/>
            <w:webHidden/>
          </w:rPr>
          <w:instrText xml:space="preserve"> PAGEREF _Toc236412140 \h </w:instrText>
        </w:r>
        <w:r>
          <w:rPr>
            <w:noProof/>
            <w:webHidden/>
          </w:rPr>
        </w:r>
        <w:r>
          <w:rPr>
            <w:noProof/>
            <w:webHidden/>
          </w:rPr>
          <w:fldChar w:fldCharType="separate"/>
        </w:r>
        <w:r>
          <w:rPr>
            <w:noProof/>
            <w:webHidden/>
          </w:rPr>
          <w:t>22</w:t>
        </w:r>
        <w:r>
          <w:rPr>
            <w:noProof/>
            <w:webHidden/>
          </w:rPr>
          <w:fldChar w:fldCharType="end"/>
        </w:r>
      </w:hyperlink>
    </w:p>
    <w:p w14:paraId="64D1AD1B" w14:textId="48E4A983" w:rsidR="001044C9" w:rsidRDefault="001044C9">
      <w:pPr>
        <w:pStyle w:val="TOC2"/>
        <w:tabs>
          <w:tab w:val="right" w:leader="dot" w:pos="9350"/>
        </w:tabs>
        <w:rPr>
          <w:noProof/>
          <w:kern w:val="2"/>
          <w:sz w:val="24"/>
          <w:szCs w:val="24"/>
          <w:lang w:val="en-AU" w:eastAsia="en-AU"/>
          <w14:ligatures w14:val="standardContextual"/>
        </w:rPr>
      </w:pPr>
      <w:hyperlink w:anchor="_Toc236412141" w:history="1">
        <w:r w:rsidRPr="00380D7F">
          <w:rPr>
            <w:rStyle w:val="Hyperlink"/>
            <w:noProof/>
          </w:rPr>
          <w:t>7.2 The strategic tell: pricing and agents</w:t>
        </w:r>
        <w:r>
          <w:rPr>
            <w:noProof/>
            <w:webHidden/>
          </w:rPr>
          <w:tab/>
        </w:r>
        <w:r>
          <w:rPr>
            <w:noProof/>
            <w:webHidden/>
          </w:rPr>
          <w:fldChar w:fldCharType="begin"/>
        </w:r>
        <w:r>
          <w:rPr>
            <w:noProof/>
            <w:webHidden/>
          </w:rPr>
          <w:instrText xml:space="preserve"> PAGEREF _Toc236412141 \h </w:instrText>
        </w:r>
        <w:r>
          <w:rPr>
            <w:noProof/>
            <w:webHidden/>
          </w:rPr>
        </w:r>
        <w:r>
          <w:rPr>
            <w:noProof/>
            <w:webHidden/>
          </w:rPr>
          <w:fldChar w:fldCharType="separate"/>
        </w:r>
        <w:r>
          <w:rPr>
            <w:noProof/>
            <w:webHidden/>
          </w:rPr>
          <w:t>23</w:t>
        </w:r>
        <w:r>
          <w:rPr>
            <w:noProof/>
            <w:webHidden/>
          </w:rPr>
          <w:fldChar w:fldCharType="end"/>
        </w:r>
      </w:hyperlink>
    </w:p>
    <w:p w14:paraId="5AEADF17" w14:textId="6912894E" w:rsidR="001044C9" w:rsidRDefault="001044C9">
      <w:pPr>
        <w:pStyle w:val="TOC2"/>
        <w:tabs>
          <w:tab w:val="right" w:leader="dot" w:pos="9350"/>
        </w:tabs>
        <w:rPr>
          <w:noProof/>
          <w:kern w:val="2"/>
          <w:sz w:val="24"/>
          <w:szCs w:val="24"/>
          <w:lang w:val="en-AU" w:eastAsia="en-AU"/>
          <w14:ligatures w14:val="standardContextual"/>
        </w:rPr>
      </w:pPr>
      <w:hyperlink w:anchor="_Toc236412142" w:history="1">
        <w:r w:rsidRPr="00380D7F">
          <w:rPr>
            <w:rStyle w:val="Hyperlink"/>
            <w:noProof/>
          </w:rPr>
          <w:t>7.3 Partner-program economics have been rewired</w:t>
        </w:r>
        <w:r>
          <w:rPr>
            <w:noProof/>
            <w:webHidden/>
          </w:rPr>
          <w:tab/>
        </w:r>
        <w:r>
          <w:rPr>
            <w:noProof/>
            <w:webHidden/>
          </w:rPr>
          <w:fldChar w:fldCharType="begin"/>
        </w:r>
        <w:r>
          <w:rPr>
            <w:noProof/>
            <w:webHidden/>
          </w:rPr>
          <w:instrText xml:space="preserve"> PAGEREF _Toc236412142 \h </w:instrText>
        </w:r>
        <w:r>
          <w:rPr>
            <w:noProof/>
            <w:webHidden/>
          </w:rPr>
        </w:r>
        <w:r>
          <w:rPr>
            <w:noProof/>
            <w:webHidden/>
          </w:rPr>
          <w:fldChar w:fldCharType="separate"/>
        </w:r>
        <w:r>
          <w:rPr>
            <w:noProof/>
            <w:webHidden/>
          </w:rPr>
          <w:t>23</w:t>
        </w:r>
        <w:r>
          <w:rPr>
            <w:noProof/>
            <w:webHidden/>
          </w:rPr>
          <w:fldChar w:fldCharType="end"/>
        </w:r>
      </w:hyperlink>
    </w:p>
    <w:p w14:paraId="7F7D5FFA" w14:textId="02C9825C" w:rsidR="001044C9" w:rsidRDefault="001044C9">
      <w:pPr>
        <w:pStyle w:val="TOC2"/>
        <w:tabs>
          <w:tab w:val="right" w:leader="dot" w:pos="9350"/>
        </w:tabs>
        <w:rPr>
          <w:noProof/>
          <w:kern w:val="2"/>
          <w:sz w:val="24"/>
          <w:szCs w:val="24"/>
          <w:lang w:val="en-AU" w:eastAsia="en-AU"/>
          <w14:ligatures w14:val="standardContextual"/>
        </w:rPr>
      </w:pPr>
      <w:hyperlink w:anchor="_Toc236412143" w:history="1">
        <w:r w:rsidRPr="00380D7F">
          <w:rPr>
            <w:rStyle w:val="Hyperlink"/>
            <w:noProof/>
          </w:rPr>
          <w:t>7.4 The platform is absorbing MSP-billable work</w:t>
        </w:r>
        <w:r>
          <w:rPr>
            <w:noProof/>
            <w:webHidden/>
          </w:rPr>
          <w:tab/>
        </w:r>
        <w:r>
          <w:rPr>
            <w:noProof/>
            <w:webHidden/>
          </w:rPr>
          <w:fldChar w:fldCharType="begin"/>
        </w:r>
        <w:r>
          <w:rPr>
            <w:noProof/>
            <w:webHidden/>
          </w:rPr>
          <w:instrText xml:space="preserve"> PAGEREF _Toc236412143 \h </w:instrText>
        </w:r>
        <w:r>
          <w:rPr>
            <w:noProof/>
            <w:webHidden/>
          </w:rPr>
        </w:r>
        <w:r>
          <w:rPr>
            <w:noProof/>
            <w:webHidden/>
          </w:rPr>
          <w:fldChar w:fldCharType="separate"/>
        </w:r>
        <w:r>
          <w:rPr>
            <w:noProof/>
            <w:webHidden/>
          </w:rPr>
          <w:t>23</w:t>
        </w:r>
        <w:r>
          <w:rPr>
            <w:noProof/>
            <w:webHidden/>
          </w:rPr>
          <w:fldChar w:fldCharType="end"/>
        </w:r>
      </w:hyperlink>
    </w:p>
    <w:p w14:paraId="07D7E5DF" w14:textId="56FF94DD" w:rsidR="001044C9" w:rsidRDefault="001044C9">
      <w:pPr>
        <w:pStyle w:val="TOC2"/>
        <w:tabs>
          <w:tab w:val="right" w:leader="dot" w:pos="9350"/>
        </w:tabs>
        <w:rPr>
          <w:noProof/>
          <w:kern w:val="2"/>
          <w:sz w:val="24"/>
          <w:szCs w:val="24"/>
          <w:lang w:val="en-AU" w:eastAsia="en-AU"/>
          <w14:ligatures w14:val="standardContextual"/>
        </w:rPr>
      </w:pPr>
      <w:hyperlink w:anchor="_Toc236412144" w:history="1">
        <w:r w:rsidRPr="00380D7F">
          <w:rPr>
            <w:rStyle w:val="Hyperlink"/>
            <w:noProof/>
          </w:rPr>
          <w:t>7.5 Vendors now sell the managed layer directly</w:t>
        </w:r>
        <w:r>
          <w:rPr>
            <w:noProof/>
            <w:webHidden/>
          </w:rPr>
          <w:tab/>
        </w:r>
        <w:r>
          <w:rPr>
            <w:noProof/>
            <w:webHidden/>
          </w:rPr>
          <w:fldChar w:fldCharType="begin"/>
        </w:r>
        <w:r>
          <w:rPr>
            <w:noProof/>
            <w:webHidden/>
          </w:rPr>
          <w:instrText xml:space="preserve"> PAGEREF _Toc236412144 \h </w:instrText>
        </w:r>
        <w:r>
          <w:rPr>
            <w:noProof/>
            <w:webHidden/>
          </w:rPr>
        </w:r>
        <w:r>
          <w:rPr>
            <w:noProof/>
            <w:webHidden/>
          </w:rPr>
          <w:fldChar w:fldCharType="separate"/>
        </w:r>
        <w:r>
          <w:rPr>
            <w:noProof/>
            <w:webHidden/>
          </w:rPr>
          <w:t>24</w:t>
        </w:r>
        <w:r>
          <w:rPr>
            <w:noProof/>
            <w:webHidden/>
          </w:rPr>
          <w:fldChar w:fldCharType="end"/>
        </w:r>
      </w:hyperlink>
    </w:p>
    <w:p w14:paraId="009A4CCB" w14:textId="3A6F172C" w:rsidR="001044C9" w:rsidRDefault="001044C9">
      <w:pPr>
        <w:pStyle w:val="TOC2"/>
        <w:tabs>
          <w:tab w:val="right" w:leader="dot" w:pos="9350"/>
        </w:tabs>
        <w:rPr>
          <w:noProof/>
          <w:kern w:val="2"/>
          <w:sz w:val="24"/>
          <w:szCs w:val="24"/>
          <w:lang w:val="en-AU" w:eastAsia="en-AU"/>
          <w14:ligatures w14:val="standardContextual"/>
        </w:rPr>
      </w:pPr>
      <w:hyperlink w:anchor="_Toc236412145" w:history="1">
        <w:r w:rsidRPr="00380D7F">
          <w:rPr>
            <w:rStyle w:val="Hyperlink"/>
            <w:noProof/>
          </w:rPr>
          <w:t>7.6 The partner bull case, captured fairly</w:t>
        </w:r>
        <w:r>
          <w:rPr>
            <w:noProof/>
            <w:webHidden/>
          </w:rPr>
          <w:tab/>
        </w:r>
        <w:r>
          <w:rPr>
            <w:noProof/>
            <w:webHidden/>
          </w:rPr>
          <w:fldChar w:fldCharType="begin"/>
        </w:r>
        <w:r>
          <w:rPr>
            <w:noProof/>
            <w:webHidden/>
          </w:rPr>
          <w:instrText xml:space="preserve"> PAGEREF _Toc236412145 \h </w:instrText>
        </w:r>
        <w:r>
          <w:rPr>
            <w:noProof/>
            <w:webHidden/>
          </w:rPr>
        </w:r>
        <w:r>
          <w:rPr>
            <w:noProof/>
            <w:webHidden/>
          </w:rPr>
          <w:fldChar w:fldCharType="separate"/>
        </w:r>
        <w:r>
          <w:rPr>
            <w:noProof/>
            <w:webHidden/>
          </w:rPr>
          <w:t>24</w:t>
        </w:r>
        <w:r>
          <w:rPr>
            <w:noProof/>
            <w:webHidden/>
          </w:rPr>
          <w:fldChar w:fldCharType="end"/>
        </w:r>
      </w:hyperlink>
    </w:p>
    <w:p w14:paraId="3A80C4BD" w14:textId="5FB5892A" w:rsidR="001044C9" w:rsidRDefault="001044C9">
      <w:pPr>
        <w:pStyle w:val="TOC1"/>
        <w:tabs>
          <w:tab w:val="right" w:leader="dot" w:pos="9350"/>
        </w:tabs>
        <w:rPr>
          <w:noProof/>
          <w:kern w:val="2"/>
          <w:sz w:val="24"/>
          <w:szCs w:val="24"/>
          <w:lang w:val="en-AU" w:eastAsia="en-AU"/>
          <w14:ligatures w14:val="standardContextual"/>
        </w:rPr>
      </w:pPr>
      <w:hyperlink w:anchor="_Toc236412146" w:history="1">
        <w:r w:rsidRPr="00380D7F">
          <w:rPr>
            <w:rStyle w:val="Hyperlink"/>
            <w:noProof/>
          </w:rPr>
          <w:t>8. AI Impact Analysis, Platform Disintermediation and Security</w:t>
        </w:r>
        <w:r>
          <w:rPr>
            <w:noProof/>
            <w:webHidden/>
          </w:rPr>
          <w:tab/>
        </w:r>
        <w:r>
          <w:rPr>
            <w:noProof/>
            <w:webHidden/>
          </w:rPr>
          <w:fldChar w:fldCharType="begin"/>
        </w:r>
        <w:r>
          <w:rPr>
            <w:noProof/>
            <w:webHidden/>
          </w:rPr>
          <w:instrText xml:space="preserve"> PAGEREF _Toc236412146 \h </w:instrText>
        </w:r>
        <w:r>
          <w:rPr>
            <w:noProof/>
            <w:webHidden/>
          </w:rPr>
        </w:r>
        <w:r>
          <w:rPr>
            <w:noProof/>
            <w:webHidden/>
          </w:rPr>
          <w:fldChar w:fldCharType="separate"/>
        </w:r>
        <w:r>
          <w:rPr>
            <w:noProof/>
            <w:webHidden/>
          </w:rPr>
          <w:t>26</w:t>
        </w:r>
        <w:r>
          <w:rPr>
            <w:noProof/>
            <w:webHidden/>
          </w:rPr>
          <w:fldChar w:fldCharType="end"/>
        </w:r>
      </w:hyperlink>
    </w:p>
    <w:p w14:paraId="79085AF4" w14:textId="2ADD3682" w:rsidR="001044C9" w:rsidRDefault="001044C9">
      <w:pPr>
        <w:pStyle w:val="TOC2"/>
        <w:tabs>
          <w:tab w:val="right" w:leader="dot" w:pos="9350"/>
        </w:tabs>
        <w:rPr>
          <w:noProof/>
          <w:kern w:val="2"/>
          <w:sz w:val="24"/>
          <w:szCs w:val="24"/>
          <w:lang w:val="en-AU" w:eastAsia="en-AU"/>
          <w14:ligatures w14:val="standardContextual"/>
        </w:rPr>
      </w:pPr>
      <w:hyperlink w:anchor="_Toc236412147" w:history="1">
        <w:r w:rsidRPr="00380D7F">
          <w:rPr>
            <w:rStyle w:val="Hyperlink"/>
            <w:noProof/>
          </w:rPr>
          <w:t>8.1 What is measured, what is forecast, what is failing</w:t>
        </w:r>
        <w:r>
          <w:rPr>
            <w:noProof/>
            <w:webHidden/>
          </w:rPr>
          <w:tab/>
        </w:r>
        <w:r>
          <w:rPr>
            <w:noProof/>
            <w:webHidden/>
          </w:rPr>
          <w:fldChar w:fldCharType="begin"/>
        </w:r>
        <w:r>
          <w:rPr>
            <w:noProof/>
            <w:webHidden/>
          </w:rPr>
          <w:instrText xml:space="preserve"> PAGEREF _Toc236412147 \h </w:instrText>
        </w:r>
        <w:r>
          <w:rPr>
            <w:noProof/>
            <w:webHidden/>
          </w:rPr>
        </w:r>
        <w:r>
          <w:rPr>
            <w:noProof/>
            <w:webHidden/>
          </w:rPr>
          <w:fldChar w:fldCharType="separate"/>
        </w:r>
        <w:r>
          <w:rPr>
            <w:noProof/>
            <w:webHidden/>
          </w:rPr>
          <w:t>26</w:t>
        </w:r>
        <w:r>
          <w:rPr>
            <w:noProof/>
            <w:webHidden/>
          </w:rPr>
          <w:fldChar w:fldCharType="end"/>
        </w:r>
      </w:hyperlink>
    </w:p>
    <w:p w14:paraId="50963535" w14:textId="7FD24034" w:rsidR="001044C9" w:rsidRDefault="001044C9">
      <w:pPr>
        <w:pStyle w:val="TOC2"/>
        <w:tabs>
          <w:tab w:val="right" w:leader="dot" w:pos="9350"/>
        </w:tabs>
        <w:rPr>
          <w:noProof/>
          <w:kern w:val="2"/>
          <w:sz w:val="24"/>
          <w:szCs w:val="24"/>
          <w:lang w:val="en-AU" w:eastAsia="en-AU"/>
          <w14:ligatures w14:val="standardContextual"/>
        </w:rPr>
      </w:pPr>
      <w:hyperlink w:anchor="_Toc236412148" w:history="1">
        <w:r w:rsidRPr="00380D7F">
          <w:rPr>
            <w:rStyle w:val="Hyperlink"/>
            <w:noProof/>
          </w:rPr>
          <w:t>8.2 IDC's 2026 services outlook: from projects to platforms</w:t>
        </w:r>
        <w:r>
          <w:rPr>
            <w:noProof/>
            <w:webHidden/>
          </w:rPr>
          <w:tab/>
        </w:r>
        <w:r>
          <w:rPr>
            <w:noProof/>
            <w:webHidden/>
          </w:rPr>
          <w:fldChar w:fldCharType="begin"/>
        </w:r>
        <w:r>
          <w:rPr>
            <w:noProof/>
            <w:webHidden/>
          </w:rPr>
          <w:instrText xml:space="preserve"> PAGEREF _Toc236412148 \h </w:instrText>
        </w:r>
        <w:r>
          <w:rPr>
            <w:noProof/>
            <w:webHidden/>
          </w:rPr>
        </w:r>
        <w:r>
          <w:rPr>
            <w:noProof/>
            <w:webHidden/>
          </w:rPr>
          <w:fldChar w:fldCharType="separate"/>
        </w:r>
        <w:r>
          <w:rPr>
            <w:noProof/>
            <w:webHidden/>
          </w:rPr>
          <w:t>27</w:t>
        </w:r>
        <w:r>
          <w:rPr>
            <w:noProof/>
            <w:webHidden/>
          </w:rPr>
          <w:fldChar w:fldCharType="end"/>
        </w:r>
      </w:hyperlink>
    </w:p>
    <w:p w14:paraId="2D8401C1" w14:textId="5EC67603" w:rsidR="001044C9" w:rsidRDefault="001044C9">
      <w:pPr>
        <w:pStyle w:val="TOC2"/>
        <w:tabs>
          <w:tab w:val="right" w:leader="dot" w:pos="9350"/>
        </w:tabs>
        <w:rPr>
          <w:noProof/>
          <w:kern w:val="2"/>
          <w:sz w:val="24"/>
          <w:szCs w:val="24"/>
          <w:lang w:val="en-AU" w:eastAsia="en-AU"/>
          <w14:ligatures w14:val="standardContextual"/>
        </w:rPr>
      </w:pPr>
      <w:hyperlink w:anchor="_Toc236412149" w:history="1">
        <w:r w:rsidRPr="00380D7F">
          <w:rPr>
            <w:rStyle w:val="Hyperlink"/>
            <w:noProof/>
          </w:rPr>
          <w:t>8.3 Which MSP work is automatable</w:t>
        </w:r>
        <w:r>
          <w:rPr>
            <w:noProof/>
            <w:webHidden/>
          </w:rPr>
          <w:tab/>
        </w:r>
        <w:r>
          <w:rPr>
            <w:noProof/>
            <w:webHidden/>
          </w:rPr>
          <w:fldChar w:fldCharType="begin"/>
        </w:r>
        <w:r>
          <w:rPr>
            <w:noProof/>
            <w:webHidden/>
          </w:rPr>
          <w:instrText xml:space="preserve"> PAGEREF _Toc236412149 \h </w:instrText>
        </w:r>
        <w:r>
          <w:rPr>
            <w:noProof/>
            <w:webHidden/>
          </w:rPr>
        </w:r>
        <w:r>
          <w:rPr>
            <w:noProof/>
            <w:webHidden/>
          </w:rPr>
          <w:fldChar w:fldCharType="separate"/>
        </w:r>
        <w:r>
          <w:rPr>
            <w:noProof/>
            <w:webHidden/>
          </w:rPr>
          <w:t>27</w:t>
        </w:r>
        <w:r>
          <w:rPr>
            <w:noProof/>
            <w:webHidden/>
          </w:rPr>
          <w:fldChar w:fldCharType="end"/>
        </w:r>
      </w:hyperlink>
    </w:p>
    <w:p w14:paraId="3C44183D" w14:textId="61FE5577" w:rsidR="001044C9" w:rsidRDefault="001044C9">
      <w:pPr>
        <w:pStyle w:val="TOC2"/>
        <w:tabs>
          <w:tab w:val="right" w:leader="dot" w:pos="9350"/>
        </w:tabs>
        <w:rPr>
          <w:noProof/>
          <w:kern w:val="2"/>
          <w:sz w:val="24"/>
          <w:szCs w:val="24"/>
          <w:lang w:val="en-AU" w:eastAsia="en-AU"/>
          <w14:ligatures w14:val="standardContextual"/>
        </w:rPr>
      </w:pPr>
      <w:hyperlink w:anchor="_Toc236412150" w:history="1">
        <w:r w:rsidRPr="00380D7F">
          <w:rPr>
            <w:rStyle w:val="Hyperlink"/>
            <w:noProof/>
          </w:rPr>
          <w:t>8.4 Hyperscaler and SaaS disintermediation: the real threat is task absorption, not direct selling</w:t>
        </w:r>
        <w:r>
          <w:rPr>
            <w:noProof/>
            <w:webHidden/>
          </w:rPr>
          <w:tab/>
        </w:r>
        <w:r>
          <w:rPr>
            <w:noProof/>
            <w:webHidden/>
          </w:rPr>
          <w:fldChar w:fldCharType="begin"/>
        </w:r>
        <w:r>
          <w:rPr>
            <w:noProof/>
            <w:webHidden/>
          </w:rPr>
          <w:instrText xml:space="preserve"> PAGEREF _Toc236412150 \h </w:instrText>
        </w:r>
        <w:r>
          <w:rPr>
            <w:noProof/>
            <w:webHidden/>
          </w:rPr>
        </w:r>
        <w:r>
          <w:rPr>
            <w:noProof/>
            <w:webHidden/>
          </w:rPr>
          <w:fldChar w:fldCharType="separate"/>
        </w:r>
        <w:r>
          <w:rPr>
            <w:noProof/>
            <w:webHidden/>
          </w:rPr>
          <w:t>28</w:t>
        </w:r>
        <w:r>
          <w:rPr>
            <w:noProof/>
            <w:webHidden/>
          </w:rPr>
          <w:fldChar w:fldCharType="end"/>
        </w:r>
      </w:hyperlink>
    </w:p>
    <w:p w14:paraId="1B62AECF" w14:textId="282FDFB5" w:rsidR="001044C9" w:rsidRDefault="001044C9">
      <w:pPr>
        <w:pStyle w:val="TOC2"/>
        <w:tabs>
          <w:tab w:val="right" w:leader="dot" w:pos="9350"/>
        </w:tabs>
        <w:rPr>
          <w:noProof/>
          <w:kern w:val="2"/>
          <w:sz w:val="24"/>
          <w:szCs w:val="24"/>
          <w:lang w:val="en-AU" w:eastAsia="en-AU"/>
          <w14:ligatures w14:val="standardContextual"/>
        </w:rPr>
      </w:pPr>
      <w:hyperlink w:anchor="_Toc236412151" w:history="1">
        <w:r w:rsidRPr="00380D7F">
          <w:rPr>
            <w:rStyle w:val="Hyperlink"/>
            <w:noProof/>
          </w:rPr>
          <w:t>8.5 Security as a managed service: the strongest survival path, but not for generalists</w:t>
        </w:r>
        <w:r>
          <w:rPr>
            <w:noProof/>
            <w:webHidden/>
          </w:rPr>
          <w:tab/>
        </w:r>
        <w:r>
          <w:rPr>
            <w:noProof/>
            <w:webHidden/>
          </w:rPr>
          <w:fldChar w:fldCharType="begin"/>
        </w:r>
        <w:r>
          <w:rPr>
            <w:noProof/>
            <w:webHidden/>
          </w:rPr>
          <w:instrText xml:space="preserve"> PAGEREF _Toc236412151 \h </w:instrText>
        </w:r>
        <w:r>
          <w:rPr>
            <w:noProof/>
            <w:webHidden/>
          </w:rPr>
        </w:r>
        <w:r>
          <w:rPr>
            <w:noProof/>
            <w:webHidden/>
          </w:rPr>
          <w:fldChar w:fldCharType="separate"/>
        </w:r>
        <w:r>
          <w:rPr>
            <w:noProof/>
            <w:webHidden/>
          </w:rPr>
          <w:t>29</w:t>
        </w:r>
        <w:r>
          <w:rPr>
            <w:noProof/>
            <w:webHidden/>
          </w:rPr>
          <w:fldChar w:fldCharType="end"/>
        </w:r>
      </w:hyperlink>
    </w:p>
    <w:p w14:paraId="33D8FC17" w14:textId="2A404E47" w:rsidR="001044C9" w:rsidRDefault="001044C9">
      <w:pPr>
        <w:pStyle w:val="TOC2"/>
        <w:tabs>
          <w:tab w:val="right" w:leader="dot" w:pos="9350"/>
        </w:tabs>
        <w:rPr>
          <w:noProof/>
          <w:kern w:val="2"/>
          <w:sz w:val="24"/>
          <w:szCs w:val="24"/>
          <w:lang w:val="en-AU" w:eastAsia="en-AU"/>
          <w14:ligatures w14:val="standardContextual"/>
        </w:rPr>
      </w:pPr>
      <w:hyperlink w:anchor="_Toc236412152" w:history="1">
        <w:r w:rsidRPr="00380D7F">
          <w:rPr>
            <w:rStyle w:val="Hyperlink"/>
            <w:noProof/>
          </w:rPr>
          <w:t>8.6 Revenue, margin, staffing and organisational impact</w:t>
        </w:r>
        <w:r>
          <w:rPr>
            <w:noProof/>
            <w:webHidden/>
          </w:rPr>
          <w:tab/>
        </w:r>
        <w:r>
          <w:rPr>
            <w:noProof/>
            <w:webHidden/>
          </w:rPr>
          <w:fldChar w:fldCharType="begin"/>
        </w:r>
        <w:r>
          <w:rPr>
            <w:noProof/>
            <w:webHidden/>
          </w:rPr>
          <w:instrText xml:space="preserve"> PAGEREF _Toc236412152 \h </w:instrText>
        </w:r>
        <w:r>
          <w:rPr>
            <w:noProof/>
            <w:webHidden/>
          </w:rPr>
        </w:r>
        <w:r>
          <w:rPr>
            <w:noProof/>
            <w:webHidden/>
          </w:rPr>
          <w:fldChar w:fldCharType="separate"/>
        </w:r>
        <w:r>
          <w:rPr>
            <w:noProof/>
            <w:webHidden/>
          </w:rPr>
          <w:t>29</w:t>
        </w:r>
        <w:r>
          <w:rPr>
            <w:noProof/>
            <w:webHidden/>
          </w:rPr>
          <w:fldChar w:fldCharType="end"/>
        </w:r>
      </w:hyperlink>
    </w:p>
    <w:p w14:paraId="264BBD5F" w14:textId="43A5A9AF" w:rsidR="001044C9" w:rsidRDefault="001044C9">
      <w:pPr>
        <w:pStyle w:val="TOC2"/>
        <w:tabs>
          <w:tab w:val="right" w:leader="dot" w:pos="9350"/>
        </w:tabs>
        <w:rPr>
          <w:noProof/>
          <w:kern w:val="2"/>
          <w:sz w:val="24"/>
          <w:szCs w:val="24"/>
          <w:lang w:val="en-AU" w:eastAsia="en-AU"/>
          <w14:ligatures w14:val="standardContextual"/>
        </w:rPr>
      </w:pPr>
      <w:hyperlink w:anchor="_Toc236412153" w:history="1">
        <w:r w:rsidRPr="00380D7F">
          <w:rPr>
            <w:rStyle w:val="Hyperlink"/>
            <w:noProof/>
          </w:rPr>
          <w:t>8.7 Best-case and worst-case for MSPs</w:t>
        </w:r>
        <w:r>
          <w:rPr>
            <w:noProof/>
            <w:webHidden/>
          </w:rPr>
          <w:tab/>
        </w:r>
        <w:r>
          <w:rPr>
            <w:noProof/>
            <w:webHidden/>
          </w:rPr>
          <w:fldChar w:fldCharType="begin"/>
        </w:r>
        <w:r>
          <w:rPr>
            <w:noProof/>
            <w:webHidden/>
          </w:rPr>
          <w:instrText xml:space="preserve"> PAGEREF _Toc236412153 \h </w:instrText>
        </w:r>
        <w:r>
          <w:rPr>
            <w:noProof/>
            <w:webHidden/>
          </w:rPr>
        </w:r>
        <w:r>
          <w:rPr>
            <w:noProof/>
            <w:webHidden/>
          </w:rPr>
          <w:fldChar w:fldCharType="separate"/>
        </w:r>
        <w:r>
          <w:rPr>
            <w:noProof/>
            <w:webHidden/>
          </w:rPr>
          <w:t>30</w:t>
        </w:r>
        <w:r>
          <w:rPr>
            <w:noProof/>
            <w:webHidden/>
          </w:rPr>
          <w:fldChar w:fldCharType="end"/>
        </w:r>
      </w:hyperlink>
    </w:p>
    <w:p w14:paraId="42ACB622" w14:textId="4702D94D" w:rsidR="001044C9" w:rsidRDefault="001044C9">
      <w:pPr>
        <w:pStyle w:val="TOC1"/>
        <w:tabs>
          <w:tab w:val="right" w:leader="dot" w:pos="9350"/>
        </w:tabs>
        <w:rPr>
          <w:noProof/>
          <w:kern w:val="2"/>
          <w:sz w:val="24"/>
          <w:szCs w:val="24"/>
          <w:lang w:val="en-AU" w:eastAsia="en-AU"/>
          <w14:ligatures w14:val="standardContextual"/>
        </w:rPr>
      </w:pPr>
      <w:hyperlink w:anchor="_Toc236412154" w:history="1">
        <w:r w:rsidRPr="00380D7F">
          <w:rPr>
            <w:rStyle w:val="Hyperlink"/>
            <w:noProof/>
          </w:rPr>
          <w:t>9. Future Industry Scenarios</w:t>
        </w:r>
        <w:r>
          <w:rPr>
            <w:noProof/>
            <w:webHidden/>
          </w:rPr>
          <w:tab/>
        </w:r>
        <w:r>
          <w:rPr>
            <w:noProof/>
            <w:webHidden/>
          </w:rPr>
          <w:fldChar w:fldCharType="begin"/>
        </w:r>
        <w:r>
          <w:rPr>
            <w:noProof/>
            <w:webHidden/>
          </w:rPr>
          <w:instrText xml:space="preserve"> PAGEREF _Toc236412154 \h </w:instrText>
        </w:r>
        <w:r>
          <w:rPr>
            <w:noProof/>
            <w:webHidden/>
          </w:rPr>
        </w:r>
        <w:r>
          <w:rPr>
            <w:noProof/>
            <w:webHidden/>
          </w:rPr>
          <w:fldChar w:fldCharType="separate"/>
        </w:r>
        <w:r>
          <w:rPr>
            <w:noProof/>
            <w:webHidden/>
          </w:rPr>
          <w:t>31</w:t>
        </w:r>
        <w:r>
          <w:rPr>
            <w:noProof/>
            <w:webHidden/>
          </w:rPr>
          <w:fldChar w:fldCharType="end"/>
        </w:r>
      </w:hyperlink>
    </w:p>
    <w:p w14:paraId="76D42145" w14:textId="51F7EE95" w:rsidR="001044C9" w:rsidRDefault="001044C9">
      <w:pPr>
        <w:pStyle w:val="TOC2"/>
        <w:tabs>
          <w:tab w:val="right" w:leader="dot" w:pos="9350"/>
        </w:tabs>
        <w:rPr>
          <w:noProof/>
          <w:kern w:val="2"/>
          <w:sz w:val="24"/>
          <w:szCs w:val="24"/>
          <w:lang w:val="en-AU" w:eastAsia="en-AU"/>
          <w14:ligatures w14:val="standardContextual"/>
        </w:rPr>
      </w:pPr>
      <w:hyperlink w:anchor="_Toc236412155" w:history="1">
        <w:r w:rsidRPr="00380D7F">
          <w:rPr>
            <w:rStyle w:val="Hyperlink"/>
            <w:noProof/>
          </w:rPr>
          <w:t>9.1 How customer buying behaviour is changing</w:t>
        </w:r>
        <w:r>
          <w:rPr>
            <w:noProof/>
            <w:webHidden/>
          </w:rPr>
          <w:tab/>
        </w:r>
        <w:r>
          <w:rPr>
            <w:noProof/>
            <w:webHidden/>
          </w:rPr>
          <w:fldChar w:fldCharType="begin"/>
        </w:r>
        <w:r>
          <w:rPr>
            <w:noProof/>
            <w:webHidden/>
          </w:rPr>
          <w:instrText xml:space="preserve"> PAGEREF _Toc236412155 \h </w:instrText>
        </w:r>
        <w:r>
          <w:rPr>
            <w:noProof/>
            <w:webHidden/>
          </w:rPr>
        </w:r>
        <w:r>
          <w:rPr>
            <w:noProof/>
            <w:webHidden/>
          </w:rPr>
          <w:fldChar w:fldCharType="separate"/>
        </w:r>
        <w:r>
          <w:rPr>
            <w:noProof/>
            <w:webHidden/>
          </w:rPr>
          <w:t>31</w:t>
        </w:r>
        <w:r>
          <w:rPr>
            <w:noProof/>
            <w:webHidden/>
          </w:rPr>
          <w:fldChar w:fldCharType="end"/>
        </w:r>
      </w:hyperlink>
    </w:p>
    <w:p w14:paraId="430D5BFD" w14:textId="28466FEC" w:rsidR="001044C9" w:rsidRDefault="001044C9">
      <w:pPr>
        <w:pStyle w:val="TOC2"/>
        <w:tabs>
          <w:tab w:val="right" w:leader="dot" w:pos="9350"/>
        </w:tabs>
        <w:rPr>
          <w:noProof/>
          <w:kern w:val="2"/>
          <w:sz w:val="24"/>
          <w:szCs w:val="24"/>
          <w:lang w:val="en-AU" w:eastAsia="en-AU"/>
          <w14:ligatures w14:val="standardContextual"/>
        </w:rPr>
      </w:pPr>
      <w:hyperlink w:anchor="_Toc236412156" w:history="1">
        <w:r w:rsidRPr="00380D7F">
          <w:rPr>
            <w:rStyle w:val="Hyperlink"/>
            <w:noProof/>
          </w:rPr>
          <w:t>9.2 Lessons from other industries</w:t>
        </w:r>
        <w:r>
          <w:rPr>
            <w:noProof/>
            <w:webHidden/>
          </w:rPr>
          <w:tab/>
        </w:r>
        <w:r>
          <w:rPr>
            <w:noProof/>
            <w:webHidden/>
          </w:rPr>
          <w:fldChar w:fldCharType="begin"/>
        </w:r>
        <w:r>
          <w:rPr>
            <w:noProof/>
            <w:webHidden/>
          </w:rPr>
          <w:instrText xml:space="preserve"> PAGEREF _Toc236412156 \h </w:instrText>
        </w:r>
        <w:r>
          <w:rPr>
            <w:noProof/>
            <w:webHidden/>
          </w:rPr>
        </w:r>
        <w:r>
          <w:rPr>
            <w:noProof/>
            <w:webHidden/>
          </w:rPr>
          <w:fldChar w:fldCharType="separate"/>
        </w:r>
        <w:r>
          <w:rPr>
            <w:noProof/>
            <w:webHidden/>
          </w:rPr>
          <w:t>31</w:t>
        </w:r>
        <w:r>
          <w:rPr>
            <w:noProof/>
            <w:webHidden/>
          </w:rPr>
          <w:fldChar w:fldCharType="end"/>
        </w:r>
      </w:hyperlink>
    </w:p>
    <w:p w14:paraId="728EBF91" w14:textId="11E913E8" w:rsidR="001044C9" w:rsidRDefault="001044C9">
      <w:pPr>
        <w:pStyle w:val="TOC2"/>
        <w:tabs>
          <w:tab w:val="right" w:leader="dot" w:pos="9350"/>
        </w:tabs>
        <w:rPr>
          <w:noProof/>
          <w:kern w:val="2"/>
          <w:sz w:val="24"/>
          <w:szCs w:val="24"/>
          <w:lang w:val="en-AU" w:eastAsia="en-AU"/>
          <w14:ligatures w14:val="standardContextual"/>
        </w:rPr>
      </w:pPr>
      <w:hyperlink w:anchor="_Toc236412157" w:history="1">
        <w:r w:rsidRPr="00380D7F">
          <w:rPr>
            <w:rStyle w:val="Hyperlink"/>
            <w:noProof/>
          </w:rPr>
          <w:t>9.3 Three scenarios to 2030 — is the model viable?</w:t>
        </w:r>
        <w:r>
          <w:rPr>
            <w:noProof/>
            <w:webHidden/>
          </w:rPr>
          <w:tab/>
        </w:r>
        <w:r>
          <w:rPr>
            <w:noProof/>
            <w:webHidden/>
          </w:rPr>
          <w:fldChar w:fldCharType="begin"/>
        </w:r>
        <w:r>
          <w:rPr>
            <w:noProof/>
            <w:webHidden/>
          </w:rPr>
          <w:instrText xml:space="preserve"> PAGEREF _Toc236412157 \h </w:instrText>
        </w:r>
        <w:r>
          <w:rPr>
            <w:noProof/>
            <w:webHidden/>
          </w:rPr>
        </w:r>
        <w:r>
          <w:rPr>
            <w:noProof/>
            <w:webHidden/>
          </w:rPr>
          <w:fldChar w:fldCharType="separate"/>
        </w:r>
        <w:r>
          <w:rPr>
            <w:noProof/>
            <w:webHidden/>
          </w:rPr>
          <w:t>32</w:t>
        </w:r>
        <w:r>
          <w:rPr>
            <w:noProof/>
            <w:webHidden/>
          </w:rPr>
          <w:fldChar w:fldCharType="end"/>
        </w:r>
      </w:hyperlink>
    </w:p>
    <w:p w14:paraId="69580287" w14:textId="5A9FA18A" w:rsidR="001044C9" w:rsidRDefault="001044C9">
      <w:pPr>
        <w:pStyle w:val="TOC2"/>
        <w:tabs>
          <w:tab w:val="right" w:leader="dot" w:pos="9350"/>
        </w:tabs>
        <w:rPr>
          <w:noProof/>
          <w:kern w:val="2"/>
          <w:sz w:val="24"/>
          <w:szCs w:val="24"/>
          <w:lang w:val="en-AU" w:eastAsia="en-AU"/>
          <w14:ligatures w14:val="standardContextual"/>
        </w:rPr>
      </w:pPr>
      <w:hyperlink w:anchor="_Toc236412158" w:history="1">
        <w:r w:rsidRPr="00380D7F">
          <w:rPr>
            <w:rStyle w:val="Hyperlink"/>
            <w:noProof/>
          </w:rPr>
          <w:t>9.4 Most likely outcome — the fate of today's MSPs</w:t>
        </w:r>
        <w:r>
          <w:rPr>
            <w:noProof/>
            <w:webHidden/>
          </w:rPr>
          <w:tab/>
        </w:r>
        <w:r>
          <w:rPr>
            <w:noProof/>
            <w:webHidden/>
          </w:rPr>
          <w:fldChar w:fldCharType="begin"/>
        </w:r>
        <w:r>
          <w:rPr>
            <w:noProof/>
            <w:webHidden/>
          </w:rPr>
          <w:instrText xml:space="preserve"> PAGEREF _Toc236412158 \h </w:instrText>
        </w:r>
        <w:r>
          <w:rPr>
            <w:noProof/>
            <w:webHidden/>
          </w:rPr>
        </w:r>
        <w:r>
          <w:rPr>
            <w:noProof/>
            <w:webHidden/>
          </w:rPr>
          <w:fldChar w:fldCharType="separate"/>
        </w:r>
        <w:r>
          <w:rPr>
            <w:noProof/>
            <w:webHidden/>
          </w:rPr>
          <w:t>34</w:t>
        </w:r>
        <w:r>
          <w:rPr>
            <w:noProof/>
            <w:webHidden/>
          </w:rPr>
          <w:fldChar w:fldCharType="end"/>
        </w:r>
      </w:hyperlink>
    </w:p>
    <w:p w14:paraId="7065E1C3" w14:textId="12180510" w:rsidR="001044C9" w:rsidRDefault="001044C9">
      <w:pPr>
        <w:pStyle w:val="TOC1"/>
        <w:tabs>
          <w:tab w:val="right" w:leader="dot" w:pos="9350"/>
        </w:tabs>
        <w:rPr>
          <w:noProof/>
          <w:kern w:val="2"/>
          <w:sz w:val="24"/>
          <w:szCs w:val="24"/>
          <w:lang w:val="en-AU" w:eastAsia="en-AU"/>
          <w14:ligatures w14:val="standardContextual"/>
        </w:rPr>
      </w:pPr>
      <w:hyperlink w:anchor="_Toc236412159" w:history="1">
        <w:r w:rsidRPr="00380D7F">
          <w:rPr>
            <w:rStyle w:val="Hyperlink"/>
            <w:noProof/>
          </w:rPr>
          <w:t>10. Transformation Framework</w:t>
        </w:r>
        <w:r>
          <w:rPr>
            <w:noProof/>
            <w:webHidden/>
          </w:rPr>
          <w:tab/>
        </w:r>
        <w:r>
          <w:rPr>
            <w:noProof/>
            <w:webHidden/>
          </w:rPr>
          <w:fldChar w:fldCharType="begin"/>
        </w:r>
        <w:r>
          <w:rPr>
            <w:noProof/>
            <w:webHidden/>
          </w:rPr>
          <w:instrText xml:space="preserve"> PAGEREF _Toc236412159 \h </w:instrText>
        </w:r>
        <w:r>
          <w:rPr>
            <w:noProof/>
            <w:webHidden/>
          </w:rPr>
        </w:r>
        <w:r>
          <w:rPr>
            <w:noProof/>
            <w:webHidden/>
          </w:rPr>
          <w:fldChar w:fldCharType="separate"/>
        </w:r>
        <w:r>
          <w:rPr>
            <w:noProof/>
            <w:webHidden/>
          </w:rPr>
          <w:t>35</w:t>
        </w:r>
        <w:r>
          <w:rPr>
            <w:noProof/>
            <w:webHidden/>
          </w:rPr>
          <w:fldChar w:fldCharType="end"/>
        </w:r>
      </w:hyperlink>
    </w:p>
    <w:p w14:paraId="0F92E530" w14:textId="57BD373A" w:rsidR="001044C9" w:rsidRDefault="001044C9">
      <w:pPr>
        <w:pStyle w:val="TOC2"/>
        <w:tabs>
          <w:tab w:val="right" w:leader="dot" w:pos="9350"/>
        </w:tabs>
        <w:rPr>
          <w:noProof/>
          <w:kern w:val="2"/>
          <w:sz w:val="24"/>
          <w:szCs w:val="24"/>
          <w:lang w:val="en-AU" w:eastAsia="en-AU"/>
          <w14:ligatures w14:val="standardContextual"/>
        </w:rPr>
      </w:pPr>
      <w:hyperlink w:anchor="_Toc236412160" w:history="1">
        <w:r w:rsidRPr="00380D7F">
          <w:rPr>
            <w:rStyle w:val="Hyperlink"/>
            <w:noProof/>
          </w:rPr>
          <w:t>10.1 Operating-model maturity ladder</w:t>
        </w:r>
        <w:r>
          <w:rPr>
            <w:noProof/>
            <w:webHidden/>
          </w:rPr>
          <w:tab/>
        </w:r>
        <w:r>
          <w:rPr>
            <w:noProof/>
            <w:webHidden/>
          </w:rPr>
          <w:fldChar w:fldCharType="begin"/>
        </w:r>
        <w:r>
          <w:rPr>
            <w:noProof/>
            <w:webHidden/>
          </w:rPr>
          <w:instrText xml:space="preserve"> PAGEREF _Toc236412160 \h </w:instrText>
        </w:r>
        <w:r>
          <w:rPr>
            <w:noProof/>
            <w:webHidden/>
          </w:rPr>
        </w:r>
        <w:r>
          <w:rPr>
            <w:noProof/>
            <w:webHidden/>
          </w:rPr>
          <w:fldChar w:fldCharType="separate"/>
        </w:r>
        <w:r>
          <w:rPr>
            <w:noProof/>
            <w:webHidden/>
          </w:rPr>
          <w:t>36</w:t>
        </w:r>
        <w:r>
          <w:rPr>
            <w:noProof/>
            <w:webHidden/>
          </w:rPr>
          <w:fldChar w:fldCharType="end"/>
        </w:r>
      </w:hyperlink>
    </w:p>
    <w:p w14:paraId="116F12EB" w14:textId="45A0EB2D" w:rsidR="001044C9" w:rsidRDefault="001044C9">
      <w:pPr>
        <w:pStyle w:val="TOC1"/>
        <w:tabs>
          <w:tab w:val="right" w:leader="dot" w:pos="9350"/>
        </w:tabs>
        <w:rPr>
          <w:noProof/>
          <w:kern w:val="2"/>
          <w:sz w:val="24"/>
          <w:szCs w:val="24"/>
          <w:lang w:val="en-AU" w:eastAsia="en-AU"/>
          <w14:ligatures w14:val="standardContextual"/>
        </w:rPr>
      </w:pPr>
      <w:hyperlink w:anchor="_Toc236412161" w:history="1">
        <w:r w:rsidRPr="00380D7F">
          <w:rPr>
            <w:rStyle w:val="Hyperlink"/>
            <w:noProof/>
          </w:rPr>
          <w:t>11. Recommended Actions — A Transformation Roadmap</w:t>
        </w:r>
        <w:r>
          <w:rPr>
            <w:noProof/>
            <w:webHidden/>
          </w:rPr>
          <w:tab/>
        </w:r>
        <w:r>
          <w:rPr>
            <w:noProof/>
            <w:webHidden/>
          </w:rPr>
          <w:fldChar w:fldCharType="begin"/>
        </w:r>
        <w:r>
          <w:rPr>
            <w:noProof/>
            <w:webHidden/>
          </w:rPr>
          <w:instrText xml:space="preserve"> PAGEREF _Toc236412161 \h </w:instrText>
        </w:r>
        <w:r>
          <w:rPr>
            <w:noProof/>
            <w:webHidden/>
          </w:rPr>
        </w:r>
        <w:r>
          <w:rPr>
            <w:noProof/>
            <w:webHidden/>
          </w:rPr>
          <w:fldChar w:fldCharType="separate"/>
        </w:r>
        <w:r>
          <w:rPr>
            <w:noProof/>
            <w:webHidden/>
          </w:rPr>
          <w:t>38</w:t>
        </w:r>
        <w:r>
          <w:rPr>
            <w:noProof/>
            <w:webHidden/>
          </w:rPr>
          <w:fldChar w:fldCharType="end"/>
        </w:r>
      </w:hyperlink>
    </w:p>
    <w:p w14:paraId="6D3588DA" w14:textId="257796AF" w:rsidR="001044C9" w:rsidRDefault="001044C9">
      <w:pPr>
        <w:pStyle w:val="TOC2"/>
        <w:tabs>
          <w:tab w:val="right" w:leader="dot" w:pos="9350"/>
        </w:tabs>
        <w:rPr>
          <w:noProof/>
          <w:kern w:val="2"/>
          <w:sz w:val="24"/>
          <w:szCs w:val="24"/>
          <w:lang w:val="en-AU" w:eastAsia="en-AU"/>
          <w14:ligatures w14:val="standardContextual"/>
        </w:rPr>
      </w:pPr>
      <w:hyperlink w:anchor="_Toc236412162" w:history="1">
        <w:r w:rsidRPr="00380D7F">
          <w:rPr>
            <w:rStyle w:val="Hyperlink"/>
            <w:noProof/>
          </w:rPr>
          <w:t>11.1 Service evolution (what to sell)</w:t>
        </w:r>
        <w:r>
          <w:rPr>
            <w:noProof/>
            <w:webHidden/>
          </w:rPr>
          <w:tab/>
        </w:r>
        <w:r>
          <w:rPr>
            <w:noProof/>
            <w:webHidden/>
          </w:rPr>
          <w:fldChar w:fldCharType="begin"/>
        </w:r>
        <w:r>
          <w:rPr>
            <w:noProof/>
            <w:webHidden/>
          </w:rPr>
          <w:instrText xml:space="preserve"> PAGEREF _Toc236412162 \h </w:instrText>
        </w:r>
        <w:r>
          <w:rPr>
            <w:noProof/>
            <w:webHidden/>
          </w:rPr>
        </w:r>
        <w:r>
          <w:rPr>
            <w:noProof/>
            <w:webHidden/>
          </w:rPr>
          <w:fldChar w:fldCharType="separate"/>
        </w:r>
        <w:r>
          <w:rPr>
            <w:noProof/>
            <w:webHidden/>
          </w:rPr>
          <w:t>38</w:t>
        </w:r>
        <w:r>
          <w:rPr>
            <w:noProof/>
            <w:webHidden/>
          </w:rPr>
          <w:fldChar w:fldCharType="end"/>
        </w:r>
      </w:hyperlink>
    </w:p>
    <w:p w14:paraId="39CFF7F9" w14:textId="604E0903" w:rsidR="001044C9" w:rsidRDefault="001044C9">
      <w:pPr>
        <w:pStyle w:val="TOC2"/>
        <w:tabs>
          <w:tab w:val="right" w:leader="dot" w:pos="9350"/>
        </w:tabs>
        <w:rPr>
          <w:noProof/>
          <w:kern w:val="2"/>
          <w:sz w:val="24"/>
          <w:szCs w:val="24"/>
          <w:lang w:val="en-AU" w:eastAsia="en-AU"/>
          <w14:ligatures w14:val="standardContextual"/>
        </w:rPr>
      </w:pPr>
      <w:hyperlink w:anchor="_Toc236412163" w:history="1">
        <w:r w:rsidRPr="00380D7F">
          <w:rPr>
            <w:rStyle w:val="Hyperlink"/>
            <w:noProof/>
          </w:rPr>
          <w:t>11.2 Operational evolution (how to deliver)</w:t>
        </w:r>
        <w:r>
          <w:rPr>
            <w:noProof/>
            <w:webHidden/>
          </w:rPr>
          <w:tab/>
        </w:r>
        <w:r>
          <w:rPr>
            <w:noProof/>
            <w:webHidden/>
          </w:rPr>
          <w:fldChar w:fldCharType="begin"/>
        </w:r>
        <w:r>
          <w:rPr>
            <w:noProof/>
            <w:webHidden/>
          </w:rPr>
          <w:instrText xml:space="preserve"> PAGEREF _Toc236412163 \h </w:instrText>
        </w:r>
        <w:r>
          <w:rPr>
            <w:noProof/>
            <w:webHidden/>
          </w:rPr>
        </w:r>
        <w:r>
          <w:rPr>
            <w:noProof/>
            <w:webHidden/>
          </w:rPr>
          <w:fldChar w:fldCharType="separate"/>
        </w:r>
        <w:r>
          <w:rPr>
            <w:noProof/>
            <w:webHidden/>
          </w:rPr>
          <w:t>38</w:t>
        </w:r>
        <w:r>
          <w:rPr>
            <w:noProof/>
            <w:webHidden/>
          </w:rPr>
          <w:fldChar w:fldCharType="end"/>
        </w:r>
      </w:hyperlink>
    </w:p>
    <w:p w14:paraId="7A68F122" w14:textId="59AA23F5" w:rsidR="001044C9" w:rsidRDefault="001044C9">
      <w:pPr>
        <w:pStyle w:val="TOC2"/>
        <w:tabs>
          <w:tab w:val="right" w:leader="dot" w:pos="9350"/>
        </w:tabs>
        <w:rPr>
          <w:noProof/>
          <w:kern w:val="2"/>
          <w:sz w:val="24"/>
          <w:szCs w:val="24"/>
          <w:lang w:val="en-AU" w:eastAsia="en-AU"/>
          <w14:ligatures w14:val="standardContextual"/>
        </w:rPr>
      </w:pPr>
      <w:hyperlink w:anchor="_Toc236412164" w:history="1">
        <w:r w:rsidRPr="00380D7F">
          <w:rPr>
            <w:rStyle w:val="Hyperlink"/>
            <w:noProof/>
          </w:rPr>
          <w:t>11.3 Commercial evolution (how to price)</w:t>
        </w:r>
        <w:r>
          <w:rPr>
            <w:noProof/>
            <w:webHidden/>
          </w:rPr>
          <w:tab/>
        </w:r>
        <w:r>
          <w:rPr>
            <w:noProof/>
            <w:webHidden/>
          </w:rPr>
          <w:fldChar w:fldCharType="begin"/>
        </w:r>
        <w:r>
          <w:rPr>
            <w:noProof/>
            <w:webHidden/>
          </w:rPr>
          <w:instrText xml:space="preserve"> PAGEREF _Toc236412164 \h </w:instrText>
        </w:r>
        <w:r>
          <w:rPr>
            <w:noProof/>
            <w:webHidden/>
          </w:rPr>
        </w:r>
        <w:r>
          <w:rPr>
            <w:noProof/>
            <w:webHidden/>
          </w:rPr>
          <w:fldChar w:fldCharType="separate"/>
        </w:r>
        <w:r>
          <w:rPr>
            <w:noProof/>
            <w:webHidden/>
          </w:rPr>
          <w:t>38</w:t>
        </w:r>
        <w:r>
          <w:rPr>
            <w:noProof/>
            <w:webHidden/>
          </w:rPr>
          <w:fldChar w:fldCharType="end"/>
        </w:r>
      </w:hyperlink>
    </w:p>
    <w:p w14:paraId="26F791D9" w14:textId="7AF48D5B" w:rsidR="001044C9" w:rsidRDefault="001044C9">
      <w:pPr>
        <w:pStyle w:val="TOC2"/>
        <w:tabs>
          <w:tab w:val="right" w:leader="dot" w:pos="9350"/>
        </w:tabs>
        <w:rPr>
          <w:noProof/>
          <w:kern w:val="2"/>
          <w:sz w:val="24"/>
          <w:szCs w:val="24"/>
          <w:lang w:val="en-AU" w:eastAsia="en-AU"/>
          <w14:ligatures w14:val="standardContextual"/>
        </w:rPr>
      </w:pPr>
      <w:hyperlink w:anchor="_Toc236412165" w:history="1">
        <w:r w:rsidRPr="00380D7F">
          <w:rPr>
            <w:rStyle w:val="Hyperlink"/>
            <w:noProof/>
          </w:rPr>
          <w:t>11.4 The 90-day starting sequence</w:t>
        </w:r>
        <w:r>
          <w:rPr>
            <w:noProof/>
            <w:webHidden/>
          </w:rPr>
          <w:tab/>
        </w:r>
        <w:r>
          <w:rPr>
            <w:noProof/>
            <w:webHidden/>
          </w:rPr>
          <w:fldChar w:fldCharType="begin"/>
        </w:r>
        <w:r>
          <w:rPr>
            <w:noProof/>
            <w:webHidden/>
          </w:rPr>
          <w:instrText xml:space="preserve"> PAGEREF _Toc236412165 \h </w:instrText>
        </w:r>
        <w:r>
          <w:rPr>
            <w:noProof/>
            <w:webHidden/>
          </w:rPr>
        </w:r>
        <w:r>
          <w:rPr>
            <w:noProof/>
            <w:webHidden/>
          </w:rPr>
          <w:fldChar w:fldCharType="separate"/>
        </w:r>
        <w:r>
          <w:rPr>
            <w:noProof/>
            <w:webHidden/>
          </w:rPr>
          <w:t>39</w:t>
        </w:r>
        <w:r>
          <w:rPr>
            <w:noProof/>
            <w:webHidden/>
          </w:rPr>
          <w:fldChar w:fldCharType="end"/>
        </w:r>
      </w:hyperlink>
    </w:p>
    <w:p w14:paraId="02A30C46" w14:textId="30D84AAD" w:rsidR="001044C9" w:rsidRDefault="001044C9">
      <w:pPr>
        <w:pStyle w:val="TOC1"/>
        <w:tabs>
          <w:tab w:val="right" w:leader="dot" w:pos="9350"/>
        </w:tabs>
        <w:rPr>
          <w:noProof/>
          <w:kern w:val="2"/>
          <w:sz w:val="24"/>
          <w:szCs w:val="24"/>
          <w:lang w:val="en-AU" w:eastAsia="en-AU"/>
          <w14:ligatures w14:val="standardContextual"/>
        </w:rPr>
      </w:pPr>
      <w:hyperlink w:anchor="_Toc236412166" w:history="1">
        <w:r w:rsidRPr="00380D7F">
          <w:rPr>
            <w:rStyle w:val="Hyperlink"/>
            <w:noProof/>
          </w:rPr>
          <w:t>12. Risks and Counterarguments</w:t>
        </w:r>
        <w:r>
          <w:rPr>
            <w:noProof/>
            <w:webHidden/>
          </w:rPr>
          <w:tab/>
        </w:r>
        <w:r>
          <w:rPr>
            <w:noProof/>
            <w:webHidden/>
          </w:rPr>
          <w:fldChar w:fldCharType="begin"/>
        </w:r>
        <w:r>
          <w:rPr>
            <w:noProof/>
            <w:webHidden/>
          </w:rPr>
          <w:instrText xml:space="preserve"> PAGEREF _Toc236412166 \h </w:instrText>
        </w:r>
        <w:r>
          <w:rPr>
            <w:noProof/>
            <w:webHidden/>
          </w:rPr>
        </w:r>
        <w:r>
          <w:rPr>
            <w:noProof/>
            <w:webHidden/>
          </w:rPr>
          <w:fldChar w:fldCharType="separate"/>
        </w:r>
        <w:r>
          <w:rPr>
            <w:noProof/>
            <w:webHidden/>
          </w:rPr>
          <w:t>40</w:t>
        </w:r>
        <w:r>
          <w:rPr>
            <w:noProof/>
            <w:webHidden/>
          </w:rPr>
          <w:fldChar w:fldCharType="end"/>
        </w:r>
      </w:hyperlink>
    </w:p>
    <w:p w14:paraId="441A961F" w14:textId="742A06BE" w:rsidR="001044C9" w:rsidRDefault="001044C9">
      <w:pPr>
        <w:pStyle w:val="TOC2"/>
        <w:tabs>
          <w:tab w:val="right" w:leader="dot" w:pos="9350"/>
        </w:tabs>
        <w:rPr>
          <w:noProof/>
          <w:kern w:val="2"/>
          <w:sz w:val="24"/>
          <w:szCs w:val="24"/>
          <w:lang w:val="en-AU" w:eastAsia="en-AU"/>
          <w14:ligatures w14:val="standardContextual"/>
        </w:rPr>
      </w:pPr>
      <w:hyperlink w:anchor="_Toc236412167" w:history="1">
        <w:r w:rsidRPr="00380D7F">
          <w:rPr>
            <w:rStyle w:val="Hyperlink"/>
            <w:noProof/>
          </w:rPr>
          <w:t>12.1 Arguments supporting MSP survival</w:t>
        </w:r>
        <w:r>
          <w:rPr>
            <w:noProof/>
            <w:webHidden/>
          </w:rPr>
          <w:tab/>
        </w:r>
        <w:r>
          <w:rPr>
            <w:noProof/>
            <w:webHidden/>
          </w:rPr>
          <w:fldChar w:fldCharType="begin"/>
        </w:r>
        <w:r>
          <w:rPr>
            <w:noProof/>
            <w:webHidden/>
          </w:rPr>
          <w:instrText xml:space="preserve"> PAGEREF _Toc236412167 \h </w:instrText>
        </w:r>
        <w:r>
          <w:rPr>
            <w:noProof/>
            <w:webHidden/>
          </w:rPr>
        </w:r>
        <w:r>
          <w:rPr>
            <w:noProof/>
            <w:webHidden/>
          </w:rPr>
          <w:fldChar w:fldCharType="separate"/>
        </w:r>
        <w:r>
          <w:rPr>
            <w:noProof/>
            <w:webHidden/>
          </w:rPr>
          <w:t>40</w:t>
        </w:r>
        <w:r>
          <w:rPr>
            <w:noProof/>
            <w:webHidden/>
          </w:rPr>
          <w:fldChar w:fldCharType="end"/>
        </w:r>
      </w:hyperlink>
    </w:p>
    <w:p w14:paraId="4AFE020C" w14:textId="538C9038" w:rsidR="001044C9" w:rsidRDefault="001044C9">
      <w:pPr>
        <w:pStyle w:val="TOC2"/>
        <w:tabs>
          <w:tab w:val="right" w:leader="dot" w:pos="9350"/>
        </w:tabs>
        <w:rPr>
          <w:noProof/>
          <w:kern w:val="2"/>
          <w:sz w:val="24"/>
          <w:szCs w:val="24"/>
          <w:lang w:val="en-AU" w:eastAsia="en-AU"/>
          <w14:ligatures w14:val="standardContextual"/>
        </w:rPr>
      </w:pPr>
      <w:hyperlink w:anchor="_Toc236412168" w:history="1">
        <w:r w:rsidRPr="00380D7F">
          <w:rPr>
            <w:rStyle w:val="Hyperlink"/>
            <w:noProof/>
          </w:rPr>
          <w:t>12.2 Arguments supporting MSP disruption</w:t>
        </w:r>
        <w:r>
          <w:rPr>
            <w:noProof/>
            <w:webHidden/>
          </w:rPr>
          <w:tab/>
        </w:r>
        <w:r>
          <w:rPr>
            <w:noProof/>
            <w:webHidden/>
          </w:rPr>
          <w:fldChar w:fldCharType="begin"/>
        </w:r>
        <w:r>
          <w:rPr>
            <w:noProof/>
            <w:webHidden/>
          </w:rPr>
          <w:instrText xml:space="preserve"> PAGEREF _Toc236412168 \h </w:instrText>
        </w:r>
        <w:r>
          <w:rPr>
            <w:noProof/>
            <w:webHidden/>
          </w:rPr>
        </w:r>
        <w:r>
          <w:rPr>
            <w:noProof/>
            <w:webHidden/>
          </w:rPr>
          <w:fldChar w:fldCharType="separate"/>
        </w:r>
        <w:r>
          <w:rPr>
            <w:noProof/>
            <w:webHidden/>
          </w:rPr>
          <w:t>40</w:t>
        </w:r>
        <w:r>
          <w:rPr>
            <w:noProof/>
            <w:webHidden/>
          </w:rPr>
          <w:fldChar w:fldCharType="end"/>
        </w:r>
      </w:hyperlink>
    </w:p>
    <w:p w14:paraId="0DA16E97" w14:textId="6733E3B0" w:rsidR="001044C9" w:rsidRDefault="001044C9">
      <w:pPr>
        <w:pStyle w:val="TOC2"/>
        <w:tabs>
          <w:tab w:val="right" w:leader="dot" w:pos="9350"/>
        </w:tabs>
        <w:rPr>
          <w:noProof/>
          <w:kern w:val="2"/>
          <w:sz w:val="24"/>
          <w:szCs w:val="24"/>
          <w:lang w:val="en-AU" w:eastAsia="en-AU"/>
          <w14:ligatures w14:val="standardContextual"/>
        </w:rPr>
      </w:pPr>
      <w:hyperlink w:anchor="_Toc236412169" w:history="1">
        <w:r w:rsidRPr="00380D7F">
          <w:rPr>
            <w:rStyle w:val="Hyperlink"/>
            <w:noProof/>
          </w:rPr>
          <w:t>12.3 Common owner objections — and the honest rebuttal</w:t>
        </w:r>
        <w:r>
          <w:rPr>
            <w:noProof/>
            <w:webHidden/>
          </w:rPr>
          <w:tab/>
        </w:r>
        <w:r>
          <w:rPr>
            <w:noProof/>
            <w:webHidden/>
          </w:rPr>
          <w:fldChar w:fldCharType="begin"/>
        </w:r>
        <w:r>
          <w:rPr>
            <w:noProof/>
            <w:webHidden/>
          </w:rPr>
          <w:instrText xml:space="preserve"> PAGEREF _Toc236412169 \h </w:instrText>
        </w:r>
        <w:r>
          <w:rPr>
            <w:noProof/>
            <w:webHidden/>
          </w:rPr>
        </w:r>
        <w:r>
          <w:rPr>
            <w:noProof/>
            <w:webHidden/>
          </w:rPr>
          <w:fldChar w:fldCharType="separate"/>
        </w:r>
        <w:r>
          <w:rPr>
            <w:noProof/>
            <w:webHidden/>
          </w:rPr>
          <w:t>41</w:t>
        </w:r>
        <w:r>
          <w:rPr>
            <w:noProof/>
            <w:webHidden/>
          </w:rPr>
          <w:fldChar w:fldCharType="end"/>
        </w:r>
      </w:hyperlink>
    </w:p>
    <w:p w14:paraId="051C3D5F" w14:textId="7E8DAFF4" w:rsidR="001044C9" w:rsidRDefault="001044C9">
      <w:pPr>
        <w:pStyle w:val="TOC2"/>
        <w:tabs>
          <w:tab w:val="right" w:leader="dot" w:pos="9350"/>
        </w:tabs>
        <w:rPr>
          <w:noProof/>
          <w:kern w:val="2"/>
          <w:sz w:val="24"/>
          <w:szCs w:val="24"/>
          <w:lang w:val="en-AU" w:eastAsia="en-AU"/>
          <w14:ligatures w14:val="standardContextual"/>
        </w:rPr>
      </w:pPr>
      <w:hyperlink w:anchor="_Toc236412170" w:history="1">
        <w:r w:rsidRPr="00380D7F">
          <w:rPr>
            <w:rStyle w:val="Hyperlink"/>
            <w:noProof/>
          </w:rPr>
          <w:t>12.4 What would falsify this report's thesis</w:t>
        </w:r>
        <w:r>
          <w:rPr>
            <w:noProof/>
            <w:webHidden/>
          </w:rPr>
          <w:tab/>
        </w:r>
        <w:r>
          <w:rPr>
            <w:noProof/>
            <w:webHidden/>
          </w:rPr>
          <w:fldChar w:fldCharType="begin"/>
        </w:r>
        <w:r>
          <w:rPr>
            <w:noProof/>
            <w:webHidden/>
          </w:rPr>
          <w:instrText xml:space="preserve"> PAGEREF _Toc236412170 \h </w:instrText>
        </w:r>
        <w:r>
          <w:rPr>
            <w:noProof/>
            <w:webHidden/>
          </w:rPr>
        </w:r>
        <w:r>
          <w:rPr>
            <w:noProof/>
            <w:webHidden/>
          </w:rPr>
          <w:fldChar w:fldCharType="separate"/>
        </w:r>
        <w:r>
          <w:rPr>
            <w:noProof/>
            <w:webHidden/>
          </w:rPr>
          <w:t>41</w:t>
        </w:r>
        <w:r>
          <w:rPr>
            <w:noProof/>
            <w:webHidden/>
          </w:rPr>
          <w:fldChar w:fldCharType="end"/>
        </w:r>
      </w:hyperlink>
    </w:p>
    <w:p w14:paraId="276B26ED" w14:textId="5E08DDC5" w:rsidR="001044C9" w:rsidRDefault="001044C9">
      <w:pPr>
        <w:pStyle w:val="TOC1"/>
        <w:tabs>
          <w:tab w:val="right" w:leader="dot" w:pos="9350"/>
        </w:tabs>
        <w:rPr>
          <w:noProof/>
          <w:kern w:val="2"/>
          <w:sz w:val="24"/>
          <w:szCs w:val="24"/>
          <w:lang w:val="en-AU" w:eastAsia="en-AU"/>
          <w14:ligatures w14:val="standardContextual"/>
        </w:rPr>
      </w:pPr>
      <w:hyperlink w:anchor="_Toc236412171" w:history="1">
        <w:r w:rsidRPr="00380D7F">
          <w:rPr>
            <w:rStyle w:val="Hyperlink"/>
            <w:noProof/>
          </w:rPr>
          <w:t>13. Final Conclusions</w:t>
        </w:r>
        <w:r>
          <w:rPr>
            <w:noProof/>
            <w:webHidden/>
          </w:rPr>
          <w:tab/>
        </w:r>
        <w:r>
          <w:rPr>
            <w:noProof/>
            <w:webHidden/>
          </w:rPr>
          <w:fldChar w:fldCharType="begin"/>
        </w:r>
        <w:r>
          <w:rPr>
            <w:noProof/>
            <w:webHidden/>
          </w:rPr>
          <w:instrText xml:space="preserve"> PAGEREF _Toc236412171 \h </w:instrText>
        </w:r>
        <w:r>
          <w:rPr>
            <w:noProof/>
            <w:webHidden/>
          </w:rPr>
        </w:r>
        <w:r>
          <w:rPr>
            <w:noProof/>
            <w:webHidden/>
          </w:rPr>
          <w:fldChar w:fldCharType="separate"/>
        </w:r>
        <w:r>
          <w:rPr>
            <w:noProof/>
            <w:webHidden/>
          </w:rPr>
          <w:t>43</w:t>
        </w:r>
        <w:r>
          <w:rPr>
            <w:noProof/>
            <w:webHidden/>
          </w:rPr>
          <w:fldChar w:fldCharType="end"/>
        </w:r>
      </w:hyperlink>
    </w:p>
    <w:p w14:paraId="54C11B87" w14:textId="0B3FDB57" w:rsidR="001044C9" w:rsidRDefault="001044C9">
      <w:pPr>
        <w:pStyle w:val="TOC1"/>
        <w:tabs>
          <w:tab w:val="right" w:leader="dot" w:pos="9350"/>
        </w:tabs>
        <w:rPr>
          <w:noProof/>
          <w:kern w:val="2"/>
          <w:sz w:val="24"/>
          <w:szCs w:val="24"/>
          <w:lang w:val="en-AU" w:eastAsia="en-AU"/>
          <w14:ligatures w14:val="standardContextual"/>
        </w:rPr>
      </w:pPr>
      <w:hyperlink w:anchor="_Toc236412172" w:history="1">
        <w:r w:rsidRPr="00380D7F">
          <w:rPr>
            <w:rStyle w:val="Hyperlink"/>
            <w:noProof/>
          </w:rPr>
          <w:t>14. Complete Reference List</w:t>
        </w:r>
        <w:r>
          <w:rPr>
            <w:noProof/>
            <w:webHidden/>
          </w:rPr>
          <w:tab/>
        </w:r>
        <w:r>
          <w:rPr>
            <w:noProof/>
            <w:webHidden/>
          </w:rPr>
          <w:fldChar w:fldCharType="begin"/>
        </w:r>
        <w:r>
          <w:rPr>
            <w:noProof/>
            <w:webHidden/>
          </w:rPr>
          <w:instrText xml:space="preserve"> PAGEREF _Toc236412172 \h </w:instrText>
        </w:r>
        <w:r>
          <w:rPr>
            <w:noProof/>
            <w:webHidden/>
          </w:rPr>
        </w:r>
        <w:r>
          <w:rPr>
            <w:noProof/>
            <w:webHidden/>
          </w:rPr>
          <w:fldChar w:fldCharType="separate"/>
        </w:r>
        <w:r>
          <w:rPr>
            <w:noProof/>
            <w:webHidden/>
          </w:rPr>
          <w:t>45</w:t>
        </w:r>
        <w:r>
          <w:rPr>
            <w:noProof/>
            <w:webHidden/>
          </w:rPr>
          <w:fldChar w:fldCharType="end"/>
        </w:r>
      </w:hyperlink>
    </w:p>
    <w:p w14:paraId="0F49E42F" w14:textId="228C0759" w:rsidR="001044C9" w:rsidRDefault="001044C9">
      <w:pPr>
        <w:pStyle w:val="TOC2"/>
        <w:tabs>
          <w:tab w:val="right" w:leader="dot" w:pos="9350"/>
        </w:tabs>
        <w:rPr>
          <w:noProof/>
          <w:kern w:val="2"/>
          <w:sz w:val="24"/>
          <w:szCs w:val="24"/>
          <w:lang w:val="en-AU" w:eastAsia="en-AU"/>
          <w14:ligatures w14:val="standardContextual"/>
        </w:rPr>
      </w:pPr>
      <w:hyperlink w:anchor="_Toc236412173" w:history="1">
        <w:r w:rsidRPr="00380D7F">
          <w:rPr>
            <w:rStyle w:val="Hyperlink"/>
            <w:noProof/>
          </w:rPr>
          <w:t>MSP profitability, benchmarks and channel data</w:t>
        </w:r>
        <w:r>
          <w:rPr>
            <w:noProof/>
            <w:webHidden/>
          </w:rPr>
          <w:tab/>
        </w:r>
        <w:r>
          <w:rPr>
            <w:noProof/>
            <w:webHidden/>
          </w:rPr>
          <w:fldChar w:fldCharType="begin"/>
        </w:r>
        <w:r>
          <w:rPr>
            <w:noProof/>
            <w:webHidden/>
          </w:rPr>
          <w:instrText xml:space="preserve"> PAGEREF _Toc236412173 \h </w:instrText>
        </w:r>
        <w:r>
          <w:rPr>
            <w:noProof/>
            <w:webHidden/>
          </w:rPr>
        </w:r>
        <w:r>
          <w:rPr>
            <w:noProof/>
            <w:webHidden/>
          </w:rPr>
          <w:fldChar w:fldCharType="separate"/>
        </w:r>
        <w:r>
          <w:rPr>
            <w:noProof/>
            <w:webHidden/>
          </w:rPr>
          <w:t>45</w:t>
        </w:r>
        <w:r>
          <w:rPr>
            <w:noProof/>
            <w:webHidden/>
          </w:rPr>
          <w:fldChar w:fldCharType="end"/>
        </w:r>
      </w:hyperlink>
    </w:p>
    <w:p w14:paraId="20C3A642" w14:textId="0EBF9096" w:rsidR="001044C9" w:rsidRDefault="001044C9">
      <w:pPr>
        <w:pStyle w:val="TOC2"/>
        <w:tabs>
          <w:tab w:val="right" w:leader="dot" w:pos="9350"/>
        </w:tabs>
        <w:rPr>
          <w:noProof/>
          <w:kern w:val="2"/>
          <w:sz w:val="24"/>
          <w:szCs w:val="24"/>
          <w:lang w:val="en-AU" w:eastAsia="en-AU"/>
          <w14:ligatures w14:val="standardContextual"/>
        </w:rPr>
      </w:pPr>
      <w:hyperlink w:anchor="_Toc236412174" w:history="1">
        <w:r w:rsidRPr="00380D7F">
          <w:rPr>
            <w:rStyle w:val="Hyperlink"/>
            <w:noProof/>
          </w:rPr>
          <w:t>Market sizing, M&amp;A and valuation</w:t>
        </w:r>
        <w:r>
          <w:rPr>
            <w:noProof/>
            <w:webHidden/>
          </w:rPr>
          <w:tab/>
        </w:r>
        <w:r>
          <w:rPr>
            <w:noProof/>
            <w:webHidden/>
          </w:rPr>
          <w:fldChar w:fldCharType="begin"/>
        </w:r>
        <w:r>
          <w:rPr>
            <w:noProof/>
            <w:webHidden/>
          </w:rPr>
          <w:instrText xml:space="preserve"> PAGEREF _Toc236412174 \h </w:instrText>
        </w:r>
        <w:r>
          <w:rPr>
            <w:noProof/>
            <w:webHidden/>
          </w:rPr>
        </w:r>
        <w:r>
          <w:rPr>
            <w:noProof/>
            <w:webHidden/>
          </w:rPr>
          <w:fldChar w:fldCharType="separate"/>
        </w:r>
        <w:r>
          <w:rPr>
            <w:noProof/>
            <w:webHidden/>
          </w:rPr>
          <w:t>46</w:t>
        </w:r>
        <w:r>
          <w:rPr>
            <w:noProof/>
            <w:webHidden/>
          </w:rPr>
          <w:fldChar w:fldCharType="end"/>
        </w:r>
      </w:hyperlink>
    </w:p>
    <w:p w14:paraId="0CCDFAE3" w14:textId="20962DD2" w:rsidR="001044C9" w:rsidRDefault="001044C9">
      <w:pPr>
        <w:pStyle w:val="TOC2"/>
        <w:tabs>
          <w:tab w:val="right" w:leader="dot" w:pos="9350"/>
        </w:tabs>
        <w:rPr>
          <w:noProof/>
          <w:kern w:val="2"/>
          <w:sz w:val="24"/>
          <w:szCs w:val="24"/>
          <w:lang w:val="en-AU" w:eastAsia="en-AU"/>
          <w14:ligatures w14:val="standardContextual"/>
        </w:rPr>
      </w:pPr>
      <w:hyperlink w:anchor="_Toc236412175" w:history="1">
        <w:r w:rsidRPr="00380D7F">
          <w:rPr>
            <w:rStyle w:val="Hyperlink"/>
            <w:noProof/>
          </w:rPr>
          <w:t>Analyst forecasts — services disruption, AI and spending</w:t>
        </w:r>
        <w:r>
          <w:rPr>
            <w:noProof/>
            <w:webHidden/>
          </w:rPr>
          <w:tab/>
        </w:r>
        <w:r>
          <w:rPr>
            <w:noProof/>
            <w:webHidden/>
          </w:rPr>
          <w:fldChar w:fldCharType="begin"/>
        </w:r>
        <w:r>
          <w:rPr>
            <w:noProof/>
            <w:webHidden/>
          </w:rPr>
          <w:instrText xml:space="preserve"> PAGEREF _Toc236412175 \h </w:instrText>
        </w:r>
        <w:r>
          <w:rPr>
            <w:noProof/>
            <w:webHidden/>
          </w:rPr>
        </w:r>
        <w:r>
          <w:rPr>
            <w:noProof/>
            <w:webHidden/>
          </w:rPr>
          <w:fldChar w:fldCharType="separate"/>
        </w:r>
        <w:r>
          <w:rPr>
            <w:noProof/>
            <w:webHidden/>
          </w:rPr>
          <w:t>47</w:t>
        </w:r>
        <w:r>
          <w:rPr>
            <w:noProof/>
            <w:webHidden/>
          </w:rPr>
          <w:fldChar w:fldCharType="end"/>
        </w:r>
      </w:hyperlink>
    </w:p>
    <w:p w14:paraId="551E7FD3" w14:textId="13A58341" w:rsidR="001044C9" w:rsidRDefault="001044C9">
      <w:pPr>
        <w:pStyle w:val="TOC2"/>
        <w:tabs>
          <w:tab w:val="right" w:leader="dot" w:pos="9350"/>
        </w:tabs>
        <w:rPr>
          <w:noProof/>
          <w:kern w:val="2"/>
          <w:sz w:val="24"/>
          <w:szCs w:val="24"/>
          <w:lang w:val="en-AU" w:eastAsia="en-AU"/>
          <w14:ligatures w14:val="standardContextual"/>
        </w:rPr>
      </w:pPr>
      <w:hyperlink w:anchor="_Toc236412176" w:history="1">
        <w:r w:rsidRPr="00380D7F">
          <w:rPr>
            <w:rStyle w:val="Hyperlink"/>
            <w:noProof/>
          </w:rPr>
          <w:t>Microsoft — strategy, earnings, product and partner program</w:t>
        </w:r>
        <w:r>
          <w:rPr>
            <w:noProof/>
            <w:webHidden/>
          </w:rPr>
          <w:tab/>
        </w:r>
        <w:r>
          <w:rPr>
            <w:noProof/>
            <w:webHidden/>
          </w:rPr>
          <w:fldChar w:fldCharType="begin"/>
        </w:r>
        <w:r>
          <w:rPr>
            <w:noProof/>
            <w:webHidden/>
          </w:rPr>
          <w:instrText xml:space="preserve"> PAGEREF _Toc236412176 \h </w:instrText>
        </w:r>
        <w:r>
          <w:rPr>
            <w:noProof/>
            <w:webHidden/>
          </w:rPr>
        </w:r>
        <w:r>
          <w:rPr>
            <w:noProof/>
            <w:webHidden/>
          </w:rPr>
          <w:fldChar w:fldCharType="separate"/>
        </w:r>
        <w:r>
          <w:rPr>
            <w:noProof/>
            <w:webHidden/>
          </w:rPr>
          <w:t>49</w:t>
        </w:r>
        <w:r>
          <w:rPr>
            <w:noProof/>
            <w:webHidden/>
          </w:rPr>
          <w:fldChar w:fldCharType="end"/>
        </w:r>
      </w:hyperlink>
    </w:p>
    <w:p w14:paraId="0E1AA5AF" w14:textId="22FE6826" w:rsidR="001044C9" w:rsidRDefault="001044C9">
      <w:pPr>
        <w:pStyle w:val="TOC2"/>
        <w:tabs>
          <w:tab w:val="right" w:leader="dot" w:pos="9350"/>
        </w:tabs>
        <w:rPr>
          <w:noProof/>
          <w:kern w:val="2"/>
          <w:sz w:val="24"/>
          <w:szCs w:val="24"/>
          <w:lang w:val="en-AU" w:eastAsia="en-AU"/>
          <w14:ligatures w14:val="standardContextual"/>
        </w:rPr>
      </w:pPr>
      <w:hyperlink w:anchor="_Toc236412177" w:history="1">
        <w:r w:rsidRPr="00380D7F">
          <w:rPr>
            <w:rStyle w:val="Hyperlink"/>
            <w:noProof/>
          </w:rPr>
          <w:t>Hyperscalers, SaaS platforms and security vendors</w:t>
        </w:r>
        <w:r>
          <w:rPr>
            <w:noProof/>
            <w:webHidden/>
          </w:rPr>
          <w:tab/>
        </w:r>
        <w:r>
          <w:rPr>
            <w:noProof/>
            <w:webHidden/>
          </w:rPr>
          <w:fldChar w:fldCharType="begin"/>
        </w:r>
        <w:r>
          <w:rPr>
            <w:noProof/>
            <w:webHidden/>
          </w:rPr>
          <w:instrText xml:space="preserve"> PAGEREF _Toc236412177 \h </w:instrText>
        </w:r>
        <w:r>
          <w:rPr>
            <w:noProof/>
            <w:webHidden/>
          </w:rPr>
        </w:r>
        <w:r>
          <w:rPr>
            <w:noProof/>
            <w:webHidden/>
          </w:rPr>
          <w:fldChar w:fldCharType="separate"/>
        </w:r>
        <w:r>
          <w:rPr>
            <w:noProof/>
            <w:webHidden/>
          </w:rPr>
          <w:t>51</w:t>
        </w:r>
        <w:r>
          <w:rPr>
            <w:noProof/>
            <w:webHidden/>
          </w:rPr>
          <w:fldChar w:fldCharType="end"/>
        </w:r>
      </w:hyperlink>
    </w:p>
    <w:p w14:paraId="2F52F0DC" w14:textId="14B2C223" w:rsidR="001044C9" w:rsidRDefault="001044C9">
      <w:pPr>
        <w:pStyle w:val="TOC2"/>
        <w:tabs>
          <w:tab w:val="right" w:leader="dot" w:pos="9350"/>
        </w:tabs>
        <w:rPr>
          <w:noProof/>
          <w:kern w:val="2"/>
          <w:sz w:val="24"/>
          <w:szCs w:val="24"/>
          <w:lang w:val="en-AU" w:eastAsia="en-AU"/>
          <w14:ligatures w14:val="standardContextual"/>
        </w:rPr>
      </w:pPr>
      <w:hyperlink w:anchor="_Toc236412178" w:history="1">
        <w:r w:rsidRPr="00380D7F">
          <w:rPr>
            <w:rStyle w:val="Hyperlink"/>
            <w:noProof/>
          </w:rPr>
          <w:t>Security market, cyber-risk and threat data</w:t>
        </w:r>
        <w:r>
          <w:rPr>
            <w:noProof/>
            <w:webHidden/>
          </w:rPr>
          <w:tab/>
        </w:r>
        <w:r>
          <w:rPr>
            <w:noProof/>
            <w:webHidden/>
          </w:rPr>
          <w:fldChar w:fldCharType="begin"/>
        </w:r>
        <w:r>
          <w:rPr>
            <w:noProof/>
            <w:webHidden/>
          </w:rPr>
          <w:instrText xml:space="preserve"> PAGEREF _Toc236412178 \h </w:instrText>
        </w:r>
        <w:r>
          <w:rPr>
            <w:noProof/>
            <w:webHidden/>
          </w:rPr>
        </w:r>
        <w:r>
          <w:rPr>
            <w:noProof/>
            <w:webHidden/>
          </w:rPr>
          <w:fldChar w:fldCharType="separate"/>
        </w:r>
        <w:r>
          <w:rPr>
            <w:noProof/>
            <w:webHidden/>
          </w:rPr>
          <w:t>52</w:t>
        </w:r>
        <w:r>
          <w:rPr>
            <w:noProof/>
            <w:webHidden/>
          </w:rPr>
          <w:fldChar w:fldCharType="end"/>
        </w:r>
      </w:hyperlink>
    </w:p>
    <w:p w14:paraId="1BEEE9F0" w14:textId="11672D7E" w:rsidR="001044C9" w:rsidRDefault="001044C9">
      <w:pPr>
        <w:pStyle w:val="TOC2"/>
        <w:tabs>
          <w:tab w:val="right" w:leader="dot" w:pos="9350"/>
        </w:tabs>
        <w:rPr>
          <w:noProof/>
          <w:kern w:val="2"/>
          <w:sz w:val="24"/>
          <w:szCs w:val="24"/>
          <w:lang w:val="en-AU" w:eastAsia="en-AU"/>
          <w14:ligatures w14:val="standardContextual"/>
        </w:rPr>
      </w:pPr>
      <w:hyperlink w:anchor="_Toc236412179" w:history="1">
        <w:r w:rsidRPr="00380D7F">
          <w:rPr>
            <w:rStyle w:val="Hyperlink"/>
            <w:noProof/>
          </w:rPr>
          <w:t>Labour market, historical case studies and analogies</w:t>
        </w:r>
        <w:r>
          <w:rPr>
            <w:noProof/>
            <w:webHidden/>
          </w:rPr>
          <w:tab/>
        </w:r>
        <w:r>
          <w:rPr>
            <w:noProof/>
            <w:webHidden/>
          </w:rPr>
          <w:fldChar w:fldCharType="begin"/>
        </w:r>
        <w:r>
          <w:rPr>
            <w:noProof/>
            <w:webHidden/>
          </w:rPr>
          <w:instrText xml:space="preserve"> PAGEREF _Toc236412179 \h </w:instrText>
        </w:r>
        <w:r>
          <w:rPr>
            <w:noProof/>
            <w:webHidden/>
          </w:rPr>
        </w:r>
        <w:r>
          <w:rPr>
            <w:noProof/>
            <w:webHidden/>
          </w:rPr>
          <w:fldChar w:fldCharType="separate"/>
        </w:r>
        <w:r>
          <w:rPr>
            <w:noProof/>
            <w:webHidden/>
          </w:rPr>
          <w:t>53</w:t>
        </w:r>
        <w:r>
          <w:rPr>
            <w:noProof/>
            <w:webHidden/>
          </w:rPr>
          <w:fldChar w:fldCharType="end"/>
        </w:r>
      </w:hyperlink>
    </w:p>
    <w:p w14:paraId="2688371C" w14:textId="379150A3" w:rsidR="00DC181F" w:rsidRDefault="001C4E0A">
      <w:r>
        <w:fldChar w:fldCharType="end"/>
      </w:r>
    </w:p>
    <w:p w14:paraId="52B700CB" w14:textId="77777777" w:rsidR="00DC181F" w:rsidRDefault="001C4E0A">
      <w:r>
        <w:br w:type="page"/>
      </w:r>
    </w:p>
    <w:p w14:paraId="51A63A7F" w14:textId="77777777" w:rsidR="00DC181F" w:rsidRDefault="001C4E0A">
      <w:pPr>
        <w:pStyle w:val="Heading1"/>
      </w:pPr>
      <w:bookmarkStart w:id="0" w:name="_Toc236412118"/>
      <w:r>
        <w:lastRenderedPageBreak/>
        <w:t>1. Executive Summary</w:t>
      </w:r>
      <w:bookmarkEnd w:id="0"/>
    </w:p>
    <w:p w14:paraId="711EF04D" w14:textId="77777777" w:rsidR="00DC181F" w:rsidRDefault="001C4E0A">
      <w:r>
        <w:t>This report examines whether the traditional managed service provider (MSP) and technology service provider (TSP) business model — built on per-user and per-device pricing wrapped around a reactive help desk, endpoint monitoring, patching and infrastructure management — remains economically and strategically sustainable over the next three to ten years. The analysis was conducted without assuming its conclusion. Four independent research streams examined MSP unit economics, the impact of AI and agentic auto</w:t>
      </w:r>
      <w:r>
        <w:t>mation, Microsoft and hyperscaler strategy, and buyer behaviour together with historical platform shifts. Findings were cross-checked against primary sources wherever possible, and the evidence was refreshed to the day of Microsoft's fiscal 2026 fourth-quarter earnings release.</w:t>
      </w:r>
    </w:p>
    <w:p w14:paraId="4AF5B5D4" w14:textId="77777777" w:rsidR="00DC181F" w:rsidRDefault="001C4E0A">
      <w:r>
        <w:t>The question, answered directly: the traditional MSP/TSP model is not becoming obsolete as a business category, but the legacy operating model that most providers still run is entering a cycle of selective obsolescence. The category profit pool is real and still growing, yet it is migrating away from human-labour availability toward automation leverage, security outcomes, compliance evidence, AI governance and repeatable intellectual property. The honest message for a successful, sceptical owner is blunt: y</w:t>
      </w:r>
      <w:r>
        <w:t>our business is not doomed, but on current evidence your existing model is probably over-earning its future unless you deliberately transform it.</w:t>
      </w:r>
    </w:p>
    <w:p w14:paraId="4F4D6998" w14:textId="77777777" w:rsidR="00DC181F" w:rsidRDefault="001C4E0A">
      <w:r>
        <w:t>The evidence does not support the simple claim that the MSP is dying. It supports a harder and more actionable conclusion: the industry is bifurcating. The traditional labour-based operating model is structurally deteriorating even while the managed services category grows at double digits, and the gap between transformed and untransformed providers is already the difference between record profits and operating losses.</w:t>
      </w:r>
    </w:p>
    <w:p w14:paraId="67D8D56A" w14:textId="77777777" w:rsidR="00DC181F" w:rsidRDefault="001C4E0A">
      <w:r>
        <w:t xml:space="preserve">Four facts frame the paradox. First, the market is booming: Canalys put channel-delivered managed services above half a trillion dollars in 2024, growing 9.7 per cent, with a forecast of roughly $608 billion in 2025 — larger than the entire SaaS industry (Canalys, 2025). Second, the average existing MSP is stalling inside that boom: the Service Leadership Index recorded worldwide organic managed-service revenue growth of just 1.0 per cent in the fourth quarter of 2024, with 18 per cent of MSPs operating at </w:t>
      </w:r>
      <w:r>
        <w:t>a loss, up from 14 per cent the prior quarter (Service Leadership Index, Q4 2024). Third, profitability has split: 2024 was a record fifth consecutive year of 19-per-cent-plus adjusted EBITDA for best-in-class TSPs, while unfocused generalists earn roughly 7 per cent (Service Leadership, 2025; Canalys/N-able). Fourth, capital has already priced the split: sub-$5 million MSPs change hands at about 5.2 times EBITDA against 11.2 times for scaled platforms, a discount of roughly 55 per cent (Aventis Advisors, 2</w:t>
      </w:r>
      <w:r>
        <w:t>025).</w:t>
      </w:r>
    </w:p>
    <w:p w14:paraId="0480449D" w14:textId="77777777" w:rsidR="00DC181F" w:rsidRDefault="001C4E0A">
      <w:r>
        <w:t>Since this thesis was first tested, the single sharpest new data point is Gartner's. Its 27 October 2025 research, Managed Services Disruption: Surviving an AI Agent-Dominated Market, concludes plainly that "managed services opportunities for incumbent providers will shrink; by 2030 the obtainable opportunities will be half what they are today," and instructs services leaders to "immediately pivot to AI-driven portfolios while reducing reliance on manual labor." That single projection reconciles the paradox</w:t>
      </w:r>
      <w:r>
        <w:t>: even a stable or growing market can still be a shrinking one for a provider that does not change how it delivers.</w:t>
      </w:r>
    </w:p>
    <w:p w14:paraId="47D4ED3D" w14:textId="77777777" w:rsidR="00DC181F" w:rsidRDefault="001C4E0A">
      <w:r>
        <w:lastRenderedPageBreak/>
        <w:t>AI sharpens rather than creates this divide. The strongest research evidence shows AI is most capable in exactly the task categories where MSP labour concentrates: level-1 support, monitoring and triage, documentation and tier-1 security operations. Gartner projects that agentic AI will autonomously resolve 80 per cent of common customer-service issues by 2029, yet also predicts that over 40 per cent of agentic AI projects will be cancelled by the end of 2027 (Gartner, 2025). Weighing measured field results</w:t>
      </w:r>
      <w:r>
        <w:t xml:space="preserve"> against forecasts, this report estimates that roughly 25 to 40 per cent of current L1/L2 task-hours become automatable by about 2030 in the base case. Critically, the near-term threat is economic before it is operational: AI breaks per-seat and per-hour pricing anchors before it removes technicians.</w:t>
      </w:r>
    </w:p>
    <w:p w14:paraId="4E9E0B76" w14:textId="77777777" w:rsidR="00DC181F" w:rsidRDefault="001C4E0A">
      <w:r>
        <w:t>Microsoft's strategic direction compounds the pressure on traditional work while expanding the opportunity for a different partner profile — and the evidence for it got stronger on the very day this report was finalised. In its fiscal 2026 fourth quarter, reported on 29 July 2026, Microsoft disclosed quarterly revenue of $90.0 billion (up 18 per cent), net income of $35.8 billion (up 31 per cent), and — for the first time — Azure surpassing $100 billion in annual revenue, with Azure growing about 43 per cen</w:t>
      </w:r>
      <w:r>
        <w:t>t in the quarter. Microsoft 365 Copilot passed 30 million paid seats, up from 20 million just one quarter earlier, the fastest quarterly seat growth since launch (Microsoft, FY2026 Q4; GeekWire, 2026). The platform is simultaneously productising the classic MSP task list — Windows Autopatch, Defender XDR automatic attack disruption, Security Copilot agents — and selling the managed layer directly through Defender Experts for XDR, while rewiring partner economics away from resale margin toward AI, security a</w:t>
      </w:r>
      <w:r>
        <w:t>nd consumption.</w:t>
      </w:r>
    </w:p>
    <w:p w14:paraId="202A8097" w14:textId="77777777" w:rsidR="00DC181F" w:rsidRDefault="001C4E0A">
      <w:r>
        <w:t>On the core question, the report concludes: the traditional MSP operating model will not remain viable as a growth business by 2030, but the MSP as a business category will remain viable and can prosper for owners who transform. In the base case — judged the most likely outcome at roughly 55 to 60 per cent probability — the decade to 2035 delivers a slow squeeze rather than a cliff: an estimated 30 to 50 per cent of today's sub-$5 million generalists are absorbed, wound down or exit through consolidation, w</w:t>
      </w:r>
      <w:r>
        <w:t>hile security-led, AI-capable and vertically specialised providers capture a disproportionate share of a still-growing market. These probabilities are reasoned judgements anchored to the sourced trend lines, not single cited figures.</w:t>
      </w:r>
    </w:p>
    <w:p w14:paraId="1993E8B7" w14:textId="77777777" w:rsidR="00DC181F" w:rsidRDefault="001C4E0A">
      <w:r>
        <w:t>The recommended response is a three-move transformation executed inside a window this report estimates at 2027 to 2032: specialise around security, compliance or a vertical; industrialise delivery with AI so that margin no longer scales with headcount; and reprice from per-user and per-device contracts toward outcomes, platforms and subscription intellectual property. Do not abandon managed services — re-architect them. The strategic question is no longer "will MSPs disappear?" It is "am I still selling the</w:t>
      </w:r>
      <w:r>
        <w:t xml:space="preserve"> exact layer of work that platforms and AI agents are now engineered to absorb?"</w:t>
      </w:r>
    </w:p>
    <w:p w14:paraId="5A536F5F" w14:textId="77777777" w:rsidR="00DC181F" w:rsidRDefault="001C4E0A">
      <w:pPr>
        <w:pStyle w:val="Heading2"/>
      </w:pPr>
      <w:bookmarkStart w:id="1" w:name="_Toc236412119"/>
      <w:r>
        <w:t>The six findings that matter most</w:t>
      </w:r>
      <w:bookmarkEnd w:id="1"/>
    </w:p>
    <w:p w14:paraId="4DE486DF" w14:textId="77777777" w:rsidR="00DC181F" w:rsidRDefault="001C4E0A">
      <w:pPr>
        <w:numPr>
          <w:ilvl w:val="0"/>
          <w:numId w:val="11"/>
        </w:numPr>
      </w:pPr>
      <w:r>
        <w:t xml:space="preserve">It is a bifurcation, not a collapse. Best-in-class TSPs posted 19-per-cent-plus adjusted EBITDA for a fifth straight year and valuations rose about 22 per cent in 2024, yet average MSP managed-service growth slowed to about 1.0 per cent in Q4 2024, 18 per cent of MSPs ran at a loss, and project gross margins fell from 23.0 per cent to 12.9 per cent year-on-year. </w:t>
      </w:r>
      <w:r>
        <w:lastRenderedPageBreak/>
        <w:t>Kaseya's 2026 benchmark adds a sharper edge: the share of MSPs reporting customer spend above $25,000 a year fell from 75 per cent to 41 per cent in a single year, even as 71 per cent still cite new-customer acquisition as their top challenge.</w:t>
      </w:r>
    </w:p>
    <w:p w14:paraId="53170069" w14:textId="77777777" w:rsidR="00DC181F" w:rsidRDefault="001C4E0A">
      <w:pPr>
        <w:numPr>
          <w:ilvl w:val="0"/>
          <w:numId w:val="11"/>
        </w:numPr>
      </w:pPr>
      <w:r>
        <w:t>Gartner now puts a number on the disruption itself: by 2030 the obtainable managed-services opportunity for incumbent providers will be roughly half what it is today. This is the single most direct piece of evidence in this report for the obsolescence side of the thesis.</w:t>
      </w:r>
    </w:p>
    <w:p w14:paraId="3477AF76" w14:textId="77777777" w:rsidR="00DC181F" w:rsidRDefault="001C4E0A">
      <w:pPr>
        <w:numPr>
          <w:ilvl w:val="0"/>
          <w:numId w:val="11"/>
        </w:numPr>
      </w:pPr>
      <w:r>
        <w:t>AI attacks the MSP labour stack directly, and IDC now expects it to reshape contracts, not just headcount. IDC's FutureScape: Worldwide Services 2026 forecasts that by 2029, 30 per cent of global IT services will be delivered as modular, platform-enabled products and 30 per cent of all contractual engagements with service providers will be outcome-based rather than effort-based; separately, IDC projects that by 2030, 35 per cent of Fortune Global 2000 enterprises will require additional justification to con</w:t>
      </w:r>
      <w:r>
        <w:t>tract human talent instead of prebuilt agentic AI resources.</w:t>
      </w:r>
    </w:p>
    <w:p w14:paraId="6E930A3F" w14:textId="77777777" w:rsidR="00DC181F" w:rsidRDefault="001C4E0A">
      <w:pPr>
        <w:numPr>
          <w:ilvl w:val="0"/>
          <w:numId w:val="11"/>
        </w:numPr>
      </w:pPr>
      <w:r>
        <w:t>Microsoft's own numbers, released the day this report was finalised, confirm the pace of the shift: Azure past $100 billion in annual revenue and Copilot at 30 million-plus paid seats. Generic licence administration keeps losing value; secure adoption, governance and outcomes keep gaining it.</w:t>
      </w:r>
    </w:p>
    <w:p w14:paraId="19FCFE90" w14:textId="77777777" w:rsidR="00DC181F" w:rsidRDefault="001C4E0A">
      <w:pPr>
        <w:numPr>
          <w:ilvl w:val="0"/>
          <w:numId w:val="11"/>
        </w:numPr>
      </w:pPr>
      <w:r>
        <w:t>Security and AI are where the growth actually is. Generic managed services grow at roughly 9 per cent a year; managed detection and response (MDR) at about 22–25 per cent, managed XDR at roughly 32 per cent, and AI cybersecurity spend is projected to nearly double in 2026 alone. A generalist "we monitor alerts" posture is no longer enough; buyers now demand measurable risk reduction.</w:t>
      </w:r>
    </w:p>
    <w:p w14:paraId="19BE8E8A" w14:textId="77777777" w:rsidR="00DC181F" w:rsidRDefault="001C4E0A">
      <w:pPr>
        <w:numPr>
          <w:ilvl w:val="0"/>
          <w:numId w:val="11"/>
        </w:numPr>
      </w:pPr>
      <w:r>
        <w:t>Customers are buying outcomes, not hours — but they still want a managed-services partner to get there. KPMG's 2026 Managed Services Outlook (research by IDC, 1,224 senior leaders surveyed) finds managed services are now a strategic priority for 99 per cent of organisations, 87 per cent have woven them directly into digital-transformation plans, and 56 per cent cite AI management as their top managed-services investment priority for the next two years. The category is not being bypassed; it is being re-scop</w:t>
      </w:r>
      <w:r>
        <w:t>ed around AI.</w:t>
      </w:r>
    </w:p>
    <w:p w14:paraId="3E6F0EC3" w14:textId="77777777" w:rsidR="00DC181F" w:rsidRDefault="001C4E0A">
      <w:r>
        <w:br w:type="page"/>
      </w:r>
    </w:p>
    <w:p w14:paraId="45962562" w14:textId="77777777" w:rsidR="00DC181F" w:rsidRDefault="001C4E0A">
      <w:pPr>
        <w:pStyle w:val="Heading1"/>
      </w:pPr>
      <w:bookmarkStart w:id="2" w:name="_Toc236412120"/>
      <w:r>
        <w:lastRenderedPageBreak/>
        <w:t>2. Research Methodology</w:t>
      </w:r>
      <w:bookmarkEnd w:id="2"/>
    </w:p>
    <w:p w14:paraId="2C24F293" w14:textId="77777777" w:rsidR="00DC181F" w:rsidRDefault="001C4E0A">
      <w:r>
        <w:t>The research was organised as four parallel, independent streams: first, the economics of the traditional MSP model, covering pricing, margins, labour dependence, scale and valuations; second, the impact of AI and agentic automation on IT service delivery; third, Microsoft's strategic direction, partner-program economics, hyperscaler disintermediation and the security services market; and fourth, customer buying behaviour, industry-structure forecasts and historical parallels from other disrupted service in</w:t>
      </w:r>
      <w:r>
        <w:t>dustries. Each stream produced a findings dossier with per-claim citations, and the streams were cross-checked against one another before synthesis. The Microsoft strategy evidence was refreshed on the day of the company's fiscal Q4 2026 earnings release (29 July 2026) so that the platform analysis is current to the hour.</w:t>
      </w:r>
    </w:p>
    <w:p w14:paraId="207AC04E" w14:textId="77777777" w:rsidR="00DC181F" w:rsidRDefault="001C4E0A">
      <w:r>
        <w:t>Sources were weighted by authority through a deliberate hierarchy of evidence, so that conclusions rest on observed data rather than vendor marketing.</w:t>
      </w:r>
    </w:p>
    <w:p w14:paraId="20302E14" w14:textId="77777777" w:rsidR="00DC181F" w:rsidRDefault="001C4E0A">
      <w:r>
        <w:t>Tier 1 — Verified primary and observed data: SEC-filed annual reports and earnings calls (Microsoft, Palo Alto Networks, Accenture, Rackspace, DXC), official product documentation, Gartner press releases, US Bureau of Labor Statistics data, peer-reviewed research such as the Brynjolfsson, Li and Raymond study published in the Quarterly Journal of Economics, provider-performance benchmarks (Service Leadership Index / ConnectWise, Kaseya, Datto, ScalePad), and disclosed M&amp;A transaction data (Omdia, Drake Star</w:t>
      </w:r>
      <w:r>
        <w:t>, Aventis Advisors).</w:t>
      </w:r>
    </w:p>
    <w:p w14:paraId="73648284" w14:textId="77777777" w:rsidR="00DC181F" w:rsidRDefault="001C4E0A">
      <w:r>
        <w:t>Tier 2 — Analyst, advisory and government research: Gartner, IDC, Forrester, Canalys, Omdia, ISG, McKinsey, KPMG/HFS, Deloitte, GTIA (formerly CompTIA), the World Economic Forum, ISC2 and the US Bureau of Labor Statistics.</w:t>
      </w:r>
    </w:p>
    <w:p w14:paraId="71EFE634" w14:textId="77777777" w:rsidR="00DC181F" w:rsidRDefault="001C4E0A">
      <w:r>
        <w:t>Tier 3 — Vendor roadmaps and product documentation: Microsoft, AWS, Google Cloud, ServiceNow, OpenAI and Anthropic — treated as directionally useful signals of platform intent, not neutral forecasts.</w:t>
      </w:r>
    </w:p>
    <w:p w14:paraId="1B5F5A98" w14:textId="77777777" w:rsidR="00DC181F" w:rsidRDefault="001C4E0A">
      <w:r>
        <w:t>Industry benchmarks (the Service Leadership Index, Kaseya/Datto and ConnectWise surveys) are used with an explicit vendor-proximity flag, since these firms sell tools to MSPs and sample their own customer bases. Vendor performance claims — for example advertised AI ticket-resolution rates — are treated as marketing until corroborated by independent field data, and the report reproduces contradicting field evidence alongside them.</w:t>
      </w:r>
    </w:p>
    <w:p w14:paraId="34233CE1" w14:textId="77777777" w:rsidR="00DC181F" w:rsidRDefault="001C4E0A">
      <w:r>
        <w:t xml:space="preserve">Four limitations should be read alongside the findings. First, the richest profitability benchmark, the Service Leadership Index, is owned by ConnectWise; its data is the industry standard but its best-in-class framing can flatter the aggregate picture. Second, market sizing is definitionally noisy: published figures for the managed services market range from roughly $311 billion to $608 billion depending on scope, and global MSP counts range from about 150,000 to 340,000; this report states the definition </w:t>
      </w:r>
      <w:r>
        <w:t xml:space="preserve">alongside the number. Third, no audited MSP-specific benchmark exists for AI automation of L1/L2 work, so the automation bands in Section 8 are reasoned estimates that map task-exposure research and vendor deployments onto MSP workflows. Fourth, several convenient statistics circulating in the channel press were checked and rejected where they conflicted with </w:t>
      </w:r>
      <w:r>
        <w:lastRenderedPageBreak/>
        <w:t>primary data; where a figure could not be verified beyond a compilation source it is either excluded or flagged.</w:t>
      </w:r>
    </w:p>
    <w:p w14:paraId="46E35E67" w14:textId="77777777" w:rsidR="00DC181F" w:rsidRDefault="001C4E0A">
      <w:r>
        <w:t>On forecasts. Where this report states a probability (the scenario weightings in Section 9) or a range for how many MSPs may transform, consolidate or exit, those figures are clearly labelled as analytic judgement, not published predictions. Where sources disagree on a precise figure — a common issue in a fast-moving market — the report triangulates across at least two independent sources and states ranges rather than false precision. Research reflects sources published up to 31 July 2026.</w:t>
      </w:r>
    </w:p>
    <w:p w14:paraId="1BA96704" w14:textId="77777777" w:rsidR="00DC181F" w:rsidRDefault="001C4E0A">
      <w:r>
        <w:br w:type="page"/>
      </w:r>
    </w:p>
    <w:p w14:paraId="4CE1D6E0" w14:textId="77777777" w:rsidR="00DC181F" w:rsidRDefault="001C4E0A">
      <w:pPr>
        <w:pStyle w:val="Heading1"/>
      </w:pPr>
      <w:bookmarkStart w:id="3" w:name="_Toc236412121"/>
      <w:r>
        <w:lastRenderedPageBreak/>
        <w:t>3. Key Findings</w:t>
      </w:r>
      <w:bookmarkEnd w:id="3"/>
    </w:p>
    <w:p w14:paraId="0EFD21B9" w14:textId="77777777" w:rsidR="00DC181F" w:rsidRDefault="001C4E0A">
      <w:r>
        <w:t>Ten core research questions were tested directly against the evidence. The matrix below states each question, the evidence-based finding, and its strategic meaning.</w:t>
      </w:r>
    </w:p>
    <w:tbl>
      <w:tblPr>
        <w:tblStyle w:val="LightShading-Accent1"/>
        <w:tblW w:w="5000" w:type="pct"/>
        <w:tblLayout w:type="fixed"/>
        <w:tblLook w:val="04A0" w:firstRow="1" w:lastRow="0" w:firstColumn="1" w:lastColumn="0" w:noHBand="0" w:noVBand="1"/>
      </w:tblPr>
      <w:tblGrid>
        <w:gridCol w:w="2394"/>
        <w:gridCol w:w="2394"/>
        <w:gridCol w:w="2394"/>
        <w:gridCol w:w="2394"/>
      </w:tblGrid>
      <w:tr w:rsidR="00DC181F" w14:paraId="5A6F5E47"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20038196" w14:textId="77777777" w:rsidR="00DC181F" w:rsidRDefault="001C4E0A">
            <w:r>
              <w:t>#</w:t>
            </w:r>
          </w:p>
        </w:tc>
        <w:tc>
          <w:tcPr>
            <w:tcW w:w="2340" w:type="dxa"/>
          </w:tcPr>
          <w:p w14:paraId="418F26FE" w14:textId="77777777" w:rsidR="00DC181F" w:rsidRDefault="001C4E0A">
            <w:pPr>
              <w:cnfStyle w:val="100000000000" w:firstRow="1" w:lastRow="0" w:firstColumn="0" w:lastColumn="0" w:oddVBand="0" w:evenVBand="0" w:oddHBand="0" w:evenHBand="0" w:firstRowFirstColumn="0" w:firstRowLastColumn="0" w:lastRowFirstColumn="0" w:lastRowLastColumn="0"/>
            </w:pPr>
            <w:r>
              <w:t>Research question</w:t>
            </w:r>
          </w:p>
        </w:tc>
        <w:tc>
          <w:tcPr>
            <w:tcW w:w="2340" w:type="dxa"/>
          </w:tcPr>
          <w:p w14:paraId="2BD7AD66" w14:textId="77777777" w:rsidR="00DC181F" w:rsidRDefault="001C4E0A">
            <w:pPr>
              <w:cnfStyle w:val="100000000000" w:firstRow="1" w:lastRow="0" w:firstColumn="0" w:lastColumn="0" w:oddVBand="0" w:evenVBand="0" w:oddHBand="0" w:evenHBand="0" w:firstRowFirstColumn="0" w:firstRowLastColumn="0" w:lastRowFirstColumn="0" w:lastRowLastColumn="0"/>
            </w:pPr>
            <w:r>
              <w:t>Evidence-based finding</w:t>
            </w:r>
          </w:p>
        </w:tc>
        <w:tc>
          <w:tcPr>
            <w:tcW w:w="2340" w:type="dxa"/>
          </w:tcPr>
          <w:p w14:paraId="0C23F4B4" w14:textId="77777777" w:rsidR="00DC181F" w:rsidRDefault="001C4E0A">
            <w:pPr>
              <w:cnfStyle w:val="100000000000" w:firstRow="1" w:lastRow="0" w:firstColumn="0" w:lastColumn="0" w:oddVBand="0" w:evenVBand="0" w:oddHBand="0" w:evenHBand="0" w:firstRowFirstColumn="0" w:firstRowLastColumn="0" w:lastRowFirstColumn="0" w:lastRowLastColumn="0"/>
            </w:pPr>
            <w:r>
              <w:t>Strategic meaning</w:t>
            </w:r>
          </w:p>
        </w:tc>
      </w:tr>
      <w:tr w:rsidR="00DC181F" w14:paraId="4A31A2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80AF2B" w14:textId="77777777" w:rsidR="00DC181F" w:rsidRDefault="001C4E0A">
            <w:r>
              <w:t>1</w:t>
            </w:r>
          </w:p>
        </w:tc>
        <w:tc>
          <w:tcPr>
            <w:tcW w:w="2340" w:type="dxa"/>
          </w:tcPr>
          <w:p w14:paraId="4CCCFB9B" w14:textId="77777777" w:rsidR="00DC181F" w:rsidRDefault="001C4E0A">
            <w:pPr>
              <w:cnfStyle w:val="000000100000" w:firstRow="0" w:lastRow="0" w:firstColumn="0" w:lastColumn="0" w:oddVBand="0" w:evenVBand="0" w:oddHBand="1" w:evenHBand="0" w:firstRowFirstColumn="0" w:firstRowLastColumn="0" w:lastRowFirstColumn="0" w:lastRowLastColumn="0"/>
            </w:pPr>
            <w:r>
              <w:t>Is the traditional MSP model fundamentally broken?</w:t>
            </w:r>
          </w:p>
        </w:tc>
        <w:tc>
          <w:tcPr>
            <w:tcW w:w="2340" w:type="dxa"/>
          </w:tcPr>
          <w:p w14:paraId="6EDD543B" w14:textId="77777777" w:rsidR="00DC181F" w:rsidRDefault="001C4E0A">
            <w:pPr>
              <w:cnfStyle w:val="000000100000" w:firstRow="0" w:lastRow="0" w:firstColumn="0" w:lastColumn="0" w:oddVBand="0" w:evenVBand="0" w:oddHBand="1" w:evenHBand="0" w:firstRowFirstColumn="0" w:firstRowLastColumn="0" w:lastRowFirstColumn="0" w:lastRowLastColumn="0"/>
            </w:pPr>
            <w:r>
              <w:t>Not universally. Top operators remain highly profitable, but average revenue growth, loss rates and project gross margins are all weakening, and deal sizes are shrinking (Kaseya 2026: share of clients spending $25k+/yr fell from 75% to 41%).</w:t>
            </w:r>
          </w:p>
        </w:tc>
        <w:tc>
          <w:tcPr>
            <w:tcW w:w="2340" w:type="dxa"/>
          </w:tcPr>
          <w:p w14:paraId="3BF53CFE" w14:textId="77777777" w:rsidR="00DC181F" w:rsidRDefault="001C4E0A">
            <w:pPr>
              <w:cnfStyle w:val="000000100000" w:firstRow="0" w:lastRow="0" w:firstColumn="0" w:lastColumn="0" w:oddVBand="0" w:evenVBand="0" w:oddHBand="1" w:evenHBand="0" w:firstRowFirstColumn="0" w:firstRowLastColumn="0" w:lastRowFirstColumn="0" w:lastRowLastColumn="0"/>
            </w:pPr>
            <w:r>
              <w:t>The category survives; weak, generic operators are exposed.</w:t>
            </w:r>
          </w:p>
        </w:tc>
      </w:tr>
      <w:tr w:rsidR="00DC181F" w14:paraId="3BDB3B91" w14:textId="77777777">
        <w:tc>
          <w:tcPr>
            <w:cnfStyle w:val="001000000000" w:firstRow="0" w:lastRow="0" w:firstColumn="1" w:lastColumn="0" w:oddVBand="0" w:evenVBand="0" w:oddHBand="0" w:evenHBand="0" w:firstRowFirstColumn="0" w:firstRowLastColumn="0" w:lastRowFirstColumn="0" w:lastRowLastColumn="0"/>
            <w:tcW w:w="2340" w:type="dxa"/>
          </w:tcPr>
          <w:p w14:paraId="6D446950" w14:textId="77777777" w:rsidR="00DC181F" w:rsidRDefault="001C4E0A">
            <w:r>
              <w:t>2</w:t>
            </w:r>
          </w:p>
        </w:tc>
        <w:tc>
          <w:tcPr>
            <w:tcW w:w="2340" w:type="dxa"/>
          </w:tcPr>
          <w:p w14:paraId="74890EA1" w14:textId="77777777" w:rsidR="00DC181F" w:rsidRDefault="001C4E0A">
            <w:pPr>
              <w:cnfStyle w:val="000000000000" w:firstRow="0" w:lastRow="0" w:firstColumn="0" w:lastColumn="0" w:oddVBand="0" w:evenVBand="0" w:oddHBand="0" w:evenHBand="0" w:firstRowFirstColumn="0" w:firstRowLastColumn="0" w:lastRowFirstColumn="0" w:lastRowLastColumn="0"/>
            </w:pPr>
            <w:r>
              <w:t>Can AI/agentic automation replace L1–L2, monitoring, triage, documentation?</w:t>
            </w:r>
          </w:p>
        </w:tc>
        <w:tc>
          <w:tcPr>
            <w:tcW w:w="2340" w:type="dxa"/>
          </w:tcPr>
          <w:p w14:paraId="49033E55" w14:textId="77777777" w:rsidR="00DC181F" w:rsidRDefault="001C4E0A">
            <w:pPr>
              <w:cnfStyle w:val="000000000000" w:firstRow="0" w:lastRow="0" w:firstColumn="0" w:lastColumn="0" w:oddVBand="0" w:evenVBand="0" w:oddHBand="0" w:evenHBand="0" w:firstRowFirstColumn="0" w:firstRowLastColumn="0" w:lastRowFirstColumn="0" w:lastRowLastColumn="0"/>
            </w:pPr>
            <w:r>
              <w:t>Yes, for repeatable, bounded, runbook-driven work. Gartner: ~80% of common issues autonomously resolved by 2029; ServiceNow's L1 agent already handles 90%+ of its own internal IT requests.</w:t>
            </w:r>
          </w:p>
        </w:tc>
        <w:tc>
          <w:tcPr>
            <w:tcW w:w="2340" w:type="dxa"/>
          </w:tcPr>
          <w:p w14:paraId="1C7B28DC" w14:textId="77777777" w:rsidR="00DC181F" w:rsidRDefault="001C4E0A">
            <w:pPr>
              <w:cnfStyle w:val="000000000000" w:firstRow="0" w:lastRow="0" w:firstColumn="0" w:lastColumn="0" w:oddVBand="0" w:evenVBand="0" w:oddHBand="0" w:evenHBand="0" w:firstRowFirstColumn="0" w:firstRowLastColumn="0" w:lastRowFirstColumn="0" w:lastRowLastColumn="0"/>
            </w:pPr>
            <w:r>
              <w:t>Routine ticket labour is structurally at risk; supervision, escalation quality and judgement remain human.</w:t>
            </w:r>
          </w:p>
        </w:tc>
      </w:tr>
      <w:tr w:rsidR="00DC181F" w14:paraId="69EACF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88F3A1" w14:textId="77777777" w:rsidR="00DC181F" w:rsidRDefault="001C4E0A">
            <w:r>
              <w:t>3</w:t>
            </w:r>
          </w:p>
        </w:tc>
        <w:tc>
          <w:tcPr>
            <w:tcW w:w="2340" w:type="dxa"/>
          </w:tcPr>
          <w:p w14:paraId="74F74C0A" w14:textId="77777777" w:rsidR="00DC181F" w:rsidRDefault="001C4E0A">
            <w:pPr>
              <w:cnfStyle w:val="000000100000" w:firstRow="0" w:lastRow="0" w:firstColumn="0" w:lastColumn="0" w:oddVBand="0" w:evenVBand="0" w:oddHBand="1" w:evenHBand="0" w:firstRowFirstColumn="0" w:firstRowLastColumn="0" w:lastRowFirstColumn="0" w:lastRowLastColumn="0"/>
            </w:pPr>
            <w:r>
              <w:t>Is labour-based revenue in structural decline?</w:t>
            </w:r>
          </w:p>
        </w:tc>
        <w:tc>
          <w:tcPr>
            <w:tcW w:w="2340" w:type="dxa"/>
          </w:tcPr>
          <w:p w14:paraId="4E2D12B1" w14:textId="77777777" w:rsidR="00DC181F" w:rsidRDefault="001C4E0A">
            <w:pPr>
              <w:cnfStyle w:val="000000100000" w:firstRow="0" w:lastRow="0" w:firstColumn="0" w:lastColumn="0" w:oddVBand="0" w:evenVBand="0" w:oddHBand="1" w:evenHBand="0" w:firstRowFirstColumn="0" w:firstRowLastColumn="0" w:lastRowFirstColumn="0" w:lastRowLastColumn="0"/>
            </w:pPr>
            <w:r>
              <w:t>Ticket volume per endpoint was already declining while skilled-wage inflation ran ahead; IDC expects 30% of contractual engagements to be outcome-based by 2029. Labour arbitrage is a shrinking moat.</w:t>
            </w:r>
          </w:p>
        </w:tc>
        <w:tc>
          <w:tcPr>
            <w:tcW w:w="2340" w:type="dxa"/>
          </w:tcPr>
          <w:p w14:paraId="32330245" w14:textId="77777777" w:rsidR="00DC181F" w:rsidRDefault="001C4E0A">
            <w:pPr>
              <w:cnfStyle w:val="000000100000" w:firstRow="0" w:lastRow="0" w:firstColumn="0" w:lastColumn="0" w:oddVBand="0" w:evenVBand="0" w:oddHBand="1" w:evenHBand="0" w:firstRowFirstColumn="0" w:firstRowLastColumn="0" w:lastRowFirstColumn="0" w:lastRowLastColumn="0"/>
            </w:pPr>
            <w:r>
              <w:t>Repricing away from effort toward outcomes is now urgent, not optional.</w:t>
            </w:r>
          </w:p>
        </w:tc>
      </w:tr>
      <w:tr w:rsidR="00DC181F" w14:paraId="7263AB46" w14:textId="77777777">
        <w:tc>
          <w:tcPr>
            <w:cnfStyle w:val="001000000000" w:firstRow="0" w:lastRow="0" w:firstColumn="1" w:lastColumn="0" w:oddVBand="0" w:evenVBand="0" w:oddHBand="0" w:evenHBand="0" w:firstRowFirstColumn="0" w:firstRowLastColumn="0" w:lastRowFirstColumn="0" w:lastRowLastColumn="0"/>
            <w:tcW w:w="2340" w:type="dxa"/>
          </w:tcPr>
          <w:p w14:paraId="701827EE" w14:textId="77777777" w:rsidR="00DC181F" w:rsidRDefault="001C4E0A">
            <w:r>
              <w:t>4</w:t>
            </w:r>
          </w:p>
        </w:tc>
        <w:tc>
          <w:tcPr>
            <w:tcW w:w="2340" w:type="dxa"/>
          </w:tcPr>
          <w:p w14:paraId="69C0CF98" w14:textId="77777777" w:rsidR="00DC181F" w:rsidRDefault="001C4E0A">
            <w:pPr>
              <w:cnfStyle w:val="000000000000" w:firstRow="0" w:lastRow="0" w:firstColumn="0" w:lastColumn="0" w:oddVBand="0" w:evenVBand="0" w:oddHBand="0" w:evenHBand="0" w:firstRowFirstColumn="0" w:firstRowLastColumn="0" w:lastRowFirstColumn="0" w:lastRowLastColumn="0"/>
            </w:pPr>
            <w:r>
              <w:t>Does Microsoft's direction raise or lower MSP value?</w:t>
            </w:r>
          </w:p>
        </w:tc>
        <w:tc>
          <w:tcPr>
            <w:tcW w:w="2340" w:type="dxa"/>
          </w:tcPr>
          <w:p w14:paraId="24E8D70F" w14:textId="77777777" w:rsidR="00DC181F" w:rsidRDefault="001C4E0A">
            <w:pPr>
              <w:cnfStyle w:val="000000000000" w:firstRow="0" w:lastRow="0" w:firstColumn="0" w:lastColumn="0" w:oddVBand="0" w:evenVBand="0" w:oddHBand="0" w:evenHBand="0" w:firstRowFirstColumn="0" w:firstRowLastColumn="0" w:lastRowFirstColumn="0" w:lastRowLastColumn="0"/>
            </w:pPr>
            <w:r>
              <w:t>Both. It raises the native baseline (Copilot at 30M+ paid seats, agents, Security Copilot, Defender Experts) while creating governance and adoption work. Generic admin loses value.</w:t>
            </w:r>
          </w:p>
        </w:tc>
        <w:tc>
          <w:tcPr>
            <w:tcW w:w="2340" w:type="dxa"/>
          </w:tcPr>
          <w:p w14:paraId="138F0FF3" w14:textId="77777777" w:rsidR="00DC181F" w:rsidRDefault="001C4E0A">
            <w:pPr>
              <w:cnfStyle w:val="000000000000" w:firstRow="0" w:lastRow="0" w:firstColumn="0" w:lastColumn="0" w:oddVBand="0" w:evenVBand="0" w:oddHBand="0" w:evenHBand="0" w:firstRowFirstColumn="0" w:firstRowLastColumn="0" w:lastRowFirstColumn="0" w:lastRowLastColumn="0"/>
            </w:pPr>
            <w:r>
              <w:t>Move from licence admin to secure adoption, governance and cross-tenant operations.</w:t>
            </w:r>
          </w:p>
        </w:tc>
      </w:tr>
      <w:tr w:rsidR="00DC181F" w14:paraId="51B3A2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AEA000" w14:textId="77777777" w:rsidR="00DC181F" w:rsidRDefault="001C4E0A">
            <w:r>
              <w:t>5</w:t>
            </w:r>
          </w:p>
        </w:tc>
        <w:tc>
          <w:tcPr>
            <w:tcW w:w="2340" w:type="dxa"/>
          </w:tcPr>
          <w:p w14:paraId="6A3D1EB4" w14:textId="77777777" w:rsidR="00DC181F" w:rsidRDefault="001C4E0A">
            <w:pPr>
              <w:cnfStyle w:val="000000100000" w:firstRow="0" w:lastRow="0" w:firstColumn="0" w:lastColumn="0" w:oddVBand="0" w:evenVBand="0" w:oddHBand="1" w:evenHBand="0" w:firstRowFirstColumn="0" w:firstRowLastColumn="0" w:lastRowFirstColumn="0" w:lastRowLastColumn="0"/>
            </w:pPr>
            <w:r>
              <w:t xml:space="preserve">Are hyperscalers/SaaS </w:t>
            </w:r>
            <w:r>
              <w:lastRenderedPageBreak/>
              <w:t>vendors disintermediating MSPs?</w:t>
            </w:r>
          </w:p>
        </w:tc>
        <w:tc>
          <w:tcPr>
            <w:tcW w:w="2340" w:type="dxa"/>
          </w:tcPr>
          <w:p w14:paraId="45CFBF39" w14:textId="77777777" w:rsidR="00DC181F" w:rsidRDefault="001C4E0A">
            <w:pPr>
              <w:cnfStyle w:val="000000100000" w:firstRow="0" w:lastRow="0" w:firstColumn="0" w:lastColumn="0" w:oddVBand="0" w:evenVBand="0" w:oddHBand="1" w:evenHBand="0" w:firstRowFirstColumn="0" w:firstRowLastColumn="0" w:lastRowFirstColumn="0" w:lastRowLastColumn="0"/>
            </w:pPr>
            <w:r>
              <w:lastRenderedPageBreak/>
              <w:t xml:space="preserve">Not mainly by selling </w:t>
            </w:r>
            <w:r>
              <w:lastRenderedPageBreak/>
              <w:t>direct — by absorbing the task layer (AWS CloudWatch investigations, Google Gemini Cloud Assist, ServiceNow Autonomous Workforce).</w:t>
            </w:r>
          </w:p>
        </w:tc>
        <w:tc>
          <w:tcPr>
            <w:tcW w:w="2340" w:type="dxa"/>
          </w:tcPr>
          <w:p w14:paraId="4DE7D3C2" w14:textId="77777777" w:rsidR="00DC181F" w:rsidRDefault="001C4E0A">
            <w:pPr>
              <w:cnfStyle w:val="000000100000" w:firstRow="0" w:lastRow="0" w:firstColumn="0" w:lastColumn="0" w:oddVBand="0" w:evenVBand="0" w:oddHBand="1" w:evenHBand="0" w:firstRowFirstColumn="0" w:firstRowLastColumn="0" w:lastRowFirstColumn="0" w:lastRowLastColumn="0"/>
            </w:pPr>
            <w:r>
              <w:lastRenderedPageBreak/>
              <w:t xml:space="preserve">Compete on </w:t>
            </w:r>
            <w:r>
              <w:lastRenderedPageBreak/>
              <w:t>architecture, integration, governance and assurance beyond the console.</w:t>
            </w:r>
          </w:p>
        </w:tc>
      </w:tr>
      <w:tr w:rsidR="00DC181F" w14:paraId="21D007FD" w14:textId="77777777">
        <w:tc>
          <w:tcPr>
            <w:cnfStyle w:val="001000000000" w:firstRow="0" w:lastRow="0" w:firstColumn="1" w:lastColumn="0" w:oddVBand="0" w:evenVBand="0" w:oddHBand="0" w:evenHBand="0" w:firstRowFirstColumn="0" w:firstRowLastColumn="0" w:lastRowFirstColumn="0" w:lastRowLastColumn="0"/>
            <w:tcW w:w="2340" w:type="dxa"/>
          </w:tcPr>
          <w:p w14:paraId="736C01F9" w14:textId="77777777" w:rsidR="00DC181F" w:rsidRDefault="001C4E0A">
            <w:r>
              <w:lastRenderedPageBreak/>
              <w:t>6</w:t>
            </w:r>
          </w:p>
        </w:tc>
        <w:tc>
          <w:tcPr>
            <w:tcW w:w="2340" w:type="dxa"/>
          </w:tcPr>
          <w:p w14:paraId="11949263" w14:textId="77777777" w:rsidR="00DC181F" w:rsidRDefault="001C4E0A">
            <w:pPr>
              <w:cnfStyle w:val="000000000000" w:firstRow="0" w:lastRow="0" w:firstColumn="0" w:lastColumn="0" w:oddVBand="0" w:evenVBand="0" w:oddHBand="0" w:evenHBand="0" w:firstRowFirstColumn="0" w:firstRowLastColumn="0" w:lastRowFirstColumn="0" w:lastRowLastColumn="0"/>
            </w:pPr>
            <w:r>
              <w:t>Is security a rescue path?</w:t>
            </w:r>
          </w:p>
        </w:tc>
        <w:tc>
          <w:tcPr>
            <w:tcW w:w="2340" w:type="dxa"/>
          </w:tcPr>
          <w:p w14:paraId="0BC0AD38" w14:textId="77777777" w:rsidR="00DC181F" w:rsidRDefault="001C4E0A">
            <w:pPr>
              <w:cnfStyle w:val="000000000000" w:firstRow="0" w:lastRow="0" w:firstColumn="0" w:lastColumn="0" w:oddVBand="0" w:evenVBand="0" w:oddHBand="0" w:evenHBand="0" w:firstRowFirstColumn="0" w:firstRowLastColumn="0" w:lastRowFirstColumn="0" w:lastRowLastColumn="0"/>
            </w:pPr>
            <w:r>
              <w:t>The strongest one — but not for generalists. MDR ~22–25% CAGR, managed XDR ~32%; buyers demand outcomes, not alert forwarding.</w:t>
            </w:r>
          </w:p>
        </w:tc>
        <w:tc>
          <w:tcPr>
            <w:tcW w:w="2340" w:type="dxa"/>
          </w:tcPr>
          <w:p w14:paraId="79C1FB3B" w14:textId="77777777" w:rsidR="00DC181F" w:rsidRDefault="001C4E0A">
            <w:pPr>
              <w:cnfStyle w:val="000000000000" w:firstRow="0" w:lastRow="0" w:firstColumn="0" w:lastColumn="0" w:oddVBand="0" w:evenVBand="0" w:oddHBand="0" w:evenHBand="0" w:firstRowFirstColumn="0" w:firstRowLastColumn="0" w:lastRowFirstColumn="0" w:lastRowLastColumn="0"/>
            </w:pPr>
            <w:r>
              <w:t>Security-first providers outperform generalists if they deliver real MDR/XDR/compliance outcomes.</w:t>
            </w:r>
          </w:p>
        </w:tc>
      </w:tr>
      <w:tr w:rsidR="00DC181F" w14:paraId="736D59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CF2AA2" w14:textId="77777777" w:rsidR="00DC181F" w:rsidRDefault="001C4E0A">
            <w:r>
              <w:t>7</w:t>
            </w:r>
          </w:p>
        </w:tc>
        <w:tc>
          <w:tcPr>
            <w:tcW w:w="2340" w:type="dxa"/>
          </w:tcPr>
          <w:p w14:paraId="5AA36BC1" w14:textId="77777777" w:rsidR="00DC181F" w:rsidRDefault="001C4E0A">
            <w:pPr>
              <w:cnfStyle w:val="000000100000" w:firstRow="0" w:lastRow="0" w:firstColumn="0" w:lastColumn="0" w:oddVBand="0" w:evenVBand="0" w:oddHBand="1" w:evenHBand="0" w:firstRowFirstColumn="0" w:firstRowLastColumn="0" w:lastRowFirstColumn="0" w:lastRowLastColumn="0"/>
            </w:pPr>
            <w:r>
              <w:t>What do the economics say about the future model?</w:t>
            </w:r>
          </w:p>
        </w:tc>
        <w:tc>
          <w:tcPr>
            <w:tcW w:w="2340" w:type="dxa"/>
          </w:tcPr>
          <w:p w14:paraId="4A69C253" w14:textId="77777777" w:rsidR="00DC181F" w:rsidRDefault="001C4E0A">
            <w:pPr>
              <w:cnfStyle w:val="000000100000" w:firstRow="0" w:lastRow="0" w:firstColumn="0" w:lastColumn="0" w:oddVBand="0" w:evenVBand="0" w:oddHBand="1" w:evenHBand="0" w:firstRowFirstColumn="0" w:firstRowLastColumn="0" w:lastRowFirstColumn="0" w:lastRowLastColumn="0"/>
            </w:pPr>
            <w:r>
              <w:t>Automation can expand EBITDA only if savings are captured faster than price compression. Valuation rewards recurring-revenue quality and scale over raw size.</w:t>
            </w:r>
          </w:p>
        </w:tc>
        <w:tc>
          <w:tcPr>
            <w:tcW w:w="2340" w:type="dxa"/>
          </w:tcPr>
          <w:p w14:paraId="5650C39E" w14:textId="77777777" w:rsidR="00DC181F" w:rsidRDefault="001C4E0A">
            <w:pPr>
              <w:cnfStyle w:val="000000100000" w:firstRow="0" w:lastRow="0" w:firstColumn="0" w:lastColumn="0" w:oddVBand="0" w:evenVBand="0" w:oddHBand="1" w:evenHBand="0" w:firstRowFirstColumn="0" w:firstRowLastColumn="0" w:lastRowFirstColumn="0" w:lastRowLastColumn="0"/>
            </w:pPr>
            <w:r>
              <w:t>Convert automation into resilience, compliance and outcomes — not into a lower "unlimited support" fee.</w:t>
            </w:r>
          </w:p>
        </w:tc>
      </w:tr>
      <w:tr w:rsidR="00DC181F" w14:paraId="0C82D6BF" w14:textId="77777777">
        <w:tc>
          <w:tcPr>
            <w:cnfStyle w:val="001000000000" w:firstRow="0" w:lastRow="0" w:firstColumn="1" w:lastColumn="0" w:oddVBand="0" w:evenVBand="0" w:oddHBand="0" w:evenHBand="0" w:firstRowFirstColumn="0" w:firstRowLastColumn="0" w:lastRowFirstColumn="0" w:lastRowLastColumn="0"/>
            <w:tcW w:w="2340" w:type="dxa"/>
          </w:tcPr>
          <w:p w14:paraId="4512E3DA" w14:textId="77777777" w:rsidR="00DC181F" w:rsidRDefault="001C4E0A">
            <w:r>
              <w:t>8</w:t>
            </w:r>
          </w:p>
        </w:tc>
        <w:tc>
          <w:tcPr>
            <w:tcW w:w="2340" w:type="dxa"/>
          </w:tcPr>
          <w:p w14:paraId="00BBEE8D" w14:textId="77777777" w:rsidR="00DC181F" w:rsidRDefault="001C4E0A">
            <w:pPr>
              <w:cnfStyle w:val="000000000000" w:firstRow="0" w:lastRow="0" w:firstColumn="0" w:lastColumn="0" w:oddVBand="0" w:evenVBand="0" w:oddHBand="0" w:evenHBand="0" w:firstRowFirstColumn="0" w:firstRowLastColumn="0" w:lastRowFirstColumn="0" w:lastRowLastColumn="0"/>
            </w:pPr>
            <w:r>
              <w:t>Is buyer behaviour changing?</w:t>
            </w:r>
          </w:p>
        </w:tc>
        <w:tc>
          <w:tcPr>
            <w:tcW w:w="2340" w:type="dxa"/>
          </w:tcPr>
          <w:p w14:paraId="44BB4E38" w14:textId="77777777" w:rsidR="00DC181F" w:rsidRDefault="001C4E0A">
            <w:pPr>
              <w:cnfStyle w:val="000000000000" w:firstRow="0" w:lastRow="0" w:firstColumn="0" w:lastColumn="0" w:oddVBand="0" w:evenVBand="0" w:oddHBand="0" w:evenHBand="0" w:firstRowFirstColumn="0" w:firstRowLastColumn="0" w:lastRowFirstColumn="0" w:lastRowLastColumn="0"/>
            </w:pPr>
            <w:r>
              <w:t>Decisively, but with nuance: KPMG/IDC (2026) find managed services are a strategic priority for 99% of buyers and 56% now prioritise AI management specifically — buyers want managed AI, not less management.</w:t>
            </w:r>
          </w:p>
        </w:tc>
        <w:tc>
          <w:tcPr>
            <w:tcW w:w="2340" w:type="dxa"/>
          </w:tcPr>
          <w:p w14:paraId="60B4A09F" w14:textId="77777777" w:rsidR="00DC181F" w:rsidRDefault="001C4E0A">
            <w:pPr>
              <w:cnfStyle w:val="000000000000" w:firstRow="0" w:lastRow="0" w:firstColumn="0" w:lastColumn="0" w:oddVBand="0" w:evenVBand="0" w:oddHBand="0" w:evenHBand="0" w:firstRowFirstColumn="0" w:firstRowLastColumn="0" w:lastRowFirstColumn="0" w:lastRowLastColumn="0"/>
            </w:pPr>
            <w:r>
              <w:t>Per-ticket value narratives weaken; outcome and AI-management narratives strengthen.</w:t>
            </w:r>
          </w:p>
        </w:tc>
      </w:tr>
      <w:tr w:rsidR="00DC181F" w14:paraId="5AD947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750ED8" w14:textId="77777777" w:rsidR="00DC181F" w:rsidRDefault="001C4E0A">
            <w:r>
              <w:t>9</w:t>
            </w:r>
          </w:p>
        </w:tc>
        <w:tc>
          <w:tcPr>
            <w:tcW w:w="2340" w:type="dxa"/>
          </w:tcPr>
          <w:p w14:paraId="2FC72373" w14:textId="77777777" w:rsidR="00DC181F" w:rsidRDefault="001C4E0A">
            <w:pPr>
              <w:cnfStyle w:val="000000100000" w:firstRow="0" w:lastRow="0" w:firstColumn="0" w:lastColumn="0" w:oddVBand="0" w:evenVBand="0" w:oddHBand="1" w:evenHBand="0" w:firstRowFirstColumn="0" w:firstRowLastColumn="0" w:lastRowFirstColumn="0" w:lastRowLastColumn="0"/>
            </w:pPr>
            <w:r>
              <w:t>What do other industries teach us?</w:t>
            </w:r>
          </w:p>
        </w:tc>
        <w:tc>
          <w:tcPr>
            <w:tcW w:w="2340" w:type="dxa"/>
          </w:tcPr>
          <w:p w14:paraId="05A7C859" w14:textId="77777777" w:rsidR="00DC181F" w:rsidRDefault="001C4E0A">
            <w:pPr>
              <w:cnfStyle w:val="000000100000" w:firstRow="0" w:lastRow="0" w:firstColumn="0" w:lastColumn="0" w:oddVBand="0" w:evenVBand="0" w:oddHBand="1" w:evenHBand="0" w:firstRowFirstColumn="0" w:firstRowLastColumn="0" w:lastRowFirstColumn="0" w:lastRowLastColumn="0"/>
            </w:pPr>
            <w:r>
              <w:t>Travel agents, VARs, hosting resellers, print bureaus and systems integrators all show the same lesson: intermediaries that added no value beyond the transaction were disintermediated; advisors survived.</w:t>
            </w:r>
          </w:p>
        </w:tc>
        <w:tc>
          <w:tcPr>
            <w:tcW w:w="2340" w:type="dxa"/>
          </w:tcPr>
          <w:p w14:paraId="10BDC272" w14:textId="77777777" w:rsidR="00DC181F" w:rsidRDefault="001C4E0A">
            <w:pPr>
              <w:cnfStyle w:val="000000100000" w:firstRow="0" w:lastRow="0" w:firstColumn="0" w:lastColumn="0" w:oddVBand="0" w:evenVBand="0" w:oddHBand="1" w:evenHBand="0" w:firstRowFirstColumn="0" w:firstRowLastColumn="0" w:lastRowFirstColumn="0" w:lastRowLastColumn="0"/>
            </w:pPr>
            <w:r>
              <w:t>Own advice, trust and outcomes — not the commoditised transaction.</w:t>
            </w:r>
          </w:p>
        </w:tc>
      </w:tr>
      <w:tr w:rsidR="00DC181F" w14:paraId="7F5E179E" w14:textId="77777777">
        <w:tc>
          <w:tcPr>
            <w:cnfStyle w:val="001000000000" w:firstRow="0" w:lastRow="0" w:firstColumn="1" w:lastColumn="0" w:oddVBand="0" w:evenVBand="0" w:oddHBand="0" w:evenHBand="0" w:firstRowFirstColumn="0" w:firstRowLastColumn="0" w:lastRowFirstColumn="0" w:lastRowLastColumn="0"/>
            <w:tcW w:w="2340" w:type="dxa"/>
          </w:tcPr>
          <w:p w14:paraId="5C8BCF21" w14:textId="77777777" w:rsidR="00DC181F" w:rsidRDefault="001C4E0A">
            <w:r>
              <w:t>10</w:t>
            </w:r>
          </w:p>
        </w:tc>
        <w:tc>
          <w:tcPr>
            <w:tcW w:w="2340" w:type="dxa"/>
          </w:tcPr>
          <w:p w14:paraId="7A95F9A7" w14:textId="77777777" w:rsidR="00DC181F" w:rsidRDefault="001C4E0A">
            <w:pPr>
              <w:cnfStyle w:val="000000000000" w:firstRow="0" w:lastRow="0" w:firstColumn="0" w:lastColumn="0" w:oddVBand="0" w:evenVBand="0" w:oddHBand="0" w:evenHBand="0" w:firstRowFirstColumn="0" w:firstRowLastColumn="0" w:lastRowFirstColumn="0" w:lastRowLastColumn="0"/>
            </w:pPr>
            <w:r>
              <w:t>Does the channel itself believe it is at risk?</w:t>
            </w:r>
          </w:p>
        </w:tc>
        <w:tc>
          <w:tcPr>
            <w:tcW w:w="2340" w:type="dxa"/>
          </w:tcPr>
          <w:p w14:paraId="6697859C" w14:textId="77777777" w:rsidR="00DC181F" w:rsidRDefault="001C4E0A">
            <w:pPr>
              <w:cnfStyle w:val="000000000000" w:firstRow="0" w:lastRow="0" w:firstColumn="0" w:lastColumn="0" w:oddVBand="0" w:evenVBand="0" w:oddHBand="0" w:evenHBand="0" w:firstRowFirstColumn="0" w:firstRowLastColumn="0" w:lastRowFirstColumn="0" w:lastRowLastColumn="0"/>
            </w:pPr>
            <w:r>
              <w:t xml:space="preserve">GTIA's State of the Channel 2026 finds a 50/50 split: half of IT </w:t>
            </w:r>
            <w:r>
              <w:lastRenderedPageBreak/>
              <w:t>service providers say the channel is "relevant and holding steady", half say "relevant and changing rapidly" — and smaller/micro firms overwhelmingly report the ground shifting under them.</w:t>
            </w:r>
          </w:p>
        </w:tc>
        <w:tc>
          <w:tcPr>
            <w:tcW w:w="2340" w:type="dxa"/>
          </w:tcPr>
          <w:p w14:paraId="5DED9AF2" w14:textId="77777777" w:rsidR="00DC181F" w:rsidRDefault="001C4E0A">
            <w:pPr>
              <w:cnfStyle w:val="000000000000" w:firstRow="0" w:lastRow="0" w:firstColumn="0" w:lastColumn="0" w:oddVBand="0" w:evenVBand="0" w:oddHBand="0" w:evenHBand="0" w:firstRowFirstColumn="0" w:firstRowLastColumn="0" w:lastRowFirstColumn="0" w:lastRowLastColumn="0"/>
            </w:pPr>
            <w:r>
              <w:lastRenderedPageBreak/>
              <w:t xml:space="preserve">Scale and specialisation are now the dividing line for </w:t>
            </w:r>
            <w:r>
              <w:lastRenderedPageBreak/>
              <w:t>confidence, not industry growth.</w:t>
            </w:r>
          </w:p>
        </w:tc>
      </w:tr>
    </w:tbl>
    <w:p w14:paraId="57BD0334" w14:textId="77777777" w:rsidR="00DC181F" w:rsidRDefault="001C4E0A">
      <w:r>
        <w:lastRenderedPageBreak/>
        <w:t>The ten headline findings, stated as evidence:</w:t>
      </w:r>
    </w:p>
    <w:p w14:paraId="0930D702" w14:textId="77777777" w:rsidR="00DC181F" w:rsidRDefault="001C4E0A">
      <w:r>
        <w:t>Finding 1 — The market is growing while the number of providers shrinks. Channel-delivered managed services exceeded $500 billion in 2024 (up 9.7 per cent) while the global partner count fell 0.6 per cent to 335,385 MSPs, the definitional signature of a consolidating, scale-driven industry (Canalys, 2025). Canalys forecast the category at roughly $608 billion in 2025, larger than the entire SaaS industry.</w:t>
      </w:r>
    </w:p>
    <w:p w14:paraId="31B51788" w14:textId="77777777" w:rsidR="00DC181F" w:rsidRDefault="001C4E0A">
      <w:r>
        <w:t>Finding 2 — Organic growth for existing MSPs has stalled. Worldwide managed-service revenue growth fell to 1.0 per cent in Q4 2024, the lowest of the year, and 18 per cent of MSPs reported a loss, up from 14 per cent the prior quarter (Service Leadership Index, Q4 2024). The dollar growth of the category is being captured by security and cloud add-ons and by consolidation, not by organic expansion at the median generalist.</w:t>
      </w:r>
    </w:p>
    <w:p w14:paraId="0B5491E7" w14:textId="77777777" w:rsidR="00DC181F" w:rsidRDefault="001C4E0A">
      <w:r>
        <w:t>Finding 3 — Profitability has bifurcated, and the split is the central fact of the industry. Best-in-class TSPs posted a record fifth consecutive year of 19-per-cent-plus adjusted EBITDA in 2024, with valuations up roughly 22 per cent (Service Leadership, 2025). At the same time, focused MSPs achieve 15 to 30 per cent EBITDA against about 7 per cent for unfocused generalists (Canalys/N-able), and labour-heavy project gross margins collapsed from 23.0 per cent to 12.9 per cent in a single year on weak utilis</w:t>
      </w:r>
      <w:r>
        <w:t>ation (Service Leadership Index, Q4 2024).</w:t>
      </w:r>
    </w:p>
    <w:p w14:paraId="466E080F" w14:textId="77777777" w:rsidR="00DC181F" w:rsidRDefault="001C4E0A">
      <w:r>
        <w:t>Finding 4 — Labour is the structural constraint of the traditional model. MSP revenue per employee runs at roughly $100,000 to $150,000, against a median of $283,000 for public SaaS companies, and growth is linear with headcount. The US Bureau of Labor Statistics projects computer support-specialist employment to decline 3 per cent between 2024 and 2034, a signal that automation is already eroding demand for the tier-1 role, even as IDC values the broader IT skills gap at $5.5 trillion by 2026.</w:t>
      </w:r>
    </w:p>
    <w:p w14:paraId="063809AF" w14:textId="77777777" w:rsidR="00DC181F" w:rsidRDefault="001C4E0A">
      <w:r>
        <w:t xml:space="preserve">Finding 5 — AI is most capable exactly where MSP billable labour concentrates. Measured results include a 14-to-15-per-cent productivity gain for support agents (34 per cent for novices) in peer-reviewed research (Brynjolfsson, Li and Raymond), roughly 20-to-54-per-cent ticket deflection at ServiceNow's own service desk, and Klarna's assistant performing the work of 700 agents before a partial, quality-driven reversal. In the base case, this report estimates 25 to 40 per cent of current </w:t>
      </w:r>
      <w:r>
        <w:lastRenderedPageBreak/>
        <w:t>L1/L2 task-hours become automatable by about 2030. The pricing model breaks before the labour model does.</w:t>
      </w:r>
    </w:p>
    <w:p w14:paraId="2ED83712" w14:textId="77777777" w:rsidR="00DC181F" w:rsidRDefault="001C4E0A">
      <w:r>
        <w:t>Finding 6 — Microsoft is productising the MSP task list and rewiring partner economics. Autopatch, Intune, Defender XDR attack disruption and Security Copilot agents convert recurring, labour-priced MSP services into platform features, while the retirement of Action Pack and legacy tiers, the removal of Azure CSP margin, and the FY26 benefits refresh redirect partner incentives toward AI, security and consumption.</w:t>
      </w:r>
    </w:p>
    <w:p w14:paraId="37C585BB" w14:textId="77777777" w:rsidR="00DC181F" w:rsidRDefault="001C4E0A">
      <w:r>
        <w:t>Finding 7 — Platform vendors now sell the managed layer directly. Microsoft Defender Experts for XDR, AWS Managed Services and Google's Mandiant Managed Defense put hyperscalers in direct competition with their partners for managed operations and managed-SOC revenue, capping the premium an intermediary can charge for running the platform.</w:t>
      </w:r>
    </w:p>
    <w:p w14:paraId="2FA828C2" w14:textId="77777777" w:rsidR="00DC181F" w:rsidRDefault="001C4E0A">
      <w:r>
        <w:t>Finding 8 — Security-focused providers are outgrowing and out-valuing generalists. Managed detection and response is forecast to grow at roughly 23.5 per cent CAGR to $15.3 billion by 2030, about twice the pace of generalist managed services (Grand View Research). Specialists command premium capital: Huntress raised at a $1.55 billion valuation, Sophos paid $859 million for Secureworks to lead pure-play MDR, and Palo Alto's XSIAM generates over $1 million in ARR per customer. Breach economics (59 per cent o</w:t>
      </w:r>
      <w:r>
        <w:t>f organisations hit by ransomware; $2.73 million average recovery cost) and insurer mandates keep pulling buyers toward specialists.</w:t>
      </w:r>
    </w:p>
    <w:p w14:paraId="61305B70" w14:textId="77777777" w:rsidR="00DC181F" w:rsidRDefault="001C4E0A">
      <w:r>
        <w:t>Finding 9 — Buyers are shifting from labour to outcomes, security and AI advice. Co-managed IT is now offered by 83 per cent of MSPs; 78 per cent of MSPs report cybersecurity as clients' top challenge and 73 per cent call it a top revenue driver; and 70 per cent of middle-market firms using generative AI say they need external help, with 47 per cent of AI budgets flowing to consulting (Kaseya; RSM US, 2025). Enterprise contract data shows as-a-service spend growing roughly seven times faster than managed se</w:t>
      </w:r>
      <w:r>
        <w:t>rvices (14 per cent versus 2 per cent forecast for 2024), and Canalys projects the channel's share of total IT spend falling from above 75 per cent historically to about 66.7 per cent by 2026.</w:t>
      </w:r>
    </w:p>
    <w:p w14:paraId="1730C409" w14:textId="77777777" w:rsidR="00DC181F" w:rsidRDefault="001C4E0A">
      <w:r>
        <w:t>Finding 10 — History is consistent: platform shifts sort intermediaries rather than sparing them. Across seven prior cases (video rental, film, PBX dealers, ISPs, hosting, hardware VARs, systems integrators and travel agencies), the platform absorbed the commodity layer, laggards failed or were absorbed, and specialists who moved up-market survived and often prospered. The closest analogies for MSPs are travel agencies, where employment fell about 60 per cent from peak while surviving specialists thrived, a</w:t>
      </w:r>
      <w:r>
        <w:t>nd the Accenture-versus-DXC divergence, where reinvention returned +70 per cent over five years while defending legacy labour returned −60 per cent.</w:t>
      </w:r>
    </w:p>
    <w:p w14:paraId="44DD59C5" w14:textId="77777777" w:rsidR="00DC181F" w:rsidRDefault="001C4E0A">
      <w:r>
        <w:br w:type="page"/>
      </w:r>
    </w:p>
    <w:p w14:paraId="7AC9C5DC" w14:textId="77777777" w:rsidR="00DC181F" w:rsidRDefault="001C4E0A">
      <w:pPr>
        <w:pStyle w:val="Heading1"/>
      </w:pPr>
      <w:bookmarkStart w:id="4" w:name="_Toc236412122"/>
      <w:r>
        <w:lastRenderedPageBreak/>
        <w:t>4. Evidence and Source Citations</w:t>
      </w:r>
      <w:bookmarkEnd w:id="4"/>
    </w:p>
    <w:p w14:paraId="29B88D52" w14:textId="77777777" w:rsidR="00DC181F" w:rsidRDefault="001C4E0A">
      <w:r>
        <w:t>Every material statistic in this report is attributed to a named source in the text and listed with publisher, date and URL in the Complete Reference List (Section 14). Sources are tiered: verified primary (issuer filings, official documentation, government statistics, peer-reviewed research), analyst (Gartner, IDC, Canalys, Omdia, ISG, McKinsey), secondary (credible reporting of a primary source) and vendor (surveys and performance claims by firms with a commercial interest, flagged accordingly). Claims th</w:t>
      </w:r>
      <w:r>
        <w:t>at could not be traced past a compilation source were excluded. This section surfaces the highest-value, load-bearing evidence — the sources an MSP owner, board member or investor should read first if they read nothing else.</w:t>
      </w:r>
    </w:p>
    <w:p w14:paraId="28125B22" w14:textId="77777777" w:rsidR="00DC181F" w:rsidRDefault="001C4E0A">
      <w:pPr>
        <w:pStyle w:val="Heading2"/>
      </w:pPr>
      <w:bookmarkStart w:id="5" w:name="_Toc236412123"/>
      <w:r>
        <w:t>4.1 The single most important new citation</w:t>
      </w:r>
      <w:bookmarkEnd w:id="5"/>
    </w:p>
    <w:p w14:paraId="633EE0BF" w14:textId="77777777" w:rsidR="00DC181F" w:rsidRDefault="001C4E0A">
      <w:r>
        <w:t>"Managed services opportunities for incumbent providers will shrink. By 2030, the obtainable opportunities will be half what they are today. To survive, tech services leaders responsible for managed services must immediately pivot to AI-driven portfolios while reducing reliance on manual labor." — Gartner, Managed Services Disruption: Surviving an AI Agent-Dominated Market, 27 October 2025 (analyst: Fernando Pereiro). This is the clearest single number that reconciles "the market is healthy" with "your curr</w:t>
      </w:r>
      <w:r>
        <w:t>ent model is at risk".</w:t>
      </w:r>
    </w:p>
    <w:p w14:paraId="7E40DE78" w14:textId="77777777" w:rsidR="00DC181F" w:rsidRDefault="001C4E0A">
      <w:pPr>
        <w:pStyle w:val="Heading2"/>
      </w:pPr>
      <w:bookmarkStart w:id="6" w:name="_Toc236412124"/>
      <w:r>
        <w:t>4.2 The ten most load-bearing pieces of evidence</w:t>
      </w:r>
      <w:bookmarkEnd w:id="6"/>
    </w:p>
    <w:tbl>
      <w:tblPr>
        <w:tblStyle w:val="LightShading-Accent1"/>
        <w:tblW w:w="5000" w:type="pct"/>
        <w:tblLayout w:type="fixed"/>
        <w:tblLook w:val="04A0" w:firstRow="1" w:lastRow="0" w:firstColumn="1" w:lastColumn="0" w:noHBand="0" w:noVBand="1"/>
      </w:tblPr>
      <w:tblGrid>
        <w:gridCol w:w="2394"/>
        <w:gridCol w:w="2394"/>
        <w:gridCol w:w="2394"/>
        <w:gridCol w:w="2394"/>
      </w:tblGrid>
      <w:tr w:rsidR="00DC181F" w14:paraId="0A4DF328"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19A38EB1" w14:textId="77777777" w:rsidR="00DC181F" w:rsidRDefault="001C4E0A">
            <w:r>
              <w:t>Claim</w:t>
            </w:r>
          </w:p>
        </w:tc>
        <w:tc>
          <w:tcPr>
            <w:tcW w:w="2340" w:type="dxa"/>
          </w:tcPr>
          <w:p w14:paraId="32A5E1C3" w14:textId="77777777" w:rsidR="00DC181F" w:rsidRDefault="001C4E0A">
            <w:pPr>
              <w:cnfStyle w:val="100000000000" w:firstRow="1" w:lastRow="0" w:firstColumn="0" w:lastColumn="0" w:oddVBand="0" w:evenVBand="0" w:oddHBand="0" w:evenHBand="0" w:firstRowFirstColumn="0" w:firstRowLastColumn="0" w:lastRowFirstColumn="0" w:lastRowLastColumn="0"/>
            </w:pPr>
            <w:r>
              <w:t>Figure</w:t>
            </w:r>
          </w:p>
        </w:tc>
        <w:tc>
          <w:tcPr>
            <w:tcW w:w="2340" w:type="dxa"/>
          </w:tcPr>
          <w:p w14:paraId="20D2B7EE" w14:textId="77777777" w:rsidR="00DC181F" w:rsidRDefault="001C4E0A">
            <w:pPr>
              <w:cnfStyle w:val="100000000000" w:firstRow="1" w:lastRow="0" w:firstColumn="0" w:lastColumn="0" w:oddVBand="0" w:evenVBand="0" w:oddHBand="0" w:evenHBand="0" w:firstRowFirstColumn="0" w:firstRowLastColumn="0" w:lastRowFirstColumn="0" w:lastRowLastColumn="0"/>
            </w:pPr>
            <w:r>
              <w:t>Source</w:t>
            </w:r>
          </w:p>
        </w:tc>
        <w:tc>
          <w:tcPr>
            <w:tcW w:w="2340" w:type="dxa"/>
          </w:tcPr>
          <w:p w14:paraId="4EE6E0E1" w14:textId="77777777" w:rsidR="00DC181F" w:rsidRDefault="001C4E0A">
            <w:pPr>
              <w:cnfStyle w:val="100000000000" w:firstRow="1" w:lastRow="0" w:firstColumn="0" w:lastColumn="0" w:oddVBand="0" w:evenVBand="0" w:oddHBand="0" w:evenHBand="0" w:firstRowFirstColumn="0" w:firstRowLastColumn="0" w:lastRowFirstColumn="0" w:lastRowLastColumn="0"/>
            </w:pPr>
            <w:r>
              <w:t>Reliability</w:t>
            </w:r>
          </w:p>
        </w:tc>
      </w:tr>
      <w:tr w:rsidR="00DC181F" w14:paraId="38759B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B75E9B8" w14:textId="77777777" w:rsidR="00DC181F" w:rsidRDefault="001C4E0A">
            <w:r>
              <w:t>Managed-services opportunity for incumbents</w:t>
            </w:r>
          </w:p>
        </w:tc>
        <w:tc>
          <w:tcPr>
            <w:tcW w:w="2340" w:type="dxa"/>
          </w:tcPr>
          <w:p w14:paraId="25942DC8" w14:textId="77777777" w:rsidR="00DC181F" w:rsidRDefault="001C4E0A">
            <w:pPr>
              <w:cnfStyle w:val="000000100000" w:firstRow="0" w:lastRow="0" w:firstColumn="0" w:lastColumn="0" w:oddVBand="0" w:evenVBand="0" w:oddHBand="1" w:evenHBand="0" w:firstRowFirstColumn="0" w:firstRowLastColumn="0" w:lastRowFirstColumn="0" w:lastRowLastColumn="0"/>
            </w:pPr>
            <w:r>
              <w:t>Obtainable opportunity halves by 2030</w:t>
            </w:r>
          </w:p>
        </w:tc>
        <w:tc>
          <w:tcPr>
            <w:tcW w:w="2340" w:type="dxa"/>
          </w:tcPr>
          <w:p w14:paraId="40AD27E6" w14:textId="77777777" w:rsidR="00DC181F" w:rsidRDefault="001C4E0A">
            <w:pPr>
              <w:cnfStyle w:val="000000100000" w:firstRow="0" w:lastRow="0" w:firstColumn="0" w:lastColumn="0" w:oddVBand="0" w:evenVBand="0" w:oddHBand="1" w:evenHBand="0" w:firstRowFirstColumn="0" w:firstRowLastColumn="0" w:lastRowFirstColumn="0" w:lastRowLastColumn="0"/>
            </w:pPr>
            <w:r>
              <w:t>Gartner, Managed Services Disruption (Oct 2025)</w:t>
            </w:r>
          </w:p>
        </w:tc>
        <w:tc>
          <w:tcPr>
            <w:tcW w:w="2340" w:type="dxa"/>
          </w:tcPr>
          <w:p w14:paraId="4DE07F04" w14:textId="77777777" w:rsidR="00DC181F" w:rsidRDefault="001C4E0A">
            <w:pPr>
              <w:cnfStyle w:val="000000100000" w:firstRow="0" w:lastRow="0" w:firstColumn="0" w:lastColumn="0" w:oddVBand="0" w:evenVBand="0" w:oddHBand="1" w:evenHBand="0" w:firstRowFirstColumn="0" w:firstRowLastColumn="0" w:lastRowFirstColumn="0" w:lastRowLastColumn="0"/>
            </w:pPr>
            <w:r>
              <w:t>Analyst forecast</w:t>
            </w:r>
          </w:p>
        </w:tc>
      </w:tr>
      <w:tr w:rsidR="00DC181F" w14:paraId="1C264342" w14:textId="77777777">
        <w:tc>
          <w:tcPr>
            <w:cnfStyle w:val="001000000000" w:firstRow="0" w:lastRow="0" w:firstColumn="1" w:lastColumn="0" w:oddVBand="0" w:evenVBand="0" w:oddHBand="0" w:evenHBand="0" w:firstRowFirstColumn="0" w:firstRowLastColumn="0" w:lastRowFirstColumn="0" w:lastRowLastColumn="0"/>
            <w:tcW w:w="2340" w:type="dxa"/>
          </w:tcPr>
          <w:p w14:paraId="12E8435A" w14:textId="77777777" w:rsidR="00DC181F" w:rsidRDefault="001C4E0A">
            <w:r>
              <w:t>Channel managed services market size and growth</w:t>
            </w:r>
          </w:p>
        </w:tc>
        <w:tc>
          <w:tcPr>
            <w:tcW w:w="2340" w:type="dxa"/>
          </w:tcPr>
          <w:p w14:paraId="736C88AB" w14:textId="77777777" w:rsidR="00DC181F" w:rsidRDefault="001C4E0A">
            <w:pPr>
              <w:cnfStyle w:val="000000000000" w:firstRow="0" w:lastRow="0" w:firstColumn="0" w:lastColumn="0" w:oddVBand="0" w:evenVBand="0" w:oddHBand="0" w:evenHBand="0" w:firstRowFirstColumn="0" w:firstRowLastColumn="0" w:lastRowFirstColumn="0" w:lastRowLastColumn="0"/>
            </w:pPr>
            <w:r>
              <w:t>&gt;$500B in 2024, +9.7%; ~$608B forecast 2025</w:t>
            </w:r>
          </w:p>
        </w:tc>
        <w:tc>
          <w:tcPr>
            <w:tcW w:w="2340" w:type="dxa"/>
          </w:tcPr>
          <w:p w14:paraId="25C3F212" w14:textId="77777777" w:rsidR="00DC181F" w:rsidRDefault="001C4E0A">
            <w:pPr>
              <w:cnfStyle w:val="000000000000" w:firstRow="0" w:lastRow="0" w:firstColumn="0" w:lastColumn="0" w:oddVBand="0" w:evenVBand="0" w:oddHBand="0" w:evenHBand="0" w:firstRowFirstColumn="0" w:firstRowLastColumn="0" w:lastRowFirstColumn="0" w:lastRowLastColumn="0"/>
            </w:pPr>
            <w:r>
              <w:t>Canalys, via Business of Tech (2025)</w:t>
            </w:r>
          </w:p>
        </w:tc>
        <w:tc>
          <w:tcPr>
            <w:tcW w:w="2340" w:type="dxa"/>
          </w:tcPr>
          <w:p w14:paraId="692A7062" w14:textId="77777777" w:rsidR="00DC181F" w:rsidRDefault="001C4E0A">
            <w:pPr>
              <w:cnfStyle w:val="000000000000" w:firstRow="0" w:lastRow="0" w:firstColumn="0" w:lastColumn="0" w:oddVBand="0" w:evenVBand="0" w:oddHBand="0" w:evenHBand="0" w:firstRowFirstColumn="0" w:firstRowLastColumn="0" w:lastRowFirstColumn="0" w:lastRowLastColumn="0"/>
            </w:pPr>
            <w:r>
              <w:t>Analyst, secondary relay</w:t>
            </w:r>
          </w:p>
        </w:tc>
      </w:tr>
      <w:tr w:rsidR="00DC181F" w14:paraId="4A82D3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EF04C9" w14:textId="77777777" w:rsidR="00DC181F" w:rsidRDefault="001C4E0A">
            <w:r>
              <w:t>Organic managed-service revenue growth</w:t>
            </w:r>
          </w:p>
        </w:tc>
        <w:tc>
          <w:tcPr>
            <w:tcW w:w="2340" w:type="dxa"/>
          </w:tcPr>
          <w:p w14:paraId="26974346" w14:textId="77777777" w:rsidR="00DC181F" w:rsidRDefault="001C4E0A">
            <w:pPr>
              <w:cnfStyle w:val="000000100000" w:firstRow="0" w:lastRow="0" w:firstColumn="0" w:lastColumn="0" w:oddVBand="0" w:evenVBand="0" w:oddHBand="1" w:evenHBand="0" w:firstRowFirstColumn="0" w:firstRowLastColumn="0" w:lastRowFirstColumn="0" w:lastRowLastColumn="0"/>
            </w:pPr>
            <w:r>
              <w:t>1.0% in Q4 2024</w:t>
            </w:r>
          </w:p>
        </w:tc>
        <w:tc>
          <w:tcPr>
            <w:tcW w:w="2340" w:type="dxa"/>
          </w:tcPr>
          <w:p w14:paraId="13FCAD60" w14:textId="77777777" w:rsidR="00DC181F" w:rsidRDefault="001C4E0A">
            <w:pPr>
              <w:cnfStyle w:val="000000100000" w:firstRow="0" w:lastRow="0" w:firstColumn="0" w:lastColumn="0" w:oddVBand="0" w:evenVBand="0" w:oddHBand="1" w:evenHBand="0" w:firstRowFirstColumn="0" w:firstRowLastColumn="0" w:lastRowFirstColumn="0" w:lastRowLastColumn="0"/>
            </w:pPr>
            <w:r>
              <w:t>Service Leadership Index Q4 2024</w:t>
            </w:r>
          </w:p>
        </w:tc>
        <w:tc>
          <w:tcPr>
            <w:tcW w:w="2340" w:type="dxa"/>
          </w:tcPr>
          <w:p w14:paraId="5F93F74B" w14:textId="77777777" w:rsidR="00DC181F" w:rsidRDefault="001C4E0A">
            <w:pPr>
              <w:cnfStyle w:val="000000100000" w:firstRow="0" w:lastRow="0" w:firstColumn="0" w:lastColumn="0" w:oddVBand="0" w:evenVBand="0" w:oddHBand="1" w:evenHBand="0" w:firstRowFirstColumn="0" w:firstRowLastColumn="0" w:lastRowFirstColumn="0" w:lastRowLastColumn="0"/>
            </w:pPr>
            <w:r>
              <w:t>Verified primary</w:t>
            </w:r>
          </w:p>
        </w:tc>
      </w:tr>
      <w:tr w:rsidR="00DC181F" w14:paraId="3C181868" w14:textId="77777777">
        <w:tc>
          <w:tcPr>
            <w:cnfStyle w:val="001000000000" w:firstRow="0" w:lastRow="0" w:firstColumn="1" w:lastColumn="0" w:oddVBand="0" w:evenVBand="0" w:oddHBand="0" w:evenHBand="0" w:firstRowFirstColumn="0" w:firstRowLastColumn="0" w:lastRowFirstColumn="0" w:lastRowLastColumn="0"/>
            <w:tcW w:w="2340" w:type="dxa"/>
          </w:tcPr>
          <w:p w14:paraId="17FEC4F3" w14:textId="77777777" w:rsidR="00DC181F" w:rsidRDefault="001C4E0A">
            <w:r>
              <w:t>MSPs operating at a loss</w:t>
            </w:r>
          </w:p>
        </w:tc>
        <w:tc>
          <w:tcPr>
            <w:tcW w:w="2340" w:type="dxa"/>
          </w:tcPr>
          <w:p w14:paraId="23D66DDA" w14:textId="77777777" w:rsidR="00DC181F" w:rsidRDefault="001C4E0A">
            <w:pPr>
              <w:cnfStyle w:val="000000000000" w:firstRow="0" w:lastRow="0" w:firstColumn="0" w:lastColumn="0" w:oddVBand="0" w:evenVBand="0" w:oddHBand="0" w:evenHBand="0" w:firstRowFirstColumn="0" w:firstRowLastColumn="0" w:lastRowFirstColumn="0" w:lastRowLastColumn="0"/>
            </w:pPr>
            <w:r>
              <w:t>18% in Q4 2024, up from 14%</w:t>
            </w:r>
          </w:p>
        </w:tc>
        <w:tc>
          <w:tcPr>
            <w:tcW w:w="2340" w:type="dxa"/>
          </w:tcPr>
          <w:p w14:paraId="74411A49" w14:textId="77777777" w:rsidR="00DC181F" w:rsidRDefault="001C4E0A">
            <w:pPr>
              <w:cnfStyle w:val="000000000000" w:firstRow="0" w:lastRow="0" w:firstColumn="0" w:lastColumn="0" w:oddVBand="0" w:evenVBand="0" w:oddHBand="0" w:evenHBand="0" w:firstRowFirstColumn="0" w:firstRowLastColumn="0" w:lastRowFirstColumn="0" w:lastRowLastColumn="0"/>
            </w:pPr>
            <w:r>
              <w:t>Service Leadership Index Q4 2024</w:t>
            </w:r>
          </w:p>
        </w:tc>
        <w:tc>
          <w:tcPr>
            <w:tcW w:w="2340" w:type="dxa"/>
          </w:tcPr>
          <w:p w14:paraId="009A5769" w14:textId="77777777" w:rsidR="00DC181F" w:rsidRDefault="001C4E0A">
            <w:pPr>
              <w:cnfStyle w:val="000000000000" w:firstRow="0" w:lastRow="0" w:firstColumn="0" w:lastColumn="0" w:oddVBand="0" w:evenVBand="0" w:oddHBand="0" w:evenHBand="0" w:firstRowFirstColumn="0" w:firstRowLastColumn="0" w:lastRowFirstColumn="0" w:lastRowLastColumn="0"/>
            </w:pPr>
            <w:r>
              <w:t>Verified primary</w:t>
            </w:r>
          </w:p>
        </w:tc>
      </w:tr>
      <w:tr w:rsidR="00DC181F" w14:paraId="409894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6D2FA5" w14:textId="77777777" w:rsidR="00DC181F" w:rsidRDefault="001C4E0A">
            <w:r>
              <w:t>Best-in-class TSP adjusted EBITDA</w:t>
            </w:r>
          </w:p>
        </w:tc>
        <w:tc>
          <w:tcPr>
            <w:tcW w:w="2340" w:type="dxa"/>
          </w:tcPr>
          <w:p w14:paraId="0EC96E10" w14:textId="77777777" w:rsidR="00DC181F" w:rsidRDefault="001C4E0A">
            <w:pPr>
              <w:cnfStyle w:val="000000100000" w:firstRow="0" w:lastRow="0" w:firstColumn="0" w:lastColumn="0" w:oddVBand="0" w:evenVBand="0" w:oddHBand="1" w:evenHBand="0" w:firstRowFirstColumn="0" w:firstRowLastColumn="0" w:lastRowFirstColumn="0" w:lastRowLastColumn="0"/>
            </w:pPr>
            <w:r>
              <w:t>19%+ for a record fifth straight year (2024)</w:t>
            </w:r>
          </w:p>
        </w:tc>
        <w:tc>
          <w:tcPr>
            <w:tcW w:w="2340" w:type="dxa"/>
          </w:tcPr>
          <w:p w14:paraId="60901A3A" w14:textId="77777777" w:rsidR="00DC181F" w:rsidRDefault="001C4E0A">
            <w:pPr>
              <w:cnfStyle w:val="000000100000" w:firstRow="0" w:lastRow="0" w:firstColumn="0" w:lastColumn="0" w:oddVBand="0" w:evenVBand="0" w:oddHBand="1" w:evenHBand="0" w:firstRowFirstColumn="0" w:firstRowLastColumn="0" w:lastRowFirstColumn="0" w:lastRowLastColumn="0"/>
            </w:pPr>
            <w:r>
              <w:t>Service Leadership 2025 Annual Report</w:t>
            </w:r>
          </w:p>
        </w:tc>
        <w:tc>
          <w:tcPr>
            <w:tcW w:w="2340" w:type="dxa"/>
          </w:tcPr>
          <w:p w14:paraId="134B08AD" w14:textId="77777777" w:rsidR="00DC181F" w:rsidRDefault="001C4E0A">
            <w:pPr>
              <w:cnfStyle w:val="000000100000" w:firstRow="0" w:lastRow="0" w:firstColumn="0" w:lastColumn="0" w:oddVBand="0" w:evenVBand="0" w:oddHBand="1" w:evenHBand="0" w:firstRowFirstColumn="0" w:firstRowLastColumn="0" w:lastRowFirstColumn="0" w:lastRowLastColumn="0"/>
            </w:pPr>
            <w:r>
              <w:t>Verified primary</w:t>
            </w:r>
          </w:p>
        </w:tc>
      </w:tr>
      <w:tr w:rsidR="00DC181F" w14:paraId="0869E341" w14:textId="77777777">
        <w:tc>
          <w:tcPr>
            <w:cnfStyle w:val="001000000000" w:firstRow="0" w:lastRow="0" w:firstColumn="1" w:lastColumn="0" w:oddVBand="0" w:evenVBand="0" w:oddHBand="0" w:evenHBand="0" w:firstRowFirstColumn="0" w:firstRowLastColumn="0" w:lastRowFirstColumn="0" w:lastRowLastColumn="0"/>
            <w:tcW w:w="2340" w:type="dxa"/>
          </w:tcPr>
          <w:p w14:paraId="387315A6" w14:textId="77777777" w:rsidR="00DC181F" w:rsidRDefault="001C4E0A">
            <w:r>
              <w:t>Deal-size compression</w:t>
            </w:r>
          </w:p>
        </w:tc>
        <w:tc>
          <w:tcPr>
            <w:tcW w:w="2340" w:type="dxa"/>
          </w:tcPr>
          <w:p w14:paraId="321263FD" w14:textId="77777777" w:rsidR="00DC181F" w:rsidRDefault="001C4E0A">
            <w:pPr>
              <w:cnfStyle w:val="000000000000" w:firstRow="0" w:lastRow="0" w:firstColumn="0" w:lastColumn="0" w:oddVBand="0" w:evenVBand="0" w:oddHBand="0" w:evenHBand="0" w:firstRowFirstColumn="0" w:firstRowLastColumn="0" w:lastRowFirstColumn="0" w:lastRowLastColumn="0"/>
            </w:pPr>
            <w:r>
              <w:t>Share of clients spending $25k+/yr fell 75%→41% in one year</w:t>
            </w:r>
          </w:p>
        </w:tc>
        <w:tc>
          <w:tcPr>
            <w:tcW w:w="2340" w:type="dxa"/>
          </w:tcPr>
          <w:p w14:paraId="06929CDB" w14:textId="77777777" w:rsidR="00DC181F" w:rsidRDefault="001C4E0A">
            <w:pPr>
              <w:cnfStyle w:val="000000000000" w:firstRow="0" w:lastRow="0" w:firstColumn="0" w:lastColumn="0" w:oddVBand="0" w:evenVBand="0" w:oddHBand="0" w:evenHBand="0" w:firstRowFirstColumn="0" w:firstRowLastColumn="0" w:lastRowFirstColumn="0" w:lastRowLastColumn="0"/>
            </w:pPr>
            <w:r>
              <w:t>Kaseya 2026 State of the MSP</w:t>
            </w:r>
          </w:p>
        </w:tc>
        <w:tc>
          <w:tcPr>
            <w:tcW w:w="2340" w:type="dxa"/>
          </w:tcPr>
          <w:p w14:paraId="41983D06" w14:textId="77777777" w:rsidR="00DC181F" w:rsidRDefault="001C4E0A">
            <w:pPr>
              <w:cnfStyle w:val="000000000000" w:firstRow="0" w:lastRow="0" w:firstColumn="0" w:lastColumn="0" w:oddVBand="0" w:evenVBand="0" w:oddHBand="0" w:evenHBand="0" w:firstRowFirstColumn="0" w:firstRowLastColumn="0" w:lastRowFirstColumn="0" w:lastRowLastColumn="0"/>
            </w:pPr>
            <w:r>
              <w:t>Vendor survey</w:t>
            </w:r>
          </w:p>
        </w:tc>
      </w:tr>
      <w:tr w:rsidR="00DC181F" w14:paraId="4E2C3A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3FE072" w14:textId="77777777" w:rsidR="00DC181F" w:rsidRDefault="001C4E0A">
            <w:r>
              <w:t>MSP valuation multiples by size</w:t>
            </w:r>
          </w:p>
        </w:tc>
        <w:tc>
          <w:tcPr>
            <w:tcW w:w="2340" w:type="dxa"/>
          </w:tcPr>
          <w:p w14:paraId="6A925937" w14:textId="77777777" w:rsidR="00DC181F" w:rsidRDefault="001C4E0A">
            <w:pPr>
              <w:cnfStyle w:val="000000100000" w:firstRow="0" w:lastRow="0" w:firstColumn="0" w:lastColumn="0" w:oddVBand="0" w:evenVBand="0" w:oddHBand="1" w:evenHBand="0" w:firstRowFirstColumn="0" w:firstRowLastColumn="0" w:lastRowFirstColumn="0" w:lastRowLastColumn="0"/>
            </w:pPr>
            <w:r>
              <w:t>5.2x (&lt;$5M) to 11.2x ($500M+) EV/EBITDA; median ~8.9x</w:t>
            </w:r>
          </w:p>
        </w:tc>
        <w:tc>
          <w:tcPr>
            <w:tcW w:w="2340" w:type="dxa"/>
          </w:tcPr>
          <w:p w14:paraId="0B759117" w14:textId="77777777" w:rsidR="00DC181F" w:rsidRDefault="001C4E0A">
            <w:pPr>
              <w:cnfStyle w:val="000000100000" w:firstRow="0" w:lastRow="0" w:firstColumn="0" w:lastColumn="0" w:oddVBand="0" w:evenVBand="0" w:oddHBand="1" w:evenHBand="0" w:firstRowFirstColumn="0" w:firstRowLastColumn="0" w:lastRowFirstColumn="0" w:lastRowLastColumn="0"/>
            </w:pPr>
            <w:r>
              <w:t>Aventis Advisors</w:t>
            </w:r>
          </w:p>
        </w:tc>
        <w:tc>
          <w:tcPr>
            <w:tcW w:w="2340" w:type="dxa"/>
          </w:tcPr>
          <w:p w14:paraId="384BC75E" w14:textId="77777777" w:rsidR="00DC181F" w:rsidRDefault="001C4E0A">
            <w:pPr>
              <w:cnfStyle w:val="000000100000" w:firstRow="0" w:lastRow="0" w:firstColumn="0" w:lastColumn="0" w:oddVBand="0" w:evenVBand="0" w:oddHBand="1" w:evenHBand="0" w:firstRowFirstColumn="0" w:firstRowLastColumn="0" w:lastRowFirstColumn="0" w:lastRowLastColumn="0"/>
            </w:pPr>
            <w:r>
              <w:t>Secondary (M&amp;A data)</w:t>
            </w:r>
          </w:p>
        </w:tc>
      </w:tr>
      <w:tr w:rsidR="00DC181F" w14:paraId="7BCF9727" w14:textId="77777777">
        <w:tc>
          <w:tcPr>
            <w:cnfStyle w:val="001000000000" w:firstRow="0" w:lastRow="0" w:firstColumn="1" w:lastColumn="0" w:oddVBand="0" w:evenVBand="0" w:oddHBand="0" w:evenHBand="0" w:firstRowFirstColumn="0" w:firstRowLastColumn="0" w:lastRowFirstColumn="0" w:lastRowLastColumn="0"/>
            <w:tcW w:w="2340" w:type="dxa"/>
          </w:tcPr>
          <w:p w14:paraId="11DA0DD8" w14:textId="77777777" w:rsidR="00DC181F" w:rsidRDefault="001C4E0A">
            <w:r>
              <w:t>Agentic AI resolution of common service issues</w:t>
            </w:r>
          </w:p>
        </w:tc>
        <w:tc>
          <w:tcPr>
            <w:tcW w:w="2340" w:type="dxa"/>
          </w:tcPr>
          <w:p w14:paraId="7551D2BC" w14:textId="77777777" w:rsidR="00DC181F" w:rsidRDefault="001C4E0A">
            <w:pPr>
              <w:cnfStyle w:val="000000000000" w:firstRow="0" w:lastRow="0" w:firstColumn="0" w:lastColumn="0" w:oddVBand="0" w:evenVBand="0" w:oddHBand="0" w:evenHBand="0" w:firstRowFirstColumn="0" w:firstRowLastColumn="0" w:lastRowFirstColumn="0" w:lastRowLastColumn="0"/>
            </w:pPr>
            <w:r>
              <w:t>80% autonomously by 2029; −30% operational cost</w:t>
            </w:r>
          </w:p>
        </w:tc>
        <w:tc>
          <w:tcPr>
            <w:tcW w:w="2340" w:type="dxa"/>
          </w:tcPr>
          <w:p w14:paraId="5F0E6A22" w14:textId="77777777" w:rsidR="00DC181F" w:rsidRDefault="001C4E0A">
            <w:pPr>
              <w:cnfStyle w:val="000000000000" w:firstRow="0" w:lastRow="0" w:firstColumn="0" w:lastColumn="0" w:oddVBand="0" w:evenVBand="0" w:oddHBand="0" w:evenHBand="0" w:firstRowFirstColumn="0" w:firstRowLastColumn="0" w:lastRowFirstColumn="0" w:lastRowLastColumn="0"/>
            </w:pPr>
            <w:r>
              <w:t>Gartner press release, Mar 2025</w:t>
            </w:r>
          </w:p>
        </w:tc>
        <w:tc>
          <w:tcPr>
            <w:tcW w:w="2340" w:type="dxa"/>
          </w:tcPr>
          <w:p w14:paraId="470A93A9" w14:textId="77777777" w:rsidR="00DC181F" w:rsidRDefault="001C4E0A">
            <w:pPr>
              <w:cnfStyle w:val="000000000000" w:firstRow="0" w:lastRow="0" w:firstColumn="0" w:lastColumn="0" w:oddVBand="0" w:evenVBand="0" w:oddHBand="0" w:evenHBand="0" w:firstRowFirstColumn="0" w:firstRowLastColumn="0" w:lastRowFirstColumn="0" w:lastRowLastColumn="0"/>
            </w:pPr>
            <w:r>
              <w:t>Analyst forecast</w:t>
            </w:r>
          </w:p>
        </w:tc>
      </w:tr>
      <w:tr w:rsidR="00DC181F" w14:paraId="750CC22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E6AE6C" w14:textId="77777777" w:rsidR="00DC181F" w:rsidRDefault="001C4E0A">
            <w:r>
              <w:t>Agentic AI project failure rate</w:t>
            </w:r>
          </w:p>
        </w:tc>
        <w:tc>
          <w:tcPr>
            <w:tcW w:w="2340" w:type="dxa"/>
          </w:tcPr>
          <w:p w14:paraId="5DBE5DCB" w14:textId="77777777" w:rsidR="00DC181F" w:rsidRDefault="001C4E0A">
            <w:pPr>
              <w:cnfStyle w:val="000000100000" w:firstRow="0" w:lastRow="0" w:firstColumn="0" w:lastColumn="0" w:oddVBand="0" w:evenVBand="0" w:oddHBand="1" w:evenHBand="0" w:firstRowFirstColumn="0" w:firstRowLastColumn="0" w:lastRowFirstColumn="0" w:lastRowLastColumn="0"/>
            </w:pPr>
            <w:r>
              <w:t>&gt;40% cancelled by end of 2027</w:t>
            </w:r>
          </w:p>
        </w:tc>
        <w:tc>
          <w:tcPr>
            <w:tcW w:w="2340" w:type="dxa"/>
          </w:tcPr>
          <w:p w14:paraId="6B21188C" w14:textId="77777777" w:rsidR="00DC181F" w:rsidRDefault="001C4E0A">
            <w:pPr>
              <w:cnfStyle w:val="000000100000" w:firstRow="0" w:lastRow="0" w:firstColumn="0" w:lastColumn="0" w:oddVBand="0" w:evenVBand="0" w:oddHBand="1" w:evenHBand="0" w:firstRowFirstColumn="0" w:firstRowLastColumn="0" w:lastRowFirstColumn="0" w:lastRowLastColumn="0"/>
            </w:pPr>
            <w:r>
              <w:t>Gartner press release, Jun 2025</w:t>
            </w:r>
          </w:p>
        </w:tc>
        <w:tc>
          <w:tcPr>
            <w:tcW w:w="2340" w:type="dxa"/>
          </w:tcPr>
          <w:p w14:paraId="6FB7B0F6" w14:textId="77777777" w:rsidR="00DC181F" w:rsidRDefault="001C4E0A">
            <w:pPr>
              <w:cnfStyle w:val="000000100000" w:firstRow="0" w:lastRow="0" w:firstColumn="0" w:lastColumn="0" w:oddVBand="0" w:evenVBand="0" w:oddHBand="1" w:evenHBand="0" w:firstRowFirstColumn="0" w:firstRowLastColumn="0" w:lastRowFirstColumn="0" w:lastRowLastColumn="0"/>
            </w:pPr>
            <w:r>
              <w:t>Analyst forecast</w:t>
            </w:r>
          </w:p>
        </w:tc>
      </w:tr>
      <w:tr w:rsidR="00DC181F" w14:paraId="79A4AAB3" w14:textId="77777777">
        <w:tc>
          <w:tcPr>
            <w:cnfStyle w:val="001000000000" w:firstRow="0" w:lastRow="0" w:firstColumn="1" w:lastColumn="0" w:oddVBand="0" w:evenVBand="0" w:oddHBand="0" w:evenHBand="0" w:firstRowFirstColumn="0" w:firstRowLastColumn="0" w:lastRowFirstColumn="0" w:lastRowLastColumn="0"/>
            <w:tcW w:w="2340" w:type="dxa"/>
          </w:tcPr>
          <w:p w14:paraId="05823F72" w14:textId="77777777" w:rsidR="00DC181F" w:rsidRDefault="001C4E0A">
            <w:r>
              <w:t>AI/agentic reshaping of service contracts</w:t>
            </w:r>
          </w:p>
        </w:tc>
        <w:tc>
          <w:tcPr>
            <w:tcW w:w="2340" w:type="dxa"/>
          </w:tcPr>
          <w:p w14:paraId="70C8BF12" w14:textId="77777777" w:rsidR="00DC181F" w:rsidRDefault="001C4E0A">
            <w:pPr>
              <w:cnfStyle w:val="000000000000" w:firstRow="0" w:lastRow="0" w:firstColumn="0" w:lastColumn="0" w:oddVBand="0" w:evenVBand="0" w:oddHBand="0" w:evenHBand="0" w:firstRowFirstColumn="0" w:firstRowLastColumn="0" w:lastRowFirstColumn="0" w:lastRowLastColumn="0"/>
            </w:pPr>
            <w:r>
              <w:t xml:space="preserve">30% of contracts outcome-based by 2029; 35% of Fortune </w:t>
            </w:r>
            <w:r>
              <w:lastRenderedPageBreak/>
              <w:t>Global 2000 need justification to prefer human talent by 2030</w:t>
            </w:r>
          </w:p>
        </w:tc>
        <w:tc>
          <w:tcPr>
            <w:tcW w:w="2340" w:type="dxa"/>
          </w:tcPr>
          <w:p w14:paraId="6056FA64" w14:textId="77777777" w:rsidR="00DC181F" w:rsidRDefault="001C4E0A">
            <w:pPr>
              <w:cnfStyle w:val="000000000000" w:firstRow="0" w:lastRow="0" w:firstColumn="0" w:lastColumn="0" w:oddVBand="0" w:evenVBand="0" w:oddHBand="0" w:evenHBand="0" w:firstRowFirstColumn="0" w:firstRowLastColumn="0" w:lastRowFirstColumn="0" w:lastRowLastColumn="0"/>
            </w:pPr>
            <w:r>
              <w:lastRenderedPageBreak/>
              <w:t>IDC FutureScape: Worldwide Services 2026</w:t>
            </w:r>
          </w:p>
        </w:tc>
        <w:tc>
          <w:tcPr>
            <w:tcW w:w="2340" w:type="dxa"/>
          </w:tcPr>
          <w:p w14:paraId="03D0BB0E" w14:textId="77777777" w:rsidR="00DC181F" w:rsidRDefault="001C4E0A">
            <w:pPr>
              <w:cnfStyle w:val="000000000000" w:firstRow="0" w:lastRow="0" w:firstColumn="0" w:lastColumn="0" w:oddVBand="0" w:evenVBand="0" w:oddHBand="0" w:evenHBand="0" w:firstRowFirstColumn="0" w:firstRowLastColumn="0" w:lastRowFirstColumn="0" w:lastRowLastColumn="0"/>
            </w:pPr>
            <w:r>
              <w:t>Analyst forecast</w:t>
            </w:r>
          </w:p>
        </w:tc>
      </w:tr>
    </w:tbl>
    <w:p w14:paraId="3D359215" w14:textId="77777777" w:rsidR="00DC181F" w:rsidRDefault="001C4E0A">
      <w:r>
        <w:t>Where sources disagree, both figures are reported with their definitions. The most consequential disagreements are market size (enterprise-contract trackers versus channel-wide analyst estimates), global MSP counts (definition-dependent), and 2025 MSP deal counts (466 per Drake Star's global tracker versus 169 in Omdia's narrower tally). All parties agree consolidation is accelerating and private-equity led.</w:t>
      </w:r>
    </w:p>
    <w:p w14:paraId="4B320F9D" w14:textId="77777777" w:rsidR="00DC181F" w:rsidRDefault="001C4E0A">
      <w:r>
        <w:br w:type="page"/>
      </w:r>
    </w:p>
    <w:p w14:paraId="5A8DC7A9" w14:textId="77777777" w:rsidR="00DC181F" w:rsidRDefault="001C4E0A">
      <w:pPr>
        <w:pStyle w:val="Heading1"/>
      </w:pPr>
      <w:bookmarkStart w:id="7" w:name="_Toc236412125"/>
      <w:r>
        <w:lastRenderedPageBreak/>
        <w:t>5. Market Analysis: A Growing Market That Is Quietly Bifurcating</w:t>
      </w:r>
      <w:bookmarkEnd w:id="7"/>
    </w:p>
    <w:p w14:paraId="0C317F21" w14:textId="77777777" w:rsidR="00DC181F" w:rsidRDefault="001C4E0A">
      <w:pPr>
        <w:pStyle w:val="Heading2"/>
      </w:pPr>
      <w:bookmarkStart w:id="8" w:name="_Toc236412126"/>
      <w:r>
        <w:t>5.1 A growing market with fewer winners</w:t>
      </w:r>
      <w:bookmarkEnd w:id="8"/>
    </w:p>
    <w:p w14:paraId="61E6DB92" w14:textId="77777777" w:rsidR="00DC181F" w:rsidRDefault="001C4E0A">
      <w:r>
        <w:t>Any honest analysis must begin with the strongest fact against the obsolescence thesis: the managed services market is large and growing. On Canalys's broad channel definition, revenue topped half a trillion dollars in 2024 (up 9.7 per cent) and was forecast to reach roughly $608 billion in 2025, growing about 13 per cent — which would make managed services roughly 1.5 times larger than the entire SaaS industry and more than 15 per cent of business and government IT budgets. Narrower research-firm definitio</w:t>
      </w:r>
      <w:r>
        <w:t xml:space="preserve">ns still point up and to the right: MarketsandMarkets sizes the category at about $460.6 billion in 2026, growing to about $705.2 billion by 2031 (8.9 per cent CAGR); Grand View Research puts it at $437.3 billion in 2026 rising to $847.4 billion by 2033 (9.9 per cent CAGR); and Aventis Advisors models $312 billion in 2023 to $658 billion in 2030 (11.4 per cent CAGR). Global IT spending overall is forecast by Gartner to exceed $6 trillion in 2026, with IT services the single largest category. The defensible </w:t>
      </w:r>
      <w:r>
        <w:t>takeaway is that the pie grows 9 to 13 per cent a year, however it is cut.</w:t>
      </w:r>
    </w:p>
    <w:p w14:paraId="70824DEC" w14:textId="77777777" w:rsidR="00DC181F" w:rsidRDefault="001C4E0A">
      <w:r>
        <w:t>The table below reconciles the leading definitions.</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10F99451"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51F4476D" w14:textId="77777777" w:rsidR="00DC181F" w:rsidRDefault="001C4E0A">
            <w:r>
              <w:t>Source and date</w:t>
            </w:r>
          </w:p>
        </w:tc>
        <w:tc>
          <w:tcPr>
            <w:tcW w:w="3120" w:type="dxa"/>
          </w:tcPr>
          <w:p w14:paraId="236501A2" w14:textId="77777777" w:rsidR="00DC181F" w:rsidRDefault="001C4E0A">
            <w:pPr>
              <w:cnfStyle w:val="100000000000" w:firstRow="1" w:lastRow="0" w:firstColumn="0" w:lastColumn="0" w:oddVBand="0" w:evenVBand="0" w:oddHBand="0" w:evenHBand="0" w:firstRowFirstColumn="0" w:firstRowLastColumn="0" w:lastRowFirstColumn="0" w:lastRowLastColumn="0"/>
            </w:pPr>
            <w:r>
              <w:t>Size and growth</w:t>
            </w:r>
          </w:p>
        </w:tc>
        <w:tc>
          <w:tcPr>
            <w:tcW w:w="3120" w:type="dxa"/>
          </w:tcPr>
          <w:p w14:paraId="74FC5FF1" w14:textId="77777777" w:rsidR="00DC181F" w:rsidRDefault="001C4E0A">
            <w:pPr>
              <w:cnfStyle w:val="100000000000" w:firstRow="1" w:lastRow="0" w:firstColumn="0" w:lastColumn="0" w:oddVBand="0" w:evenVBand="0" w:oddHBand="0" w:evenHBand="0" w:firstRowFirstColumn="0" w:firstRowLastColumn="0" w:lastRowFirstColumn="0" w:lastRowLastColumn="0"/>
            </w:pPr>
            <w:r>
              <w:t>Scope measured</w:t>
            </w:r>
          </w:p>
        </w:tc>
      </w:tr>
      <w:tr w:rsidR="00DC181F" w14:paraId="336EDC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BBB354" w14:textId="77777777" w:rsidR="00DC181F" w:rsidRDefault="001C4E0A">
            <w:r>
              <w:t>Canalys, Sep 2025</w:t>
            </w:r>
          </w:p>
        </w:tc>
        <w:tc>
          <w:tcPr>
            <w:tcW w:w="3120" w:type="dxa"/>
          </w:tcPr>
          <w:p w14:paraId="28DB776E" w14:textId="77777777" w:rsidR="00DC181F" w:rsidRDefault="001C4E0A">
            <w:pPr>
              <w:cnfStyle w:val="000000100000" w:firstRow="0" w:lastRow="0" w:firstColumn="0" w:lastColumn="0" w:oddVBand="0" w:evenVBand="0" w:oddHBand="1" w:evenHBand="0" w:firstRowFirstColumn="0" w:firstRowLastColumn="0" w:lastRowFirstColumn="0" w:lastRowLastColumn="0"/>
            </w:pPr>
            <w:r>
              <w:t>&gt;$500B in 2024, +9.7%</w:t>
            </w:r>
          </w:p>
        </w:tc>
        <w:tc>
          <w:tcPr>
            <w:tcW w:w="3120" w:type="dxa"/>
          </w:tcPr>
          <w:p w14:paraId="06818F9B" w14:textId="77777777" w:rsidR="00DC181F" w:rsidRDefault="001C4E0A">
            <w:pPr>
              <w:cnfStyle w:val="000000100000" w:firstRow="0" w:lastRow="0" w:firstColumn="0" w:lastColumn="0" w:oddVBand="0" w:evenVBand="0" w:oddHBand="1" w:evenHBand="0" w:firstRowFirstColumn="0" w:firstRowLastColumn="0" w:lastRowFirstColumn="0" w:lastRowLastColumn="0"/>
            </w:pPr>
            <w:r>
              <w:t>All channel-delivered managed services, worldwide</w:t>
            </w:r>
          </w:p>
        </w:tc>
      </w:tr>
      <w:tr w:rsidR="00DC181F" w14:paraId="7B97605C" w14:textId="77777777">
        <w:tc>
          <w:tcPr>
            <w:cnfStyle w:val="001000000000" w:firstRow="0" w:lastRow="0" w:firstColumn="1" w:lastColumn="0" w:oddVBand="0" w:evenVBand="0" w:oddHBand="0" w:evenHBand="0" w:firstRowFirstColumn="0" w:firstRowLastColumn="0" w:lastRowFirstColumn="0" w:lastRowLastColumn="0"/>
            <w:tcW w:w="3120" w:type="dxa"/>
          </w:tcPr>
          <w:p w14:paraId="3F02F895" w14:textId="77777777" w:rsidR="00DC181F" w:rsidRDefault="001C4E0A">
            <w:r>
              <w:t>Omdia/Canalys, Jan 2025</w:t>
            </w:r>
          </w:p>
        </w:tc>
        <w:tc>
          <w:tcPr>
            <w:tcW w:w="3120" w:type="dxa"/>
          </w:tcPr>
          <w:p w14:paraId="7007345B" w14:textId="77777777" w:rsidR="00DC181F" w:rsidRDefault="001C4E0A">
            <w:pPr>
              <w:cnfStyle w:val="000000000000" w:firstRow="0" w:lastRow="0" w:firstColumn="0" w:lastColumn="0" w:oddVBand="0" w:evenVBand="0" w:oddHBand="0" w:evenHBand="0" w:firstRowFirstColumn="0" w:firstRowLastColumn="0" w:lastRowFirstColumn="0" w:lastRowLastColumn="0"/>
            </w:pPr>
            <w:r>
              <w:t>~$595–608B in 2025, +13%</w:t>
            </w:r>
          </w:p>
        </w:tc>
        <w:tc>
          <w:tcPr>
            <w:tcW w:w="3120" w:type="dxa"/>
          </w:tcPr>
          <w:p w14:paraId="5F708B28" w14:textId="77777777" w:rsidR="00DC181F" w:rsidRDefault="001C4E0A">
            <w:pPr>
              <w:cnfStyle w:val="000000000000" w:firstRow="0" w:lastRow="0" w:firstColumn="0" w:lastColumn="0" w:oddVBand="0" w:evenVBand="0" w:oddHBand="0" w:evenHBand="0" w:firstRowFirstColumn="0" w:firstRowLastColumn="0" w:lastRowFirstColumn="0" w:lastRowLastColumn="0"/>
            </w:pPr>
            <w:r>
              <w:t>Channel IT managed services, global (~341,000 partners)</w:t>
            </w:r>
          </w:p>
        </w:tc>
      </w:tr>
      <w:tr w:rsidR="00DC181F" w14:paraId="665E84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5899A9" w14:textId="77777777" w:rsidR="00DC181F" w:rsidRDefault="001C4E0A">
            <w:r>
              <w:t>MarketsandMarkets, 2026</w:t>
            </w:r>
          </w:p>
        </w:tc>
        <w:tc>
          <w:tcPr>
            <w:tcW w:w="3120" w:type="dxa"/>
          </w:tcPr>
          <w:p w14:paraId="570BEC7E" w14:textId="77777777" w:rsidR="00DC181F" w:rsidRDefault="001C4E0A">
            <w:pPr>
              <w:cnfStyle w:val="000000100000" w:firstRow="0" w:lastRow="0" w:firstColumn="0" w:lastColumn="0" w:oddVBand="0" w:evenVBand="0" w:oddHBand="1" w:evenHBand="0" w:firstRowFirstColumn="0" w:firstRowLastColumn="0" w:lastRowFirstColumn="0" w:lastRowLastColumn="0"/>
            </w:pPr>
            <w:r>
              <w:t>$460.6B (2026) to $705.2B (2031), 8.9% CAGR</w:t>
            </w:r>
          </w:p>
        </w:tc>
        <w:tc>
          <w:tcPr>
            <w:tcW w:w="3120" w:type="dxa"/>
          </w:tcPr>
          <w:p w14:paraId="7F7C809A" w14:textId="77777777" w:rsidR="00DC181F" w:rsidRDefault="001C4E0A">
            <w:pPr>
              <w:cnfStyle w:val="000000100000" w:firstRow="0" w:lastRow="0" w:firstColumn="0" w:lastColumn="0" w:oddVBand="0" w:evenVBand="0" w:oddHBand="1" w:evenHBand="0" w:firstRowFirstColumn="0" w:firstRowLastColumn="0" w:lastRowFirstColumn="0" w:lastRowLastColumn="0"/>
            </w:pPr>
            <w:r>
              <w:t>Managed services market, research-firm definition</w:t>
            </w:r>
          </w:p>
        </w:tc>
      </w:tr>
      <w:tr w:rsidR="00DC181F" w14:paraId="6BABFA87" w14:textId="77777777">
        <w:tc>
          <w:tcPr>
            <w:cnfStyle w:val="001000000000" w:firstRow="0" w:lastRow="0" w:firstColumn="1" w:lastColumn="0" w:oddVBand="0" w:evenVBand="0" w:oddHBand="0" w:evenHBand="0" w:firstRowFirstColumn="0" w:firstRowLastColumn="0" w:lastRowFirstColumn="0" w:lastRowLastColumn="0"/>
            <w:tcW w:w="3120" w:type="dxa"/>
          </w:tcPr>
          <w:p w14:paraId="5302032C" w14:textId="77777777" w:rsidR="00DC181F" w:rsidRDefault="001C4E0A">
            <w:r>
              <w:t>Grand View Research, 2026</w:t>
            </w:r>
          </w:p>
        </w:tc>
        <w:tc>
          <w:tcPr>
            <w:tcW w:w="3120" w:type="dxa"/>
          </w:tcPr>
          <w:p w14:paraId="0F4091BE" w14:textId="77777777" w:rsidR="00DC181F" w:rsidRDefault="001C4E0A">
            <w:pPr>
              <w:cnfStyle w:val="000000000000" w:firstRow="0" w:lastRow="0" w:firstColumn="0" w:lastColumn="0" w:oddVBand="0" w:evenVBand="0" w:oddHBand="0" w:evenHBand="0" w:firstRowFirstColumn="0" w:firstRowLastColumn="0" w:lastRowFirstColumn="0" w:lastRowLastColumn="0"/>
            </w:pPr>
            <w:r>
              <w:t>$437.3B (2026) to $847.4B (2033), 9.9% CAGR</w:t>
            </w:r>
          </w:p>
        </w:tc>
        <w:tc>
          <w:tcPr>
            <w:tcW w:w="3120" w:type="dxa"/>
          </w:tcPr>
          <w:p w14:paraId="3B23E8EF" w14:textId="77777777" w:rsidR="00DC181F" w:rsidRDefault="001C4E0A">
            <w:pPr>
              <w:cnfStyle w:val="000000000000" w:firstRow="0" w:lastRow="0" w:firstColumn="0" w:lastColumn="0" w:oddVBand="0" w:evenVBand="0" w:oddHBand="0" w:evenHBand="0" w:firstRowFirstColumn="0" w:firstRowLastColumn="0" w:lastRowFirstColumn="0" w:lastRowLastColumn="0"/>
            </w:pPr>
            <w:r>
              <w:t>Managed services market, research-firm definition</w:t>
            </w:r>
          </w:p>
        </w:tc>
      </w:tr>
      <w:tr w:rsidR="00DC181F" w14:paraId="76D691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B707DA" w14:textId="77777777" w:rsidR="00DC181F" w:rsidRDefault="001C4E0A">
            <w:r>
              <w:t>ISG Index, 2024</w:t>
            </w:r>
          </w:p>
        </w:tc>
        <w:tc>
          <w:tcPr>
            <w:tcW w:w="3120" w:type="dxa"/>
          </w:tcPr>
          <w:p w14:paraId="6BB504F1" w14:textId="77777777" w:rsidR="00DC181F" w:rsidRDefault="001C4E0A">
            <w:pPr>
              <w:cnfStyle w:val="000000100000" w:firstRow="0" w:lastRow="0" w:firstColumn="0" w:lastColumn="0" w:oddVBand="0" w:evenVBand="0" w:oddHBand="1" w:evenHBand="0" w:firstRowFirstColumn="0" w:firstRowLastColumn="0" w:lastRowFirstColumn="0" w:lastRowLastColumn="0"/>
            </w:pPr>
            <w:r>
              <w:t>$40.7B record ACV in 2023; +2% forecast 2024</w:t>
            </w:r>
          </w:p>
        </w:tc>
        <w:tc>
          <w:tcPr>
            <w:tcW w:w="3120" w:type="dxa"/>
          </w:tcPr>
          <w:p w14:paraId="1A8B8E16" w14:textId="77777777" w:rsidR="00DC181F" w:rsidRDefault="001C4E0A">
            <w:pPr>
              <w:cnfStyle w:val="000000100000" w:firstRow="0" w:lastRow="0" w:firstColumn="0" w:lastColumn="0" w:oddVBand="0" w:evenVBand="0" w:oddHBand="1" w:evenHBand="0" w:firstRowFirstColumn="0" w:firstRowLastColumn="0" w:lastRowFirstColumn="0" w:lastRowLastColumn="0"/>
            </w:pPr>
            <w:r>
              <w:t>Enterprise outsourcing contracts of $5M+ annual value only</w:t>
            </w:r>
          </w:p>
        </w:tc>
      </w:tr>
      <w:tr w:rsidR="00DC181F" w14:paraId="100554CA" w14:textId="77777777">
        <w:tc>
          <w:tcPr>
            <w:cnfStyle w:val="001000000000" w:firstRow="0" w:lastRow="0" w:firstColumn="1" w:lastColumn="0" w:oddVBand="0" w:evenVBand="0" w:oddHBand="0" w:evenHBand="0" w:firstRowFirstColumn="0" w:firstRowLastColumn="0" w:lastRowFirstColumn="0" w:lastRowLastColumn="0"/>
            <w:tcW w:w="3120" w:type="dxa"/>
          </w:tcPr>
          <w:p w14:paraId="208FF583" w14:textId="77777777" w:rsidR="00DC181F" w:rsidRDefault="001C4E0A">
            <w:r>
              <w:t>Aventis Advisors, 2025</w:t>
            </w:r>
          </w:p>
        </w:tc>
        <w:tc>
          <w:tcPr>
            <w:tcW w:w="3120" w:type="dxa"/>
          </w:tcPr>
          <w:p w14:paraId="4DCA565D" w14:textId="77777777" w:rsidR="00DC181F" w:rsidRDefault="001C4E0A">
            <w:pPr>
              <w:cnfStyle w:val="000000000000" w:firstRow="0" w:lastRow="0" w:firstColumn="0" w:lastColumn="0" w:oddVBand="0" w:evenVBand="0" w:oddHBand="0" w:evenHBand="0" w:firstRowFirstColumn="0" w:firstRowLastColumn="0" w:lastRowFirstColumn="0" w:lastRowLastColumn="0"/>
            </w:pPr>
            <w:r>
              <w:t>$312B (2023) to $658B (2030), 11.4% CAGR</w:t>
            </w:r>
          </w:p>
        </w:tc>
        <w:tc>
          <w:tcPr>
            <w:tcW w:w="3120" w:type="dxa"/>
          </w:tcPr>
          <w:p w14:paraId="66601B54" w14:textId="77777777" w:rsidR="00DC181F" w:rsidRDefault="001C4E0A">
            <w:pPr>
              <w:cnfStyle w:val="000000000000" w:firstRow="0" w:lastRow="0" w:firstColumn="0" w:lastColumn="0" w:oddVBand="0" w:evenVBand="0" w:oddHBand="0" w:evenHBand="0" w:firstRowFirstColumn="0" w:firstRowLastColumn="0" w:lastRowFirstColumn="0" w:lastRowLastColumn="0"/>
            </w:pPr>
            <w:r>
              <w:t>MSP sector, research-firm definition</w:t>
            </w:r>
          </w:p>
        </w:tc>
      </w:tr>
    </w:tbl>
    <w:p w14:paraId="379272BE" w14:textId="77777777" w:rsidR="00DC181F" w:rsidRDefault="001C4E0A">
      <w:r>
        <w:t>The growth, however, is not evenly distributed, and its composition is the heart of the strategic problem. Organic managed-service revenue growth at existing MSPs slowed to 1.0 per cent worldwide in Q4 2024, enterprise managed-services contract value is forecast to grow just 2 per cent against 14 per cent for as-a-service consumption, and the fastest-growing service lines are the newest: managed detection and response at roughly 23.5 per cent CAGR and partner-delivered AI services at roughly 35.3 per cent C</w:t>
      </w:r>
      <w:r>
        <w:t>AGR. A market can boom while its incumbent operating model stalls; that is precisely what the data shows.</w:t>
      </w:r>
    </w:p>
    <w:p w14:paraId="0848C70E" w14:textId="77777777" w:rsidR="00DC181F" w:rsidRDefault="001C4E0A">
      <w:pPr>
        <w:pStyle w:val="Heading2"/>
      </w:pPr>
      <w:bookmarkStart w:id="9" w:name="_Toc236412127"/>
      <w:r>
        <w:t>5.2 Growth is quietly bifurcating</w:t>
      </w:r>
      <w:bookmarkEnd w:id="9"/>
    </w:p>
    <w:p w14:paraId="6B092A5E" w14:textId="77777777" w:rsidR="00DC181F" w:rsidRDefault="001C4E0A">
      <w:r>
        <w:t xml:space="preserve">The clearest economic signal is bifurcation. Best-in-class TSPs delivered 19-per-cent-plus adjusted EBITDA for a fifth consecutive year in 2024, with valuations up roughly 22 per cent from 2023. Yet in the same dataset, average MSP managed-service revenue growth slowed to about 1.0 per cent in Q4 2024 — the lowest of the year — while 18 per cent of MSPs reported a loss, up from 14 per cent </w:t>
      </w:r>
      <w:r>
        <w:lastRenderedPageBreak/>
        <w:t>in Q3. Project and professional-services gross margins collapsed from 23.0 per cent to 12.9 per cent year-on-year on weak utilisation — a ten-point deterioration in the most labour-exposed line. VAR revenue growth fell from 14.1 per cent to 1.8 per cent in 2024 as marketplace procurement compressed resale margin — a preview of what commoditisation looks like. The winners are pulling away from the average: focused MSPs achieve 15 to 30 per cent adjusted EBITDA against roughly 7 per cent for unfocused general</w:t>
      </w:r>
      <w:r>
        <w:t>ists.</w:t>
      </w:r>
    </w:p>
    <w:p w14:paraId="59AB4086" w14:textId="77777777" w:rsidR="00DC181F" w:rsidRDefault="001C4E0A">
      <w:r>
        <w:t>Regional benchmarking underlines that the gap is operating model, not geography. Canalys data aggregated by Top Down Ventures shows North American MSPs averaging about 17 per cent EBITDA, EMEA about 12 per cent and APAC about 10 per cent — but early automation-heavy operators in every region report 25 to 30 per cent EBITDA, roughly double the regional norm. The dividing line is not industry, geography or client base; it is how the business delivers.</w:t>
      </w:r>
    </w:p>
    <w:p w14:paraId="19D72F92" w14:textId="77777777" w:rsidR="00DC181F" w:rsidRDefault="001C4E0A">
      <w:pPr>
        <w:pStyle w:val="Heading2"/>
      </w:pPr>
      <w:bookmarkStart w:id="10" w:name="_Toc236412128"/>
      <w:r>
        <w:t>5.3 Where legacy delivery is most vulnerable</w:t>
      </w:r>
      <w:bookmarkEnd w:id="10"/>
    </w:p>
    <w:p w14:paraId="6F48B42D" w14:textId="77777777" w:rsidR="00DC181F" w:rsidRDefault="001C4E0A">
      <w:r>
        <w:t>Evaluating the traditional delivery model component by component makes the exposure concrete.</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16FFC4B8"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53350EC5" w14:textId="77777777" w:rsidR="00DC181F" w:rsidRDefault="001C4E0A">
            <w:r>
              <w:t>Traditional service / pricing</w:t>
            </w:r>
          </w:p>
        </w:tc>
        <w:tc>
          <w:tcPr>
            <w:tcW w:w="3120" w:type="dxa"/>
          </w:tcPr>
          <w:p w14:paraId="35846F1D" w14:textId="77777777" w:rsidR="00DC181F" w:rsidRDefault="001C4E0A">
            <w:pPr>
              <w:cnfStyle w:val="100000000000" w:firstRow="1" w:lastRow="0" w:firstColumn="0" w:lastColumn="0" w:oddVBand="0" w:evenVBand="0" w:oddHBand="0" w:evenHBand="0" w:firstRowFirstColumn="0" w:firstRowLastColumn="0" w:lastRowFirstColumn="0" w:lastRowLastColumn="0"/>
            </w:pPr>
            <w:r>
              <w:t>Vulnerability</w:t>
            </w:r>
          </w:p>
        </w:tc>
        <w:tc>
          <w:tcPr>
            <w:tcW w:w="3120" w:type="dxa"/>
          </w:tcPr>
          <w:p w14:paraId="34A77351" w14:textId="77777777" w:rsidR="00DC181F" w:rsidRDefault="001C4E0A">
            <w:pPr>
              <w:cnfStyle w:val="100000000000" w:firstRow="1" w:lastRow="0" w:firstColumn="0" w:lastColumn="0" w:oddVBand="0" w:evenVBand="0" w:oddHBand="0" w:evenHBand="0" w:firstRowFirstColumn="0" w:firstRowLastColumn="0" w:lastRowFirstColumn="0" w:lastRowLastColumn="0"/>
            </w:pPr>
            <w:r>
              <w:t>Why</w:t>
            </w:r>
          </w:p>
        </w:tc>
      </w:tr>
      <w:tr w:rsidR="00DC181F" w14:paraId="0162D24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2A7599" w14:textId="77777777" w:rsidR="00DC181F" w:rsidRDefault="001C4E0A">
            <w:r>
              <w:t>Per-user and per-device pricing</w:t>
            </w:r>
          </w:p>
        </w:tc>
        <w:tc>
          <w:tcPr>
            <w:tcW w:w="3120" w:type="dxa"/>
          </w:tcPr>
          <w:p w14:paraId="10EE559D"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w:t>
            </w:r>
          </w:p>
        </w:tc>
        <w:tc>
          <w:tcPr>
            <w:tcW w:w="3120" w:type="dxa"/>
          </w:tcPr>
          <w:p w14:paraId="22571239" w14:textId="77777777" w:rsidR="00DC181F" w:rsidRDefault="001C4E0A">
            <w:pPr>
              <w:cnfStyle w:val="000000100000" w:firstRow="0" w:lastRow="0" w:firstColumn="0" w:lastColumn="0" w:oddVBand="0" w:evenVBand="0" w:oddHBand="1" w:evenHBand="0" w:firstRowFirstColumn="0" w:firstRowLastColumn="0" w:lastRowFirstColumn="0" w:lastRowLastColumn="0"/>
            </w:pPr>
            <w:r>
              <w:t>Easiest thing for a buyer to benchmark and squeeze; decouples from value as AI cuts effort per user/device.</w:t>
            </w:r>
          </w:p>
        </w:tc>
      </w:tr>
      <w:tr w:rsidR="00DC181F" w14:paraId="066E051A" w14:textId="77777777">
        <w:tc>
          <w:tcPr>
            <w:cnfStyle w:val="001000000000" w:firstRow="0" w:lastRow="0" w:firstColumn="1" w:lastColumn="0" w:oddVBand="0" w:evenVBand="0" w:oddHBand="0" w:evenHBand="0" w:firstRowFirstColumn="0" w:firstRowLastColumn="0" w:lastRowFirstColumn="0" w:lastRowLastColumn="0"/>
            <w:tcW w:w="3120" w:type="dxa"/>
          </w:tcPr>
          <w:p w14:paraId="472A9349" w14:textId="77777777" w:rsidR="00DC181F" w:rsidRDefault="001C4E0A">
            <w:r>
              <w:t>Help-desk-centric and reactive support</w:t>
            </w:r>
          </w:p>
        </w:tc>
        <w:tc>
          <w:tcPr>
            <w:tcW w:w="3120" w:type="dxa"/>
          </w:tcPr>
          <w:p w14:paraId="47614404" w14:textId="77777777" w:rsidR="00DC181F" w:rsidRDefault="001C4E0A">
            <w:pPr>
              <w:cnfStyle w:val="000000000000" w:firstRow="0" w:lastRow="0" w:firstColumn="0" w:lastColumn="0" w:oddVBand="0" w:evenVBand="0" w:oddHBand="0" w:evenHBand="0" w:firstRowFirstColumn="0" w:firstRowLastColumn="0" w:lastRowFirstColumn="0" w:lastRowLastColumn="0"/>
            </w:pPr>
            <w:r>
              <w:t>Very high</w:t>
            </w:r>
          </w:p>
        </w:tc>
        <w:tc>
          <w:tcPr>
            <w:tcW w:w="3120" w:type="dxa"/>
          </w:tcPr>
          <w:p w14:paraId="797B335A" w14:textId="77777777" w:rsidR="00DC181F" w:rsidRDefault="001C4E0A">
            <w:pPr>
              <w:cnfStyle w:val="000000000000" w:firstRow="0" w:lastRow="0" w:firstColumn="0" w:lastColumn="0" w:oddVBand="0" w:evenVBand="0" w:oddHBand="0" w:evenHBand="0" w:firstRowFirstColumn="0" w:firstRowLastColumn="0" w:lastRowFirstColumn="0" w:lastRowLastColumn="0"/>
            </w:pPr>
            <w:r>
              <w:t>The exact layer targeted by AI service desks and vendor L1 agents (ServiceNow, Zendesk, Atera) — the same layer Gartner expects 80% autonomously resolved by 2029.</w:t>
            </w:r>
          </w:p>
        </w:tc>
      </w:tr>
      <w:tr w:rsidR="00DC181F" w14:paraId="10D0C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C65E3B" w14:textId="77777777" w:rsidR="00DC181F" w:rsidRDefault="001C4E0A">
            <w:r>
              <w:t>Monitoring and management (RMM)</w:t>
            </w:r>
          </w:p>
        </w:tc>
        <w:tc>
          <w:tcPr>
            <w:tcW w:w="3120" w:type="dxa"/>
          </w:tcPr>
          <w:p w14:paraId="6619E894"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w:t>
            </w:r>
          </w:p>
        </w:tc>
        <w:tc>
          <w:tcPr>
            <w:tcW w:w="3120" w:type="dxa"/>
          </w:tcPr>
          <w:p w14:paraId="0AFC6C3B" w14:textId="77777777" w:rsidR="00DC181F" w:rsidRDefault="001C4E0A">
            <w:pPr>
              <w:cnfStyle w:val="000000100000" w:firstRow="0" w:lastRow="0" w:firstColumn="0" w:lastColumn="0" w:oddVBand="0" w:evenVBand="0" w:oddHBand="1" w:evenHBand="0" w:firstRowFirstColumn="0" w:firstRowLastColumn="0" w:lastRowFirstColumn="0" w:lastRowLastColumn="0"/>
            </w:pPr>
            <w:r>
              <w:t>AIOps natively deduplicates alerts, correlates events and proposes remediation.</w:t>
            </w:r>
          </w:p>
        </w:tc>
      </w:tr>
      <w:tr w:rsidR="00DC181F" w14:paraId="525951D6" w14:textId="77777777">
        <w:tc>
          <w:tcPr>
            <w:cnfStyle w:val="001000000000" w:firstRow="0" w:lastRow="0" w:firstColumn="1" w:lastColumn="0" w:oddVBand="0" w:evenVBand="0" w:oddHBand="0" w:evenHBand="0" w:firstRowFirstColumn="0" w:firstRowLastColumn="0" w:lastRowFirstColumn="0" w:lastRowLastColumn="0"/>
            <w:tcW w:w="3120" w:type="dxa"/>
          </w:tcPr>
          <w:p w14:paraId="356B7ECF" w14:textId="77777777" w:rsidR="00DC181F" w:rsidRDefault="001C4E0A">
            <w:r>
              <w:t>Infrastructure management</w:t>
            </w:r>
          </w:p>
        </w:tc>
        <w:tc>
          <w:tcPr>
            <w:tcW w:w="3120" w:type="dxa"/>
          </w:tcPr>
          <w:p w14:paraId="77EC8F15" w14:textId="77777777" w:rsidR="00DC181F" w:rsidRDefault="001C4E0A">
            <w:pPr>
              <w:cnfStyle w:val="000000000000" w:firstRow="0" w:lastRow="0" w:firstColumn="0" w:lastColumn="0" w:oddVBand="0" w:evenVBand="0" w:oddHBand="0" w:evenHBand="0" w:firstRowFirstColumn="0" w:firstRowLastColumn="0" w:lastRowFirstColumn="0" w:lastRowLastColumn="0"/>
            </w:pPr>
            <w:r>
              <w:t>Medium-high</w:t>
            </w:r>
          </w:p>
        </w:tc>
        <w:tc>
          <w:tcPr>
            <w:tcW w:w="3120" w:type="dxa"/>
          </w:tcPr>
          <w:p w14:paraId="493A0832" w14:textId="77777777" w:rsidR="00DC181F" w:rsidRDefault="001C4E0A">
            <w:pPr>
              <w:cnfStyle w:val="000000000000" w:firstRow="0" w:lastRow="0" w:firstColumn="0" w:lastColumn="0" w:oddVBand="0" w:evenVBand="0" w:oddHBand="0" w:evenHBand="0" w:firstRowFirstColumn="0" w:firstRowLastColumn="0" w:lastRowFirstColumn="0" w:lastRowLastColumn="0"/>
            </w:pPr>
            <w:r>
              <w:t>Cloud migration plus hyperscaler operations assistants absorb routine administration.</w:t>
            </w:r>
          </w:p>
        </w:tc>
      </w:tr>
      <w:tr w:rsidR="00DC181F" w14:paraId="061A30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A55941" w14:textId="77777777" w:rsidR="00DC181F" w:rsidRDefault="001C4E0A">
            <w:r>
              <w:t>Fixed-fee "unlimited support" contracts</w:t>
            </w:r>
          </w:p>
        </w:tc>
        <w:tc>
          <w:tcPr>
            <w:tcW w:w="3120" w:type="dxa"/>
          </w:tcPr>
          <w:p w14:paraId="2D5DFCA3"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(commercial)</w:t>
            </w:r>
          </w:p>
        </w:tc>
        <w:tc>
          <w:tcPr>
            <w:tcW w:w="3120" w:type="dxa"/>
          </w:tcPr>
          <w:p w14:paraId="09B1D3E2" w14:textId="77777777" w:rsidR="00DC181F" w:rsidRDefault="001C4E0A">
            <w:pPr>
              <w:cnfStyle w:val="000000100000" w:firstRow="0" w:lastRow="0" w:firstColumn="0" w:lastColumn="0" w:oddVBand="0" w:evenVBand="0" w:oddHBand="1" w:evenHBand="0" w:firstRowFirstColumn="0" w:firstRowLastColumn="0" w:lastRowFirstColumn="0" w:lastRowLastColumn="0"/>
            </w:pPr>
            <w:r>
              <w:t>As visible ticket activity falls, clients question why the fee is unchanged — and IDC expects 30% of contracts to shift to outcome-based terms by 2029.</w:t>
            </w:r>
          </w:p>
        </w:tc>
      </w:tr>
    </w:tbl>
    <w:p w14:paraId="35BD25AA" w14:textId="77777777" w:rsidR="00DC181F" w:rsidRDefault="001C4E0A">
      <w:pPr>
        <w:pStyle w:val="Heading2"/>
      </w:pPr>
      <w:bookmarkStart w:id="11" w:name="_Toc236412129"/>
      <w:r>
        <w:t>5.4 Consolidation is the defining structural force</w:t>
      </w:r>
      <w:bookmarkEnd w:id="11"/>
    </w:p>
    <w:p w14:paraId="345ABD1B" w14:textId="77777777" w:rsidR="00DC181F" w:rsidRDefault="001C4E0A">
      <w:r>
        <w:t xml:space="preserve">The industry remains extraordinarily fragmented: Canalys tracks over 335,000 companies offering managed services, and nearly half of surveyed MSPs report revenue below $5 million. Consolidation of that long tail is now the dominant structural motion. Aventis Advisors recorded 1,680 MSP acquisitions worldwide between 2015 and 2025, with a pronounced surge from 2023 as private equity poured in; Drake Star counted 466 MSP deals worth $4.3 billion in 2025 alone, up roughly 20 </w:t>
      </w:r>
      <w:r>
        <w:lastRenderedPageBreak/>
        <w:t>per cent year on year, with 113 deals in the fourth quarter, while Omdia's narrower tally recorded 169 deals with private-equity involvement in 69 per cent of disclosed transactions. The buyers are overwhelmingly private-equity-backed permanent-hold platforms, led by Evergreen Services Group (27 deals), The Twenty (24) and Thrive (19). N-able's chief executive captured the ground truth: what was seventeen MSPs a year ago is now one MSP.</w:t>
      </w:r>
    </w:p>
    <w:p w14:paraId="18158030" w14:textId="77777777" w:rsidR="00DC181F" w:rsidRDefault="001C4E0A">
      <w:r>
        <w:t>Scale is rewarded operationally as well as financially. Service Leadership found private-equity-backed MSPs earning 18.7 per cent adjusted EBITDA and growing revenue roughly four times faster than non-PE peers. Most large buyers only consider MSPs above $5 million in revenue, which strands sub-scale generalists below the acquisition floor. One material dissent belongs in any board pack: Canalys's then chief executive warned that private equity itself may be the next big bust, since portfolio valuations rest</w:t>
      </w:r>
      <w:r>
        <w:t xml:space="preserve"> on prior purchase prices rather than independent marks; the roll-up thesis works only while the wheel keeps turning.</w:t>
      </w:r>
    </w:p>
    <w:p w14:paraId="0BE380F1" w14:textId="77777777" w:rsidR="00DC181F" w:rsidRDefault="001C4E0A">
      <w:pPr>
        <w:pStyle w:val="Heading2"/>
      </w:pPr>
      <w:bookmarkStart w:id="12" w:name="_Toc236412130"/>
      <w:r>
        <w:t>5.5 The channel is losing share of a growing pie</w:t>
      </w:r>
      <w:bookmarkEnd w:id="12"/>
    </w:p>
    <w:p w14:paraId="31D64650" w14:textId="77777777" w:rsidR="00DC181F" w:rsidRDefault="001C4E0A">
      <w:r>
        <w:t>Even as total IT spend heads toward roughly $6 trillion in 2026, Canalys projects the indirect channel's share of it declining from above 75 per cent historically to roughly 66.7 per cent by 2026, because AI-infrastructure capex concentrates in hyperscalers with little flow-down to partners. Omdia's independent measurement corroborates the direction: since 2022, channel revenues grew 27 per cent while the direct-sales market surged 97 per cent. The channel is not shrinking in absolute terms, but its share o</w:t>
      </w:r>
      <w:r>
        <w:t>f the value it once intermediated is eroding.</w:t>
      </w:r>
    </w:p>
    <w:p w14:paraId="04543DB6" w14:textId="77777777" w:rsidR="00DC181F" w:rsidRDefault="001C4E0A">
      <w:pPr>
        <w:pStyle w:val="Heading2"/>
      </w:pPr>
      <w:bookmarkStart w:id="13" w:name="_Toc236412131"/>
      <w:r>
        <w:t>5.6 The channel does not agree with itself on how exposed it is</w:t>
      </w:r>
      <w:bookmarkEnd w:id="13"/>
    </w:p>
    <w:p w14:paraId="2ED03002" w14:textId="77777777" w:rsidR="00DC181F" w:rsidRDefault="001C4E0A">
      <w:r>
        <w:t>GTIA's State of the Channel 2026 report (the successor to CompTIA's channel research, led by Carolyn April) puts a number on the industry's own anxiety: roughly half of IT service providers describe the channel as "relevant and holding steady", while the other half say it is "relevant and changing rapidly". The dividing line is scale — larger firms skew toward "steady", while smaller and micro firms overwhelmingly report that the ground is shifting under them. The top reason providers cite for the channel s</w:t>
      </w:r>
      <w:r>
        <w:t>taying healthy is not a rebate programme or a marketing push; it is "technology's growing complexity creating demand for expertise", followed closely by generative-AI availability and rising cybersecurity demand.</w:t>
      </w:r>
    </w:p>
    <w:p w14:paraId="03CE7BBF" w14:textId="77777777" w:rsidR="00DC181F" w:rsidRDefault="001C4E0A">
      <w:r>
        <w:t>Kaseya's 2026 State of the MSP Report (1,000-plus respondents) sharpens where that anxiety comes from commercially: 71 per cent of MSPs say winning new customers is their single biggest challenge, and the share of MSPs reporting per-customer annual spend above $25,000 fell from 75 per cent to 41 per cent in one year — a direct signal of deal-size compression even as overall market revenue keeps growing. At the same time, 48 per cent of MSPs say AI and automation will be the top client need in 2026, and cybe</w:t>
      </w:r>
      <w:r>
        <w:t>rsecurity revenue grew year on year for 71 per cent of MSPs — the strongest growth category measured.</w:t>
      </w:r>
    </w:p>
    <w:p w14:paraId="236DF8A6" w14:textId="77777777" w:rsidR="00DC181F" w:rsidRDefault="001C4E0A">
      <w:pPr>
        <w:pStyle w:val="Heading2"/>
      </w:pPr>
      <w:bookmarkStart w:id="14" w:name="_Toc236412132"/>
      <w:r>
        <w:t>5.7 Customer buying behaviour: outcomes, security and AI advice</w:t>
      </w:r>
      <w:bookmarkEnd w:id="14"/>
    </w:p>
    <w:p w14:paraId="4CE8BCDD" w14:textId="77777777" w:rsidR="00DC181F" w:rsidRDefault="001C4E0A">
      <w:r>
        <w:t xml:space="preserve">Buyer behaviour has moved in three directions, each unfavourable to the traditional bundle. From outsourced labour to co-managed outcomes: 83 per cent of MSPs now offer co-managed services alongside internal IT teams, and Canalys describes the emerging model as "MSP 3.0" — customers </w:t>
      </w:r>
      <w:r>
        <w:lastRenderedPageBreak/>
        <w:t>pushing a co-managed, cloud-first buying path in which cybersecurity, compliance and vertical expertise are standard rather than add-ons — and warns that MSPs which do not offer these things may not be able to operate in the near future. Security has become the centre of gravity: Kaseya's benchmark of about 1,000 MSPs found 78 per cent rating cybersecurity a top client challenge (up from 67 per cent) and 73 per cent calling it a top revenue driver; among the highest-earning MSPs, 97 per cent offer managed s</w:t>
      </w:r>
      <w:r>
        <w:t>ecurity services. AI advisory demand is real and unmet: RSM's 2025 survey of 966 middle-market decision-makers found generative-AI use at 91 per cent of firms, with 70 per cent of adopters recognising the need for external support and 47 per cent of dedicated AI budgets flowing to consulting services; a Canalys poll found 61 per cent of partners still struggle to get AI projects beyond proof of concept — defining the largest greenfield opportunity available to MSPs.</w:t>
      </w:r>
    </w:p>
    <w:p w14:paraId="17A24BD8" w14:textId="77777777" w:rsidR="00DC181F" w:rsidRDefault="001C4E0A">
      <w:r>
        <w:br w:type="page"/>
      </w:r>
    </w:p>
    <w:p w14:paraId="484463FA" w14:textId="77777777" w:rsidR="00DC181F" w:rsidRDefault="001C4E0A">
      <w:pPr>
        <w:pStyle w:val="Heading1"/>
      </w:pPr>
      <w:bookmarkStart w:id="15" w:name="_Toc236412133"/>
      <w:r>
        <w:lastRenderedPageBreak/>
        <w:t>6. Financial Analysis: Legacy vs. Transformed Economics</w:t>
      </w:r>
      <w:bookmarkEnd w:id="15"/>
    </w:p>
    <w:p w14:paraId="02BC44BE" w14:textId="77777777" w:rsidR="00DC181F" w:rsidRDefault="001C4E0A">
      <w:pPr>
        <w:pStyle w:val="Heading2"/>
      </w:pPr>
      <w:bookmarkStart w:id="16" w:name="_Toc236412134"/>
      <w:r>
        <w:t>6.1 The unit economics of a labour business</w:t>
      </w:r>
      <w:bookmarkEnd w:id="16"/>
    </w:p>
    <w:p w14:paraId="0BA5D51D" w14:textId="77777777" w:rsidR="00DC181F" w:rsidRDefault="001C4E0A">
      <w:r>
        <w:t>The traditional MSP charges a flat fee per user per month for support of all of that user's devices, typically $100 to $250 per user depending on inclusions, with security-inclusive tiers at the top of the range. Recurring revenue represents roughly three-quarters of the mix at mature MSPs. Gross margins tell the underlying story: recurring managed services held about 46.2 per cent gross margin in mid-2024 while product resale ran at 26.3 per cent; but project and professional-services gross margins collaps</w:t>
      </w:r>
      <w:r>
        <w:t>ed from 23.0 per cent to 12.9 per cent in the year to Q4 2024 as utilisation fell.</w:t>
      </w:r>
    </w:p>
    <w:p w14:paraId="73ED73D4" w14:textId="77777777" w:rsidR="00DC181F" w:rsidRDefault="001C4E0A">
      <w:r>
        <w:t>The deeper constraint is that revenue scales with people. An average MSP generates about $100,000 to $150,000 of revenue per employee, against a median of roughly $130,000 for private SaaS, $283,000 for public SaaS and about $500,000 at scaled software firms — even giant consultancies fare no better (Accenture at about $84,000 per employee). Service-delivery labour is the dominant cost, wages run near $61,550 median for computer support specialists, and hiring is chronically hard: IDC values the IT skills s</w:t>
      </w:r>
      <w:r>
        <w:t>hortage at $5.5 trillion by 2026, and Kaseya found the share of MSPs struggling to hire skilled technicians nearly doubled in a single year (9 per cent to 16 per cent). The double bind is precise: the model cannot grow without hiring into a tight labour market, yet the tier-1 roles it hires for are the ones automation is eroding — which is why the US BLS projects support-specialist employment to decline 3 per cent over 2024 to 2034.</w:t>
      </w:r>
    </w:p>
    <w:p w14:paraId="778188FC" w14:textId="77777777" w:rsidR="00DC181F" w:rsidRDefault="001C4E0A">
      <w:pPr>
        <w:pStyle w:val="Heading2"/>
      </w:pPr>
      <w:bookmarkStart w:id="17" w:name="_Toc236412135"/>
      <w:r>
        <w:t>6.2 The profitability distribution: record highs and a loss-making tail</w:t>
      </w:r>
      <w:bookmarkEnd w:id="17"/>
    </w:p>
    <w:p w14:paraId="3F711BB7" w14:textId="77777777" w:rsidR="00DC181F" w:rsidRDefault="001C4E0A">
      <w:r>
        <w:t>Aggregate profitability data looks reassuring at first glance and alarming on inspection. For MSPs overall in 2024, adjusted EBITDA grew 13.0 per cent against 7.1 per cent revenue growth, and best-in-class TSPs recorded their fifth straight year above 19 per cent adjusted EBITDA — the longest such run in industry history. Yet the worldwide average sat at just 11.1 per cent in Q4 2024, 18 per cent of MSPs ran at a loss, and unfocused generalists earn about 7 per cent. Service Leadership itself attributes par</w:t>
      </w:r>
      <w:r>
        <w:t>t of the 2024 strength to unusually low wage inflation — a cyclical tailwind that will not persist. The single most important exhibit for a board is that the same industry contains record-profit specialists and a growing loss-making tail, and the difference is business model, not effort.</w:t>
      </w:r>
    </w:p>
    <w:p w14:paraId="7141122B" w14:textId="77777777" w:rsidR="00DC181F" w:rsidRDefault="001C4E0A">
      <w:pPr>
        <w:pStyle w:val="Heading2"/>
      </w:pPr>
      <w:bookmarkStart w:id="18" w:name="_Toc236412136"/>
      <w:r>
        <w:t>6.3 Valuation: the market has already priced the thesis</w:t>
      </w:r>
      <w:bookmarkEnd w:id="18"/>
    </w:p>
    <w:p w14:paraId="686301E4" w14:textId="77777777" w:rsidR="00DC181F" w:rsidRDefault="001C4E0A">
      <w:r>
        <w:t>Across 120 disclosed MSP transactions, the median valuation was about 8.9 times EV/EBITDA, but the size gradient is steep. Deals under $5 million average about 5.2 times, and the smallest can drop to 3 to 4 times; $500 million-plus platforms command about 11.2 times. Cybersecurity-focused firms command premium multiples while VAR-like resellers are discounted, and for MSPs above $1 million of EBITDA there are consistently more buyers than sellers. The message to owners is uncomfortable but clear: the exit m</w:t>
      </w:r>
      <w:r>
        <w:t>arket already distinguishes commodity books from specialised platforms, and the discount for staying small and generalist is roughly half the multiple. A founder-dependent generalist with device-count pricing is the least valuable version of an MSP; documented KPIs, standardised service catalogues, management depth, low churn and security/AI capability are what convert a lifestyle business into a premium asset.</w:t>
      </w:r>
    </w:p>
    <w:p w14:paraId="394C74D9" w14:textId="77777777" w:rsidR="00DC181F" w:rsidRDefault="001C4E0A">
      <w:pPr>
        <w:pStyle w:val="Heading2"/>
      </w:pPr>
      <w:bookmarkStart w:id="19" w:name="_Toc236412137"/>
      <w:r>
        <w:lastRenderedPageBreak/>
        <w:t>6.4 An illustrative five-year model: status quo versus transformation</w:t>
      </w:r>
      <w:bookmarkEnd w:id="19"/>
    </w:p>
    <w:p w14:paraId="452B8DAF" w14:textId="77777777" w:rsidR="00DC181F" w:rsidRDefault="001C4E0A">
      <w:r>
        <w:t>To make the stakes concrete, this report models a representative US$5 million generalist MSP over 2026 to 2031 under two paths. The model is illustrative, and every anchor is sourced. The status-quo path assumes 2 per cent annual revenue growth (generous against the 1.0 per cent organic rate recorded in Q4 2024) and adjusted EBITDA eroding from 10 per cent toward 6.25 per cent as per-seat pricing loses its anchor and clients internalise AI-deflected ticket volumes, with exit at the sub-$5 million multiple o</w:t>
      </w:r>
      <w:r>
        <w:t>f 5.2 times. The transformed path assumes growth ramping from 6 per cent to 14 per cent as security, AI advisory and productised services compound (a blended roughly 10 per cent CAGR, still below the category's 13 per cent growth), margins ramping to 16 per cent (the bottom of the focused-MSP band of 15 to 30 per cent), and exit at 9.0 times — still below scaled-platform multiples.</w:t>
      </w:r>
    </w:p>
    <w:tbl>
      <w:tblPr>
        <w:tblStyle w:val="LightShading-Accent1"/>
        <w:tblW w:w="5000" w:type="pct"/>
        <w:tblLayout w:type="fixed"/>
        <w:tblLook w:val="04A0" w:firstRow="1" w:lastRow="0" w:firstColumn="1" w:lastColumn="0" w:noHBand="0" w:noVBand="1"/>
      </w:tblPr>
      <w:tblGrid>
        <w:gridCol w:w="2394"/>
        <w:gridCol w:w="2394"/>
        <w:gridCol w:w="2394"/>
        <w:gridCol w:w="2394"/>
      </w:tblGrid>
      <w:tr w:rsidR="00DC181F" w14:paraId="6A3D895B"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32E75F25" w14:textId="77777777" w:rsidR="00DC181F" w:rsidRDefault="001C4E0A">
            <w:r>
              <w:t>Metric</w:t>
            </w:r>
          </w:p>
        </w:tc>
        <w:tc>
          <w:tcPr>
            <w:tcW w:w="2340" w:type="dxa"/>
          </w:tcPr>
          <w:p w14:paraId="7139EFD8" w14:textId="77777777" w:rsidR="00DC181F" w:rsidRDefault="001C4E0A">
            <w:pPr>
              <w:cnfStyle w:val="100000000000" w:firstRow="1" w:lastRow="0" w:firstColumn="0" w:lastColumn="0" w:oddVBand="0" w:evenVBand="0" w:oddHBand="0" w:evenHBand="0" w:firstRowFirstColumn="0" w:firstRowLastColumn="0" w:lastRowFirstColumn="0" w:lastRowLastColumn="0"/>
            </w:pPr>
            <w:r>
              <w:t>2026 baseline</w:t>
            </w:r>
          </w:p>
        </w:tc>
        <w:tc>
          <w:tcPr>
            <w:tcW w:w="2340" w:type="dxa"/>
          </w:tcPr>
          <w:p w14:paraId="56B336C4" w14:textId="77777777" w:rsidR="00DC181F" w:rsidRDefault="001C4E0A">
            <w:pPr>
              <w:cnfStyle w:val="100000000000" w:firstRow="1" w:lastRow="0" w:firstColumn="0" w:lastColumn="0" w:oddVBand="0" w:evenVBand="0" w:oddHBand="0" w:evenHBand="0" w:firstRowFirstColumn="0" w:firstRowLastColumn="0" w:lastRowFirstColumn="0" w:lastRowLastColumn="0"/>
            </w:pPr>
            <w:r>
              <w:t>2031 status quo</w:t>
            </w:r>
          </w:p>
        </w:tc>
        <w:tc>
          <w:tcPr>
            <w:tcW w:w="2340" w:type="dxa"/>
          </w:tcPr>
          <w:p w14:paraId="3448DC70" w14:textId="77777777" w:rsidR="00DC181F" w:rsidRDefault="001C4E0A">
            <w:pPr>
              <w:cnfStyle w:val="100000000000" w:firstRow="1" w:lastRow="0" w:firstColumn="0" w:lastColumn="0" w:oddVBand="0" w:evenVBand="0" w:oddHBand="0" w:evenHBand="0" w:firstRowFirstColumn="0" w:firstRowLastColumn="0" w:lastRowFirstColumn="0" w:lastRowLastColumn="0"/>
            </w:pPr>
            <w:r>
              <w:t>2031 transformed</w:t>
            </w:r>
          </w:p>
        </w:tc>
      </w:tr>
      <w:tr w:rsidR="00DC181F" w14:paraId="1038E3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CB4BA3" w14:textId="77777777" w:rsidR="00DC181F" w:rsidRDefault="001C4E0A">
            <w:r>
              <w:t>Revenue (US$M)</w:t>
            </w:r>
          </w:p>
        </w:tc>
        <w:tc>
          <w:tcPr>
            <w:tcW w:w="2340" w:type="dxa"/>
          </w:tcPr>
          <w:p w14:paraId="73219569" w14:textId="77777777" w:rsidR="00DC181F" w:rsidRDefault="001C4E0A">
            <w:pPr>
              <w:cnfStyle w:val="000000100000" w:firstRow="0" w:lastRow="0" w:firstColumn="0" w:lastColumn="0" w:oddVBand="0" w:evenVBand="0" w:oddHBand="1" w:evenHBand="0" w:firstRowFirstColumn="0" w:firstRowLastColumn="0" w:lastRowFirstColumn="0" w:lastRowLastColumn="0"/>
            </w:pPr>
            <w:r>
              <w:t>5.00</w:t>
            </w:r>
          </w:p>
        </w:tc>
        <w:tc>
          <w:tcPr>
            <w:tcW w:w="2340" w:type="dxa"/>
          </w:tcPr>
          <w:p w14:paraId="6A6DDE3E" w14:textId="77777777" w:rsidR="00DC181F" w:rsidRDefault="001C4E0A">
            <w:pPr>
              <w:cnfStyle w:val="000000100000" w:firstRow="0" w:lastRow="0" w:firstColumn="0" w:lastColumn="0" w:oddVBand="0" w:evenVBand="0" w:oddHBand="1" w:evenHBand="0" w:firstRowFirstColumn="0" w:firstRowLastColumn="0" w:lastRowFirstColumn="0" w:lastRowLastColumn="0"/>
            </w:pPr>
            <w:r>
              <w:t>5.52</w:t>
            </w:r>
          </w:p>
        </w:tc>
        <w:tc>
          <w:tcPr>
            <w:tcW w:w="2340" w:type="dxa"/>
          </w:tcPr>
          <w:p w14:paraId="13F3EF88" w14:textId="77777777" w:rsidR="00DC181F" w:rsidRDefault="001C4E0A">
            <w:pPr>
              <w:cnfStyle w:val="000000100000" w:firstRow="0" w:lastRow="0" w:firstColumn="0" w:lastColumn="0" w:oddVBand="0" w:evenVBand="0" w:oddHBand="1" w:evenHBand="0" w:firstRowFirstColumn="0" w:firstRowLastColumn="0" w:lastRowFirstColumn="0" w:lastRowLastColumn="0"/>
            </w:pPr>
            <w:r>
              <w:t>8.04</w:t>
            </w:r>
          </w:p>
        </w:tc>
      </w:tr>
      <w:tr w:rsidR="00DC181F" w14:paraId="6992A7F0" w14:textId="77777777">
        <w:tc>
          <w:tcPr>
            <w:cnfStyle w:val="001000000000" w:firstRow="0" w:lastRow="0" w:firstColumn="1" w:lastColumn="0" w:oddVBand="0" w:evenVBand="0" w:oddHBand="0" w:evenHBand="0" w:firstRowFirstColumn="0" w:firstRowLastColumn="0" w:lastRowFirstColumn="0" w:lastRowLastColumn="0"/>
            <w:tcW w:w="2340" w:type="dxa"/>
          </w:tcPr>
          <w:p w14:paraId="717542A9" w14:textId="77777777" w:rsidR="00DC181F" w:rsidRDefault="001C4E0A">
            <w:r>
              <w:t>Revenue CAGR (2026–2031)</w:t>
            </w:r>
          </w:p>
        </w:tc>
        <w:tc>
          <w:tcPr>
            <w:tcW w:w="2340" w:type="dxa"/>
          </w:tcPr>
          <w:p w14:paraId="3A8B3BFD" w14:textId="77777777" w:rsidR="00DC181F" w:rsidRDefault="001C4E0A">
            <w:pPr>
              <w:cnfStyle w:val="000000000000" w:firstRow="0" w:lastRow="0" w:firstColumn="0" w:lastColumn="0" w:oddVBand="0" w:evenVBand="0" w:oddHBand="0" w:evenHBand="0" w:firstRowFirstColumn="0" w:firstRowLastColumn="0" w:lastRowFirstColumn="0" w:lastRowLastColumn="0"/>
            </w:pPr>
            <w:r>
              <w:t>—</w:t>
            </w:r>
          </w:p>
        </w:tc>
        <w:tc>
          <w:tcPr>
            <w:tcW w:w="2340" w:type="dxa"/>
          </w:tcPr>
          <w:p w14:paraId="0A8936A6" w14:textId="77777777" w:rsidR="00DC181F" w:rsidRDefault="001C4E0A">
            <w:pPr>
              <w:cnfStyle w:val="000000000000" w:firstRow="0" w:lastRow="0" w:firstColumn="0" w:lastColumn="0" w:oddVBand="0" w:evenVBand="0" w:oddHBand="0" w:evenHBand="0" w:firstRowFirstColumn="0" w:firstRowLastColumn="0" w:lastRowFirstColumn="0" w:lastRowLastColumn="0"/>
            </w:pPr>
            <w:r>
              <w:t>2.0%</w:t>
            </w:r>
          </w:p>
        </w:tc>
        <w:tc>
          <w:tcPr>
            <w:tcW w:w="2340" w:type="dxa"/>
          </w:tcPr>
          <w:p w14:paraId="4D023AB2" w14:textId="77777777" w:rsidR="00DC181F" w:rsidRDefault="001C4E0A">
            <w:pPr>
              <w:cnfStyle w:val="000000000000" w:firstRow="0" w:lastRow="0" w:firstColumn="0" w:lastColumn="0" w:oddVBand="0" w:evenVBand="0" w:oddHBand="0" w:evenHBand="0" w:firstRowFirstColumn="0" w:firstRowLastColumn="0" w:lastRowFirstColumn="0" w:lastRowLastColumn="0"/>
            </w:pPr>
            <w:r>
              <w:t>10.0%</w:t>
            </w:r>
          </w:p>
        </w:tc>
      </w:tr>
      <w:tr w:rsidR="00DC181F" w14:paraId="6D0F76E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4183E5" w14:textId="77777777" w:rsidR="00DC181F" w:rsidRDefault="001C4E0A">
            <w:r>
              <w:t>Adjusted EBITDA margin</w:t>
            </w:r>
          </w:p>
        </w:tc>
        <w:tc>
          <w:tcPr>
            <w:tcW w:w="2340" w:type="dxa"/>
          </w:tcPr>
          <w:p w14:paraId="7E6DBCA2" w14:textId="77777777" w:rsidR="00DC181F" w:rsidRDefault="001C4E0A">
            <w:pPr>
              <w:cnfStyle w:val="000000100000" w:firstRow="0" w:lastRow="0" w:firstColumn="0" w:lastColumn="0" w:oddVBand="0" w:evenVBand="0" w:oddHBand="1" w:evenHBand="0" w:firstRowFirstColumn="0" w:firstRowLastColumn="0" w:lastRowFirstColumn="0" w:lastRowLastColumn="0"/>
            </w:pPr>
            <w:r>
              <w:t>10.0%</w:t>
            </w:r>
          </w:p>
        </w:tc>
        <w:tc>
          <w:tcPr>
            <w:tcW w:w="2340" w:type="dxa"/>
          </w:tcPr>
          <w:p w14:paraId="52EA87E4" w14:textId="77777777" w:rsidR="00DC181F" w:rsidRDefault="001C4E0A">
            <w:pPr>
              <w:cnfStyle w:val="000000100000" w:firstRow="0" w:lastRow="0" w:firstColumn="0" w:lastColumn="0" w:oddVBand="0" w:evenVBand="0" w:oddHBand="1" w:evenHBand="0" w:firstRowFirstColumn="0" w:firstRowLastColumn="0" w:lastRowFirstColumn="0" w:lastRowLastColumn="0"/>
            </w:pPr>
            <w:r>
              <w:t>6.25%</w:t>
            </w:r>
          </w:p>
        </w:tc>
        <w:tc>
          <w:tcPr>
            <w:tcW w:w="2340" w:type="dxa"/>
          </w:tcPr>
          <w:p w14:paraId="0A6C052E" w14:textId="77777777" w:rsidR="00DC181F" w:rsidRDefault="001C4E0A">
            <w:pPr>
              <w:cnfStyle w:val="000000100000" w:firstRow="0" w:lastRow="0" w:firstColumn="0" w:lastColumn="0" w:oddVBand="0" w:evenVBand="0" w:oddHBand="1" w:evenHBand="0" w:firstRowFirstColumn="0" w:firstRowLastColumn="0" w:lastRowFirstColumn="0" w:lastRowLastColumn="0"/>
            </w:pPr>
            <w:r>
              <w:t>16.0%</w:t>
            </w:r>
          </w:p>
        </w:tc>
      </w:tr>
      <w:tr w:rsidR="00DC181F" w14:paraId="18E5BA87" w14:textId="77777777">
        <w:tc>
          <w:tcPr>
            <w:cnfStyle w:val="001000000000" w:firstRow="0" w:lastRow="0" w:firstColumn="1" w:lastColumn="0" w:oddVBand="0" w:evenVBand="0" w:oddHBand="0" w:evenHBand="0" w:firstRowFirstColumn="0" w:firstRowLastColumn="0" w:lastRowFirstColumn="0" w:lastRowLastColumn="0"/>
            <w:tcW w:w="2340" w:type="dxa"/>
          </w:tcPr>
          <w:p w14:paraId="05513072" w14:textId="77777777" w:rsidR="00DC181F" w:rsidRDefault="001C4E0A">
            <w:r>
              <w:t>Adjusted EBITDA (US$M)</w:t>
            </w:r>
          </w:p>
        </w:tc>
        <w:tc>
          <w:tcPr>
            <w:tcW w:w="2340" w:type="dxa"/>
          </w:tcPr>
          <w:p w14:paraId="16BC45A1" w14:textId="77777777" w:rsidR="00DC181F" w:rsidRDefault="001C4E0A">
            <w:pPr>
              <w:cnfStyle w:val="000000000000" w:firstRow="0" w:lastRow="0" w:firstColumn="0" w:lastColumn="0" w:oddVBand="0" w:evenVBand="0" w:oddHBand="0" w:evenHBand="0" w:firstRowFirstColumn="0" w:firstRowLastColumn="0" w:lastRowFirstColumn="0" w:lastRowLastColumn="0"/>
            </w:pPr>
            <w:r>
              <w:t>0.50</w:t>
            </w:r>
          </w:p>
        </w:tc>
        <w:tc>
          <w:tcPr>
            <w:tcW w:w="2340" w:type="dxa"/>
          </w:tcPr>
          <w:p w14:paraId="4FC7FE84" w14:textId="77777777" w:rsidR="00DC181F" w:rsidRDefault="001C4E0A">
            <w:pPr>
              <w:cnfStyle w:val="000000000000" w:firstRow="0" w:lastRow="0" w:firstColumn="0" w:lastColumn="0" w:oddVBand="0" w:evenVBand="0" w:oddHBand="0" w:evenHBand="0" w:firstRowFirstColumn="0" w:firstRowLastColumn="0" w:lastRowFirstColumn="0" w:lastRowLastColumn="0"/>
            </w:pPr>
            <w:r>
              <w:t>0.35</w:t>
            </w:r>
          </w:p>
        </w:tc>
        <w:tc>
          <w:tcPr>
            <w:tcW w:w="2340" w:type="dxa"/>
          </w:tcPr>
          <w:p w14:paraId="467BDD4D" w14:textId="77777777" w:rsidR="00DC181F" w:rsidRDefault="001C4E0A">
            <w:pPr>
              <w:cnfStyle w:val="000000000000" w:firstRow="0" w:lastRow="0" w:firstColumn="0" w:lastColumn="0" w:oddVBand="0" w:evenVBand="0" w:oddHBand="0" w:evenHBand="0" w:firstRowFirstColumn="0" w:firstRowLastColumn="0" w:lastRowFirstColumn="0" w:lastRowLastColumn="0"/>
            </w:pPr>
            <w:r>
              <w:t>1.29</w:t>
            </w:r>
          </w:p>
        </w:tc>
      </w:tr>
      <w:tr w:rsidR="00DC181F" w14:paraId="1B5F85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318191" w14:textId="77777777" w:rsidR="00DC181F" w:rsidRDefault="001C4E0A">
            <w:r>
              <w:t>Assumed EV/EBITDA multiple</w:t>
            </w:r>
          </w:p>
        </w:tc>
        <w:tc>
          <w:tcPr>
            <w:tcW w:w="2340" w:type="dxa"/>
          </w:tcPr>
          <w:p w14:paraId="46447E2D" w14:textId="77777777" w:rsidR="00DC181F" w:rsidRDefault="001C4E0A">
            <w:pPr>
              <w:cnfStyle w:val="000000100000" w:firstRow="0" w:lastRow="0" w:firstColumn="0" w:lastColumn="0" w:oddVBand="0" w:evenVBand="0" w:oddHBand="1" w:evenHBand="0" w:firstRowFirstColumn="0" w:firstRowLastColumn="0" w:lastRowFirstColumn="0" w:lastRowLastColumn="0"/>
            </w:pPr>
            <w:r>
              <w:t>5.2x</w:t>
            </w:r>
          </w:p>
        </w:tc>
        <w:tc>
          <w:tcPr>
            <w:tcW w:w="2340" w:type="dxa"/>
          </w:tcPr>
          <w:p w14:paraId="4CA970C5" w14:textId="77777777" w:rsidR="00DC181F" w:rsidRDefault="001C4E0A">
            <w:pPr>
              <w:cnfStyle w:val="000000100000" w:firstRow="0" w:lastRow="0" w:firstColumn="0" w:lastColumn="0" w:oddVBand="0" w:evenVBand="0" w:oddHBand="1" w:evenHBand="0" w:firstRowFirstColumn="0" w:firstRowLastColumn="0" w:lastRowFirstColumn="0" w:lastRowLastColumn="0"/>
            </w:pPr>
            <w:r>
              <w:t>5.2x</w:t>
            </w:r>
          </w:p>
        </w:tc>
        <w:tc>
          <w:tcPr>
            <w:tcW w:w="2340" w:type="dxa"/>
          </w:tcPr>
          <w:p w14:paraId="1B58090A" w14:textId="77777777" w:rsidR="00DC181F" w:rsidRDefault="001C4E0A">
            <w:pPr>
              <w:cnfStyle w:val="000000100000" w:firstRow="0" w:lastRow="0" w:firstColumn="0" w:lastColumn="0" w:oddVBand="0" w:evenVBand="0" w:oddHBand="1" w:evenHBand="0" w:firstRowFirstColumn="0" w:firstRowLastColumn="0" w:lastRowFirstColumn="0" w:lastRowLastColumn="0"/>
            </w:pPr>
            <w:r>
              <w:t>9.0x</w:t>
            </w:r>
          </w:p>
        </w:tc>
      </w:tr>
      <w:tr w:rsidR="00DC181F" w14:paraId="67153C45" w14:textId="77777777">
        <w:tc>
          <w:tcPr>
            <w:cnfStyle w:val="001000000000" w:firstRow="0" w:lastRow="0" w:firstColumn="1" w:lastColumn="0" w:oddVBand="0" w:evenVBand="0" w:oddHBand="0" w:evenHBand="0" w:firstRowFirstColumn="0" w:firstRowLastColumn="0" w:lastRowFirstColumn="0" w:lastRowLastColumn="0"/>
            <w:tcW w:w="2340" w:type="dxa"/>
          </w:tcPr>
          <w:p w14:paraId="3A8F44D3" w14:textId="77777777" w:rsidR="00DC181F" w:rsidRDefault="001C4E0A">
            <w:r>
              <w:t>Implied enterprise value (US$M)</w:t>
            </w:r>
          </w:p>
        </w:tc>
        <w:tc>
          <w:tcPr>
            <w:tcW w:w="2340" w:type="dxa"/>
          </w:tcPr>
          <w:p w14:paraId="25502766" w14:textId="77777777" w:rsidR="00DC181F" w:rsidRDefault="001C4E0A">
            <w:pPr>
              <w:cnfStyle w:val="000000000000" w:firstRow="0" w:lastRow="0" w:firstColumn="0" w:lastColumn="0" w:oddVBand="0" w:evenVBand="0" w:oddHBand="0" w:evenHBand="0" w:firstRowFirstColumn="0" w:firstRowLastColumn="0" w:lastRowFirstColumn="0" w:lastRowLastColumn="0"/>
            </w:pPr>
            <w:r>
              <w:t>2.60</w:t>
            </w:r>
          </w:p>
        </w:tc>
        <w:tc>
          <w:tcPr>
            <w:tcW w:w="2340" w:type="dxa"/>
          </w:tcPr>
          <w:p w14:paraId="0F04383E" w14:textId="77777777" w:rsidR="00DC181F" w:rsidRDefault="001C4E0A">
            <w:pPr>
              <w:cnfStyle w:val="000000000000" w:firstRow="0" w:lastRow="0" w:firstColumn="0" w:lastColumn="0" w:oddVBand="0" w:evenVBand="0" w:oddHBand="0" w:evenHBand="0" w:firstRowFirstColumn="0" w:firstRowLastColumn="0" w:lastRowFirstColumn="0" w:lastRowLastColumn="0"/>
            </w:pPr>
            <w:r>
              <w:t>1.79</w:t>
            </w:r>
          </w:p>
        </w:tc>
        <w:tc>
          <w:tcPr>
            <w:tcW w:w="2340" w:type="dxa"/>
          </w:tcPr>
          <w:p w14:paraId="2FEE613D" w14:textId="77777777" w:rsidR="00DC181F" w:rsidRDefault="001C4E0A">
            <w:pPr>
              <w:cnfStyle w:val="000000000000" w:firstRow="0" w:lastRow="0" w:firstColumn="0" w:lastColumn="0" w:oddVBand="0" w:evenVBand="0" w:oddHBand="0" w:evenHBand="0" w:firstRowFirstColumn="0" w:firstRowLastColumn="0" w:lastRowFirstColumn="0" w:lastRowLastColumn="0"/>
            </w:pPr>
            <w:r>
              <w:t>11.58</w:t>
            </w:r>
          </w:p>
        </w:tc>
      </w:tr>
      <w:tr w:rsidR="00DC181F" w14:paraId="4C2205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B61E79" w14:textId="77777777" w:rsidR="00DC181F" w:rsidRDefault="001C4E0A">
            <w:r>
              <w:t>Change in owner value vs 2026</w:t>
            </w:r>
          </w:p>
        </w:tc>
        <w:tc>
          <w:tcPr>
            <w:tcW w:w="2340" w:type="dxa"/>
          </w:tcPr>
          <w:p w14:paraId="49BBE804" w14:textId="77777777" w:rsidR="00DC181F" w:rsidRDefault="001C4E0A">
            <w:pPr>
              <w:cnfStyle w:val="000000100000" w:firstRow="0" w:lastRow="0" w:firstColumn="0" w:lastColumn="0" w:oddVBand="0" w:evenVBand="0" w:oddHBand="1" w:evenHBand="0" w:firstRowFirstColumn="0" w:firstRowLastColumn="0" w:lastRowFirstColumn="0" w:lastRowLastColumn="0"/>
            </w:pPr>
            <w:r>
              <w:t>—</w:t>
            </w:r>
          </w:p>
        </w:tc>
        <w:tc>
          <w:tcPr>
            <w:tcW w:w="2340" w:type="dxa"/>
          </w:tcPr>
          <w:p w14:paraId="48C0B60C" w14:textId="77777777" w:rsidR="00DC181F" w:rsidRDefault="001C4E0A">
            <w:pPr>
              <w:cnfStyle w:val="000000100000" w:firstRow="0" w:lastRow="0" w:firstColumn="0" w:lastColumn="0" w:oddVBand="0" w:evenVBand="0" w:oddHBand="1" w:evenHBand="0" w:firstRowFirstColumn="0" w:firstRowLastColumn="0" w:lastRowFirstColumn="0" w:lastRowLastColumn="0"/>
            </w:pPr>
            <w:r>
              <w:t>−</w:t>
            </w:r>
            <w:r>
              <w:t>31%</w:t>
            </w:r>
          </w:p>
        </w:tc>
        <w:tc>
          <w:tcPr>
            <w:tcW w:w="2340" w:type="dxa"/>
          </w:tcPr>
          <w:p w14:paraId="2414C6F9" w14:textId="77777777" w:rsidR="00DC181F" w:rsidRDefault="001C4E0A">
            <w:pPr>
              <w:cnfStyle w:val="000000100000" w:firstRow="0" w:lastRow="0" w:firstColumn="0" w:lastColumn="0" w:oddVBand="0" w:evenVBand="0" w:oddHBand="1" w:evenHBand="0" w:firstRowFirstColumn="0" w:firstRowLastColumn="0" w:lastRowFirstColumn="0" w:lastRowLastColumn="0"/>
            </w:pPr>
            <w:r>
              <w:t>+345%</w:t>
            </w:r>
          </w:p>
        </w:tc>
      </w:tr>
    </w:tbl>
    <w:p w14:paraId="50368DDF" w14:textId="77777777" w:rsidR="00DC181F" w:rsidRDefault="001C4E0A">
      <w:r>
        <w:t>The implications compound. On EBITDA, the status-quo path loses about $155,000 of annual earnings by 2031 while the transformed path adds about $786,000. On valuation, the same business is worth $1.8 million on one path and $11.6 million on the other — a difference of roughly 6.5 times, driven as much by multiple re-rating as by earnings. On M&amp;A, the status-quo owner drifts below the $5 million acquisition floor that most large buyers apply, while the transformed owner enters the segment where buyers outnum</w:t>
      </w:r>
      <w:r>
        <w:t>ber sellers. For private-equity readers, the same arithmetic is the roll-up thesis: buy commodity books at 4 to 6 times, industrialise delivery and re-rate the platform toward 9 to 11 times.</w:t>
      </w:r>
    </w:p>
    <w:p w14:paraId="57ED8019" w14:textId="77777777" w:rsidR="00DC181F" w:rsidRDefault="001C4E0A">
      <w:pPr>
        <w:pStyle w:val="Heading2"/>
      </w:pPr>
      <w:bookmarkStart w:id="20" w:name="_Toc236412138"/>
      <w:r>
        <w:t>6.5 Valuation and M&amp;A implications summary</w:t>
      </w:r>
      <w:bookmarkEnd w:id="20"/>
    </w:p>
    <w:p w14:paraId="4D5821FD" w14:textId="77777777" w:rsidR="00DC181F" w:rsidRDefault="001C4E0A">
      <w:r>
        <w:t>The financial bottom line is that automation is not automatically accretive. It expands EBITDA only if savings are captured faster than price compression — which requires repricing around outcomes before, not after, you automate. If an MSP automates L1/L2 work but leaves pricing as "unlimited support", clients see less visible activity and demand lower fees, and automation savings leak straight to the customer. If the same MSP converts automation into faster mean-time-to-resolution, demonstrable security re</w:t>
      </w:r>
      <w:r>
        <w:t xml:space="preserve">silience, compliance assurance and business outcomes, it can hold price and expand EBITDA toward the best-in-class 19-per-cent-plus (and, on early automation-heavy evidence, toward 25 to 30 per cent). McKinsey's research supports this directly: AI value accrues to </w:t>
      </w:r>
      <w:r>
        <w:lastRenderedPageBreak/>
        <w:t>organisations that redesign whole workflows, not those that merely activate tools — only about 39 per cent of firms using agents report any profit improvement at all.</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0CCD6719"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491CB7C2" w14:textId="77777777" w:rsidR="00DC181F" w:rsidRDefault="001C4E0A">
            <w:r>
              <w:t>Dimension</w:t>
            </w:r>
          </w:p>
        </w:tc>
        <w:tc>
          <w:tcPr>
            <w:tcW w:w="3120" w:type="dxa"/>
          </w:tcPr>
          <w:p w14:paraId="6DC266F0" w14:textId="77777777" w:rsidR="00DC181F" w:rsidRDefault="001C4E0A">
            <w:pPr>
              <w:cnfStyle w:val="100000000000" w:firstRow="1" w:lastRow="0" w:firstColumn="0" w:lastColumn="0" w:oddVBand="0" w:evenVBand="0" w:oddHBand="0" w:evenHBand="0" w:firstRowFirstColumn="0" w:firstRowLastColumn="0" w:lastRowFirstColumn="0" w:lastRowLastColumn="0"/>
            </w:pPr>
            <w:r>
              <w:t>Current (legacy) model</w:t>
            </w:r>
          </w:p>
        </w:tc>
        <w:tc>
          <w:tcPr>
            <w:tcW w:w="3120" w:type="dxa"/>
          </w:tcPr>
          <w:p w14:paraId="55F400BE" w14:textId="77777777" w:rsidR="00DC181F" w:rsidRDefault="001C4E0A">
            <w:pPr>
              <w:cnfStyle w:val="100000000000" w:firstRow="1" w:lastRow="0" w:firstColumn="0" w:lastColumn="0" w:oddVBand="0" w:evenVBand="0" w:oddHBand="0" w:evenHBand="0" w:firstRowFirstColumn="0" w:firstRowLastColumn="0" w:lastRowFirstColumn="0" w:lastRowLastColumn="0"/>
            </w:pPr>
            <w:r>
              <w:t>Future (transformed) model</w:t>
            </w:r>
          </w:p>
        </w:tc>
      </w:tr>
      <w:tr w:rsidR="00DC181F" w14:paraId="300F05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F8D70A" w14:textId="77777777" w:rsidR="00DC181F" w:rsidRDefault="001C4E0A">
            <w:r>
              <w:t>Revenue mix</w:t>
            </w:r>
          </w:p>
        </w:tc>
        <w:tc>
          <w:tcPr>
            <w:tcW w:w="3120" w:type="dxa"/>
          </w:tcPr>
          <w:p w14:paraId="6B5E73DF" w14:textId="77777777" w:rsidR="00DC181F" w:rsidRDefault="001C4E0A">
            <w:pPr>
              <w:cnfStyle w:val="000000100000" w:firstRow="0" w:lastRow="0" w:firstColumn="0" w:lastColumn="0" w:oddVBand="0" w:evenVBand="0" w:oddHBand="1" w:evenHBand="0" w:firstRowFirstColumn="0" w:firstRowLastColumn="0" w:lastRowFirstColumn="0" w:lastRowLastColumn="0"/>
            </w:pPr>
            <w:r>
              <w:t>Help desk, RMM, infrastructure support, monitoring, device management, resale, break-fix projects.</w:t>
            </w:r>
          </w:p>
        </w:tc>
        <w:tc>
          <w:tcPr>
            <w:tcW w:w="3120" w:type="dxa"/>
          </w:tcPr>
          <w:p w14:paraId="219018AA" w14:textId="77777777" w:rsidR="00DC181F" w:rsidRDefault="001C4E0A">
            <w:pPr>
              <w:cnfStyle w:val="000000100000" w:firstRow="0" w:lastRow="0" w:firstColumn="0" w:lastColumn="0" w:oddVBand="0" w:evenVBand="0" w:oddHBand="1" w:evenHBand="0" w:firstRowFirstColumn="0" w:firstRowLastColumn="0" w:lastRowFirstColumn="0" w:lastRowLastColumn="0"/>
            </w:pPr>
            <w:r>
              <w:t>Security (MDR/XDR/identity/compliance), AI advisory and governance, automation and data services, co-managed IT, business-process transformation.</w:t>
            </w:r>
          </w:p>
        </w:tc>
      </w:tr>
      <w:tr w:rsidR="00DC181F" w14:paraId="0A276591" w14:textId="77777777">
        <w:tc>
          <w:tcPr>
            <w:cnfStyle w:val="001000000000" w:firstRow="0" w:lastRow="0" w:firstColumn="1" w:lastColumn="0" w:oddVBand="0" w:evenVBand="0" w:oddHBand="0" w:evenHBand="0" w:firstRowFirstColumn="0" w:firstRowLastColumn="0" w:lastRowFirstColumn="0" w:lastRowLastColumn="0"/>
            <w:tcW w:w="3120" w:type="dxa"/>
          </w:tcPr>
          <w:p w14:paraId="4B624815" w14:textId="77777777" w:rsidR="00DC181F" w:rsidRDefault="001C4E0A">
            <w:r>
              <w:t>Pricing logic</w:t>
            </w:r>
          </w:p>
        </w:tc>
        <w:tc>
          <w:tcPr>
            <w:tcW w:w="3120" w:type="dxa"/>
          </w:tcPr>
          <w:p w14:paraId="14742D51" w14:textId="77777777" w:rsidR="00DC181F" w:rsidRDefault="001C4E0A">
            <w:pPr>
              <w:cnfStyle w:val="000000000000" w:firstRow="0" w:lastRow="0" w:firstColumn="0" w:lastColumn="0" w:oddVBand="0" w:evenVBand="0" w:oddHBand="0" w:evenHBand="0" w:firstRowFirstColumn="0" w:firstRowLastColumn="0" w:lastRowFirstColumn="0" w:lastRowLastColumn="0"/>
            </w:pPr>
            <w:r>
              <w:t>Per-user / per-device; ticket entitlement; "unlimited support".</w:t>
            </w:r>
          </w:p>
        </w:tc>
        <w:tc>
          <w:tcPr>
            <w:tcW w:w="3120" w:type="dxa"/>
          </w:tcPr>
          <w:p w14:paraId="47FB2E2E" w14:textId="77777777" w:rsidR="00DC181F" w:rsidRDefault="001C4E0A">
            <w:pPr>
              <w:cnfStyle w:val="000000000000" w:firstRow="0" w:lastRow="0" w:firstColumn="0" w:lastColumn="0" w:oddVBand="0" w:evenVBand="0" w:oddHBand="0" w:evenHBand="0" w:firstRowFirstColumn="0" w:firstRowLastColumn="0" w:lastRowFirstColumn="0" w:lastRowLastColumn="0"/>
            </w:pPr>
            <w:r>
              <w:t>Outcome-based; platform subscription; managed-AI retainer; risk-reduction and compliance-evidence packs.</w:t>
            </w:r>
          </w:p>
        </w:tc>
      </w:tr>
      <w:tr w:rsidR="00DC181F" w14:paraId="2CE6EF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7030C3" w14:textId="77777777" w:rsidR="00DC181F" w:rsidRDefault="001C4E0A">
            <w:r>
              <w:t>Margin logic</w:t>
            </w:r>
          </w:p>
        </w:tc>
        <w:tc>
          <w:tcPr>
            <w:tcW w:w="3120" w:type="dxa"/>
          </w:tcPr>
          <w:p w14:paraId="7F0B6E72" w14:textId="77777777" w:rsidR="00DC181F" w:rsidRDefault="001C4E0A">
            <w:pPr>
              <w:cnfStyle w:val="000000100000" w:firstRow="0" w:lastRow="0" w:firstColumn="0" w:lastColumn="0" w:oddVBand="0" w:evenVBand="0" w:oddHBand="1" w:evenHBand="0" w:firstRowFirstColumn="0" w:firstRowLastColumn="0" w:lastRowFirstColumn="0" w:lastRowLastColumn="0"/>
            </w:pPr>
            <w:r>
              <w:t>Labour utilisation (scales with headcount).</w:t>
            </w:r>
          </w:p>
        </w:tc>
        <w:tc>
          <w:tcPr>
            <w:tcW w:w="3120" w:type="dxa"/>
          </w:tcPr>
          <w:p w14:paraId="749901CC" w14:textId="77777777" w:rsidR="00DC181F" w:rsidRDefault="001C4E0A">
            <w:pPr>
              <w:cnfStyle w:val="000000100000" w:firstRow="0" w:lastRow="0" w:firstColumn="0" w:lastColumn="0" w:oddVBand="0" w:evenVBand="0" w:oddHBand="1" w:evenHBand="0" w:firstRowFirstColumn="0" w:firstRowLastColumn="0" w:lastRowFirstColumn="0" w:lastRowLastColumn="0"/>
            </w:pPr>
            <w:r>
              <w:t>Automation leverage plus repeatable, productised IP.</w:t>
            </w:r>
          </w:p>
        </w:tc>
      </w:tr>
      <w:tr w:rsidR="00DC181F" w14:paraId="2DEFD1D0" w14:textId="77777777">
        <w:tc>
          <w:tcPr>
            <w:cnfStyle w:val="001000000000" w:firstRow="0" w:lastRow="0" w:firstColumn="1" w:lastColumn="0" w:oddVBand="0" w:evenVBand="0" w:oddHBand="0" w:evenHBand="0" w:firstRowFirstColumn="0" w:firstRowLastColumn="0" w:lastRowFirstColumn="0" w:lastRowLastColumn="0"/>
            <w:tcW w:w="3120" w:type="dxa"/>
          </w:tcPr>
          <w:p w14:paraId="326C2254" w14:textId="77777777" w:rsidR="00DC181F" w:rsidRDefault="001C4E0A">
            <w:r>
              <w:t>EBITDA benchmark</w:t>
            </w:r>
          </w:p>
        </w:tc>
        <w:tc>
          <w:tcPr>
            <w:tcW w:w="3120" w:type="dxa"/>
          </w:tcPr>
          <w:p w14:paraId="796DBAFE" w14:textId="77777777" w:rsidR="00DC181F" w:rsidRDefault="001C4E0A">
            <w:pPr>
              <w:cnfStyle w:val="000000000000" w:firstRow="0" w:lastRow="0" w:firstColumn="0" w:lastColumn="0" w:oddVBand="0" w:evenVBand="0" w:oddHBand="0" w:evenHBand="0" w:firstRowFirstColumn="0" w:firstRowLastColumn="0" w:lastRowFirstColumn="0" w:lastRowLastColumn="0"/>
            </w:pPr>
            <w:r>
              <w:t>Average MSP adjusted EBITDA ~11–13%; 18% ran at a loss.</w:t>
            </w:r>
          </w:p>
        </w:tc>
        <w:tc>
          <w:tcPr>
            <w:tcW w:w="3120" w:type="dxa"/>
          </w:tcPr>
          <w:p w14:paraId="01AB913F" w14:textId="77777777" w:rsidR="00DC181F" w:rsidRDefault="001C4E0A">
            <w:pPr>
              <w:cnfStyle w:val="000000000000" w:firstRow="0" w:lastRow="0" w:firstColumn="0" w:lastColumn="0" w:oddVBand="0" w:evenVBand="0" w:oddHBand="0" w:evenHBand="0" w:firstRowFirstColumn="0" w:firstRowLastColumn="0" w:lastRowFirstColumn="0" w:lastRowLastColumn="0"/>
            </w:pPr>
            <w:r>
              <w:t>Best-in-class benchmark 19%+; automation-heavy early adopters report 25–30%.</w:t>
            </w:r>
          </w:p>
        </w:tc>
      </w:tr>
      <w:tr w:rsidR="00DC181F" w14:paraId="16B0A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50EDAE" w14:textId="77777777" w:rsidR="00DC181F" w:rsidRDefault="001C4E0A">
            <w:r>
              <w:t>Valuation implication</w:t>
            </w:r>
          </w:p>
        </w:tc>
        <w:tc>
          <w:tcPr>
            <w:tcW w:w="3120" w:type="dxa"/>
          </w:tcPr>
          <w:p w14:paraId="0FBB2A3E" w14:textId="77777777" w:rsidR="00DC181F" w:rsidRDefault="001C4E0A">
            <w:pPr>
              <w:cnfStyle w:val="000000100000" w:firstRow="0" w:lastRow="0" w:firstColumn="0" w:lastColumn="0" w:oddVBand="0" w:evenVBand="0" w:oddHBand="1" w:evenHBand="0" w:firstRowFirstColumn="0" w:firstRowLastColumn="0" w:lastRowFirstColumn="0" w:lastRowLastColumn="0"/>
            </w:pPr>
            <w:r>
              <w:t>Subscale, undifferentiated firms face a discount and "tuck-in" risk.</w:t>
            </w:r>
          </w:p>
        </w:tc>
        <w:tc>
          <w:tcPr>
            <w:tcW w:w="3120" w:type="dxa"/>
          </w:tcPr>
          <w:p w14:paraId="1A5053EF" w14:textId="77777777" w:rsidR="00DC181F" w:rsidRDefault="001C4E0A">
            <w:pPr>
              <w:cnfStyle w:val="000000100000" w:firstRow="0" w:lastRow="0" w:firstColumn="0" w:lastColumn="0" w:oddVBand="0" w:evenVBand="0" w:oddHBand="1" w:evenHBand="0" w:firstRowFirstColumn="0" w:firstRowLastColumn="0" w:lastRowFirstColumn="0" w:lastRowLastColumn="0"/>
            </w:pPr>
            <w:r>
              <w:t>Scaled, secure, high-recurring-revenue firms earn premium multiples.</w:t>
            </w:r>
          </w:p>
        </w:tc>
      </w:tr>
    </w:tbl>
    <w:p w14:paraId="1340D3CB" w14:textId="77777777" w:rsidR="00DC181F" w:rsidRDefault="001C4E0A">
      <w:r>
        <w:br w:type="page"/>
      </w:r>
    </w:p>
    <w:p w14:paraId="3909D189" w14:textId="77777777" w:rsidR="00DC181F" w:rsidRDefault="001C4E0A">
      <w:pPr>
        <w:pStyle w:val="Heading1"/>
      </w:pPr>
      <w:bookmarkStart w:id="21" w:name="_Toc236412139"/>
      <w:r>
        <w:lastRenderedPageBreak/>
        <w:t>7. Microsoft Strategy Analysis</w:t>
      </w:r>
      <w:bookmarkEnd w:id="21"/>
    </w:p>
    <w:p w14:paraId="48B856DA" w14:textId="77777777" w:rsidR="00DC181F" w:rsidRDefault="001C4E0A">
      <w:r>
        <w:t xml:space="preserve">Microsoft's direction is unmistakable: AI-first, cloud-first, security-integrated and agentic — and the evidence for it got stronger on the very day this report was finalised. Microsoft reported its fiscal 2026 fourth quarter (quarter ended 30 June 2026) after market close on 29 July 2026. Quarterly revenue was $90.0 billion, up 18 per cent year on year; operating income was $40.6 billion, up 18 per cent; and net income was $35.8 billion (GAAP, up 31 per cent), boosted by a $3.2 billion gain on Microsoft's </w:t>
      </w:r>
      <w:r>
        <w:t>investment in Anthropic and partially offset by severance and an Xbox impairment charge. Full fiscal-year 2026 revenue reached $331.8 billion, up from $281.7 billion in FY2025.</w:t>
      </w:r>
    </w:p>
    <w:p w14:paraId="62E8BA1E" w14:textId="77777777" w:rsidR="00DC181F" w:rsidRDefault="001C4E0A">
      <w:r>
        <w:t>As chairman and chief executive Satya Nadella put it in the earnings release: "This year, Azure revenue surpassed $100 billion for the first time, and Microsoft 365 Copilot reached over 30 million paid seats, reflecting the confidence customers are placing in us to power their AI transformation."</w:t>
      </w:r>
    </w:p>
    <w:p w14:paraId="1538F156" w14:textId="77777777" w:rsidR="00DC181F" w:rsidRDefault="001C4E0A">
      <w:pPr>
        <w:pStyle w:val="Heading2"/>
      </w:pPr>
      <w:bookmarkStart w:id="22" w:name="_Toc236412140"/>
      <w:r>
        <w:t>7.1 The headline numbers partners cannot ignore</w:t>
      </w:r>
      <w:bookmarkEnd w:id="22"/>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0FA80679"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448F1AF4" w14:textId="77777777" w:rsidR="00DC181F" w:rsidRDefault="001C4E0A">
            <w:r>
              <w:t>Metric (FY2026 Q4, ended 30 June 2026)</w:t>
            </w:r>
          </w:p>
        </w:tc>
        <w:tc>
          <w:tcPr>
            <w:tcW w:w="3120" w:type="dxa"/>
          </w:tcPr>
          <w:p w14:paraId="4109CAA6" w14:textId="77777777" w:rsidR="00DC181F" w:rsidRDefault="001C4E0A">
            <w:pPr>
              <w:cnfStyle w:val="100000000000" w:firstRow="1" w:lastRow="0" w:firstColumn="0" w:lastColumn="0" w:oddVBand="0" w:evenVBand="0" w:oddHBand="0" w:evenHBand="0" w:firstRowFirstColumn="0" w:firstRowLastColumn="0" w:lastRowFirstColumn="0" w:lastRowLastColumn="0"/>
            </w:pPr>
            <w:r>
              <w:t>Result</w:t>
            </w:r>
          </w:p>
        </w:tc>
        <w:tc>
          <w:tcPr>
            <w:tcW w:w="3120" w:type="dxa"/>
          </w:tcPr>
          <w:p w14:paraId="2FB00B23" w14:textId="77777777" w:rsidR="00DC181F" w:rsidRDefault="001C4E0A">
            <w:pPr>
              <w:cnfStyle w:val="100000000000" w:firstRow="1" w:lastRow="0" w:firstColumn="0" w:lastColumn="0" w:oddVBand="0" w:evenVBand="0" w:oddHBand="0" w:evenHBand="0" w:firstRowFirstColumn="0" w:firstRowLastColumn="0" w:lastRowFirstColumn="0" w:lastRowLastColumn="0"/>
            </w:pPr>
            <w:r>
              <w:t>Why it matters for MSPs/TSPs</w:t>
            </w:r>
          </w:p>
        </w:tc>
      </w:tr>
      <w:tr w:rsidR="00DC181F" w14:paraId="2B89DB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0D11BF" w14:textId="77777777" w:rsidR="00DC181F" w:rsidRDefault="001C4E0A">
            <w:r>
              <w:t>Total revenue</w:t>
            </w:r>
          </w:p>
        </w:tc>
        <w:tc>
          <w:tcPr>
            <w:tcW w:w="3120" w:type="dxa"/>
          </w:tcPr>
          <w:p w14:paraId="5C6E924B" w14:textId="77777777" w:rsidR="00DC181F" w:rsidRDefault="001C4E0A">
            <w:pPr>
              <w:cnfStyle w:val="000000100000" w:firstRow="0" w:lastRow="0" w:firstColumn="0" w:lastColumn="0" w:oddVBand="0" w:evenVBand="0" w:oddHBand="1" w:evenHBand="0" w:firstRowFirstColumn="0" w:firstRowLastColumn="0" w:lastRowFirstColumn="0" w:lastRowLastColumn="0"/>
            </w:pPr>
            <w:r>
              <w:t>$90.0B, +18% YoY</w:t>
            </w:r>
          </w:p>
        </w:tc>
        <w:tc>
          <w:tcPr>
            <w:tcW w:w="3120" w:type="dxa"/>
          </w:tcPr>
          <w:p w14:paraId="18EF3325" w14:textId="77777777" w:rsidR="00DC181F" w:rsidRDefault="001C4E0A">
            <w:pPr>
              <w:cnfStyle w:val="000000100000" w:firstRow="0" w:lastRow="0" w:firstColumn="0" w:lastColumn="0" w:oddVBand="0" w:evenVBand="0" w:oddHBand="1" w:evenHBand="0" w:firstRowFirstColumn="0" w:firstRowLastColumn="0" w:lastRowFirstColumn="0" w:lastRowLastColumn="0"/>
            </w:pPr>
            <w:r>
              <w:t>Confirms sustained double-digit enterprise IT-spend growth even amid AI-capex debate.</w:t>
            </w:r>
          </w:p>
        </w:tc>
      </w:tr>
      <w:tr w:rsidR="00DC181F" w14:paraId="4A42BAD3" w14:textId="77777777">
        <w:tc>
          <w:tcPr>
            <w:cnfStyle w:val="001000000000" w:firstRow="0" w:lastRow="0" w:firstColumn="1" w:lastColumn="0" w:oddVBand="0" w:evenVBand="0" w:oddHBand="0" w:evenHBand="0" w:firstRowFirstColumn="0" w:firstRowLastColumn="0" w:lastRowFirstColumn="0" w:lastRowLastColumn="0"/>
            <w:tcW w:w="3120" w:type="dxa"/>
          </w:tcPr>
          <w:p w14:paraId="62B674CC" w14:textId="77777777" w:rsidR="00DC181F" w:rsidRDefault="001C4E0A">
            <w:r>
              <w:t>Microsoft Cloud revenue</w:t>
            </w:r>
          </w:p>
        </w:tc>
        <w:tc>
          <w:tcPr>
            <w:tcW w:w="3120" w:type="dxa"/>
          </w:tcPr>
          <w:p w14:paraId="0CAB91E6" w14:textId="77777777" w:rsidR="00DC181F" w:rsidRDefault="001C4E0A">
            <w:pPr>
              <w:cnfStyle w:val="000000000000" w:firstRow="0" w:lastRow="0" w:firstColumn="0" w:lastColumn="0" w:oddVBand="0" w:evenVBand="0" w:oddHBand="0" w:evenHBand="0" w:firstRowFirstColumn="0" w:firstRowLastColumn="0" w:lastRowFirstColumn="0" w:lastRowLastColumn="0"/>
            </w:pPr>
            <w:r>
              <w:t>$59.3B, +27% YoY</w:t>
            </w:r>
          </w:p>
        </w:tc>
        <w:tc>
          <w:tcPr>
            <w:tcW w:w="3120" w:type="dxa"/>
          </w:tcPr>
          <w:p w14:paraId="2D08EB97" w14:textId="77777777" w:rsidR="00DC181F" w:rsidRDefault="001C4E0A">
            <w:pPr>
              <w:cnfStyle w:val="000000000000" w:firstRow="0" w:lastRow="0" w:firstColumn="0" w:lastColumn="0" w:oddVBand="0" w:evenVBand="0" w:oddHBand="0" w:evenHBand="0" w:firstRowFirstColumn="0" w:firstRowLastColumn="0" w:lastRowFirstColumn="0" w:lastRowLastColumn="0"/>
            </w:pPr>
            <w:r>
              <w:t>Cloud remains the growth engine; partners still selling on-prem admin are selling a shrinking category.</w:t>
            </w:r>
          </w:p>
        </w:tc>
      </w:tr>
      <w:tr w:rsidR="00DC181F" w14:paraId="3AE6EA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06089D" w14:textId="77777777" w:rsidR="00DC181F" w:rsidRDefault="001C4E0A">
            <w:r>
              <w:t>Azure and other cloud services</w:t>
            </w:r>
          </w:p>
        </w:tc>
        <w:tc>
          <w:tcPr>
            <w:tcW w:w="3120" w:type="dxa"/>
          </w:tcPr>
          <w:p w14:paraId="6B8578AD" w14:textId="77777777" w:rsidR="00DC181F" w:rsidRDefault="001C4E0A">
            <w:pPr>
              <w:cnfStyle w:val="000000100000" w:firstRow="0" w:lastRow="0" w:firstColumn="0" w:lastColumn="0" w:oddVBand="0" w:evenVBand="0" w:oddHBand="1" w:evenHBand="0" w:firstRowFirstColumn="0" w:firstRowLastColumn="0" w:lastRowFirstColumn="0" w:lastRowLastColumn="0"/>
            </w:pPr>
            <w:r>
              <w:t>Growth of ~43% in the quarter; Azure passed $100B in annual revenue for the first time</w:t>
            </w:r>
          </w:p>
        </w:tc>
        <w:tc>
          <w:tcPr>
            <w:tcW w:w="3120" w:type="dxa"/>
          </w:tcPr>
          <w:p w14:paraId="7A73789C" w14:textId="77777777" w:rsidR="00DC181F" w:rsidRDefault="001C4E0A">
            <w:pPr>
              <w:cnfStyle w:val="000000100000" w:firstRow="0" w:lastRow="0" w:firstColumn="0" w:lastColumn="0" w:oddVBand="0" w:evenVBand="0" w:oddHBand="1" w:evenHBand="0" w:firstRowFirstColumn="0" w:firstRowLastColumn="0" w:lastRowFirstColumn="0" w:lastRowLastColumn="0"/>
            </w:pPr>
            <w:r>
              <w:t>The infrastructure layer MSPs used to manage manually is now managed increasingly by the platform itself.</w:t>
            </w:r>
          </w:p>
        </w:tc>
      </w:tr>
      <w:tr w:rsidR="00DC181F" w14:paraId="63777324" w14:textId="77777777">
        <w:tc>
          <w:tcPr>
            <w:cnfStyle w:val="001000000000" w:firstRow="0" w:lastRow="0" w:firstColumn="1" w:lastColumn="0" w:oddVBand="0" w:evenVBand="0" w:oddHBand="0" w:evenHBand="0" w:firstRowFirstColumn="0" w:firstRowLastColumn="0" w:lastRowFirstColumn="0" w:lastRowLastColumn="0"/>
            <w:tcW w:w="3120" w:type="dxa"/>
          </w:tcPr>
          <w:p w14:paraId="47CFD32D" w14:textId="77777777" w:rsidR="00DC181F" w:rsidRDefault="001C4E0A">
            <w:r>
              <w:t>Microsoft 365 Copilot paid seats</w:t>
            </w:r>
          </w:p>
        </w:tc>
        <w:tc>
          <w:tcPr>
            <w:tcW w:w="3120" w:type="dxa"/>
          </w:tcPr>
          <w:p w14:paraId="0AE544F6" w14:textId="77777777" w:rsidR="00DC181F" w:rsidRDefault="001C4E0A">
            <w:pPr>
              <w:cnfStyle w:val="000000000000" w:firstRow="0" w:lastRow="0" w:firstColumn="0" w:lastColumn="0" w:oddVBand="0" w:evenVBand="0" w:oddHBand="0" w:evenHBand="0" w:firstRowFirstColumn="0" w:firstRowLastColumn="0" w:lastRowFirstColumn="0" w:lastRowLastColumn="0"/>
            </w:pPr>
            <w:r>
              <w:t>Surpassed 30 million — up from 20 million disclosed one quarter earlier</w:t>
            </w:r>
          </w:p>
        </w:tc>
        <w:tc>
          <w:tcPr>
            <w:tcW w:w="3120" w:type="dxa"/>
          </w:tcPr>
          <w:p w14:paraId="18933C27" w14:textId="77777777" w:rsidR="00DC181F" w:rsidRDefault="001C4E0A">
            <w:pPr>
              <w:cnfStyle w:val="000000000000" w:firstRow="0" w:lastRow="0" w:firstColumn="0" w:lastColumn="0" w:oddVBand="0" w:evenVBand="0" w:oddHBand="0" w:evenHBand="0" w:firstRowFirstColumn="0" w:firstRowLastColumn="0" w:lastRowFirstColumn="0" w:lastRowLastColumn="0"/>
            </w:pPr>
            <w:r>
              <w:t>The fastest quarterly seat growth since Copilot's launch; adoption is now mainstream, not early-adopter.</w:t>
            </w:r>
          </w:p>
        </w:tc>
      </w:tr>
      <w:tr w:rsidR="00DC181F" w14:paraId="18BAFF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8891726" w14:textId="77777777" w:rsidR="00DC181F" w:rsidRDefault="001C4E0A">
            <w:r>
              <w:t>Enterprise-scale deployments</w:t>
            </w:r>
          </w:p>
        </w:tc>
        <w:tc>
          <w:tcPr>
            <w:tcW w:w="3120" w:type="dxa"/>
          </w:tcPr>
          <w:p w14:paraId="3E49FC4C" w14:textId="77777777" w:rsidR="00DC181F" w:rsidRDefault="001C4E0A">
            <w:pPr>
              <w:cnfStyle w:val="000000100000" w:firstRow="0" w:lastRow="0" w:firstColumn="0" w:lastColumn="0" w:oddVBand="0" w:evenVBand="0" w:oddHBand="1" w:evenHBand="0" w:firstRowFirstColumn="0" w:firstRowLastColumn="0" w:lastRowFirstColumn="0" w:lastRowLastColumn="0"/>
            </w:pPr>
            <w:r>
              <w:t>Companies with 50,000+ seats quadrupled year on year (Bayer, Johnson &amp; Johnson, Mercedes and Roche each above 90,000 seats); Accenture's ~743,000-seat rollout remains the largest publicly announced</w:t>
            </w:r>
          </w:p>
        </w:tc>
        <w:tc>
          <w:tcPr>
            <w:tcW w:w="3120" w:type="dxa"/>
          </w:tcPr>
          <w:p w14:paraId="3760D43D" w14:textId="77777777" w:rsidR="00DC181F" w:rsidRDefault="001C4E0A">
            <w:pPr>
              <w:cnfStyle w:val="000000100000" w:firstRow="0" w:lastRow="0" w:firstColumn="0" w:lastColumn="0" w:oddVBand="0" w:evenVBand="0" w:oddHBand="1" w:evenHBand="0" w:firstRowFirstColumn="0" w:firstRowLastColumn="0" w:lastRowFirstColumn="0" w:lastRowLastColumn="0"/>
            </w:pPr>
            <w:r>
              <w:t>Adoption at this scale requires precisely the governance, data-readiness and change-management work MSPs can own — or be bypassed on.</w:t>
            </w:r>
          </w:p>
        </w:tc>
      </w:tr>
      <w:tr w:rsidR="00DC181F" w14:paraId="0E968B00" w14:textId="77777777">
        <w:tc>
          <w:tcPr>
            <w:cnfStyle w:val="001000000000" w:firstRow="0" w:lastRow="0" w:firstColumn="1" w:lastColumn="0" w:oddVBand="0" w:evenVBand="0" w:oddHBand="0" w:evenHBand="0" w:firstRowFirstColumn="0" w:firstRowLastColumn="0" w:lastRowFirstColumn="0" w:lastRowLastColumn="0"/>
            <w:tcW w:w="3120" w:type="dxa"/>
          </w:tcPr>
          <w:p w14:paraId="58F52F6C" w14:textId="77777777" w:rsidR="00DC181F" w:rsidRDefault="001C4E0A">
            <w:r>
              <w:t>Capital expenditure</w:t>
            </w:r>
          </w:p>
        </w:tc>
        <w:tc>
          <w:tcPr>
            <w:tcW w:w="3120" w:type="dxa"/>
          </w:tcPr>
          <w:p w14:paraId="5129200B" w14:textId="77777777" w:rsidR="00DC181F" w:rsidRDefault="001C4E0A">
            <w:pPr>
              <w:cnfStyle w:val="000000000000" w:firstRow="0" w:lastRow="0" w:firstColumn="0" w:lastColumn="0" w:oddVBand="0" w:evenVBand="0" w:oddHBand="0" w:evenHBand="0" w:firstRowFirstColumn="0" w:firstRowLastColumn="0" w:lastRowFirstColumn="0" w:lastRowLastColumn="0"/>
            </w:pPr>
            <w:r>
              <w:t>$41B for the quarter (+69% YoY); FY2027 capex guided higher</w:t>
            </w:r>
          </w:p>
        </w:tc>
        <w:tc>
          <w:tcPr>
            <w:tcW w:w="3120" w:type="dxa"/>
          </w:tcPr>
          <w:p w14:paraId="31BF2FB9" w14:textId="77777777" w:rsidR="00DC181F" w:rsidRDefault="001C4E0A">
            <w:pPr>
              <w:cnfStyle w:val="000000000000" w:firstRow="0" w:lastRow="0" w:firstColumn="0" w:lastColumn="0" w:oddVBand="0" w:evenVBand="0" w:oddHBand="0" w:evenHBand="0" w:firstRowFirstColumn="0" w:firstRowLastColumn="0" w:lastRowFirstColumn="0" w:lastRowLastColumn="0"/>
            </w:pPr>
            <w:r>
              <w:t>Confirms Microsoft is building for a multi-year agentic-AI capacity ramp, not a short-term feature.</w:t>
            </w:r>
          </w:p>
        </w:tc>
      </w:tr>
      <w:tr w:rsidR="00DC181F" w14:paraId="34D0FE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5F3AB8" w14:textId="77777777" w:rsidR="00DC181F" w:rsidRDefault="001C4E0A">
            <w:r>
              <w:t xml:space="preserve">Commercial remaining performance obligations </w:t>
            </w:r>
            <w:r>
              <w:lastRenderedPageBreak/>
              <w:t>(RPO)</w:t>
            </w:r>
          </w:p>
        </w:tc>
        <w:tc>
          <w:tcPr>
            <w:tcW w:w="3120" w:type="dxa"/>
          </w:tcPr>
          <w:p w14:paraId="205C75C5" w14:textId="77777777" w:rsidR="00DC181F" w:rsidRDefault="001C4E0A">
            <w:pPr>
              <w:cnfStyle w:val="000000100000" w:firstRow="0" w:lastRow="0" w:firstColumn="0" w:lastColumn="0" w:oddVBand="0" w:evenVBand="0" w:oddHBand="1" w:evenHBand="0" w:firstRowFirstColumn="0" w:firstRowLastColumn="0" w:lastRowFirstColumn="0" w:lastRowLastColumn="0"/>
            </w:pPr>
            <w:r>
              <w:lastRenderedPageBreak/>
              <w:t>$678B</w:t>
            </w:r>
          </w:p>
        </w:tc>
        <w:tc>
          <w:tcPr>
            <w:tcW w:w="3120" w:type="dxa"/>
          </w:tcPr>
          <w:p w14:paraId="161EC0A4" w14:textId="77777777" w:rsidR="00DC181F" w:rsidRDefault="001C4E0A">
            <w:pPr>
              <w:cnfStyle w:val="000000100000" w:firstRow="0" w:lastRow="0" w:firstColumn="0" w:lastColumn="0" w:oddVBand="0" w:evenVBand="0" w:oddHBand="1" w:evenHBand="0" w:firstRowFirstColumn="0" w:firstRowLastColumn="0" w:lastRowFirstColumn="0" w:lastRowLastColumn="0"/>
            </w:pPr>
            <w:r>
              <w:t xml:space="preserve">A long runway of already-contracted cloud/AI </w:t>
            </w:r>
            <w:r>
              <w:lastRenderedPageBreak/>
              <w:t>consumption that keeps flowing through partner ecosystems.</w:t>
            </w:r>
          </w:p>
        </w:tc>
      </w:tr>
    </w:tbl>
    <w:p w14:paraId="50B824E3" w14:textId="77777777" w:rsidR="00DC181F" w:rsidRDefault="001C4E0A">
      <w:pPr>
        <w:pStyle w:val="Heading2"/>
      </w:pPr>
      <w:bookmarkStart w:id="23" w:name="_Toc236412141"/>
      <w:r>
        <w:lastRenderedPageBreak/>
        <w:t>7.2 The strategic tell: pricing and agents</w:t>
      </w:r>
      <w:bookmarkEnd w:id="23"/>
    </w:p>
    <w:p w14:paraId="436C07A9" w14:textId="77777777" w:rsidR="00DC181F" w:rsidRDefault="001C4E0A">
      <w:r>
        <w:t>Two signals matter most for partners. First, Microsoft's leadership has confirmed that productivity, coding and security products are moving from pure per-seat pricing toward a combination of per-user and per-usage (consumption) billing, with metered billing for agent usage above base entitlements — a critical practical change that will require updated cost modelling and contract governance before agent usage scales. This is the exact commercial migration MSPs must make in their own client contracts. Second</w:t>
      </w:r>
      <w:r>
        <w:t>, Microsoft is aggressively productising autonomous agents: Copilot Studio now offers generative orchestration, multi-agent "parent-child" architectures, autonomous triggers, a "Computer Use" capability that drives desktop and web interfaces without APIs, and Entra Agent ID as a first-class security identity for non-human actors. Microsoft is explicitly reframing agents from "assistants" to "coworkers", and its Build 2026 keynote introduced the Agent 365 framework spanning Microsoft 365, Azure, Dynamics 365</w:t>
      </w:r>
      <w:r>
        <w:t xml:space="preserve"> and the Power Platform — treating agents, not copilots, as the primary new compute interface. The 2025 Work Trend Index formalised the destination as the "Frontier Firm", an organisation built on human-agent collaboration in which digital labour substitutes for headcount-based work.</w:t>
      </w:r>
    </w:p>
    <w:p w14:paraId="226EA727" w14:textId="77777777" w:rsidR="00DC181F" w:rsidRDefault="001C4E0A">
      <w:pPr>
        <w:pStyle w:val="Heading2"/>
      </w:pPr>
      <w:bookmarkStart w:id="24" w:name="_Toc236412142"/>
      <w:r>
        <w:t>7.3 Partner-program economics have been rewired</w:t>
      </w:r>
      <w:bookmarkEnd w:id="24"/>
    </w:p>
    <w:p w14:paraId="0A0F44F5" w14:textId="77777777" w:rsidR="00DC181F" w:rsidRDefault="001C4E0A">
      <w:r>
        <w:t>Since 2022 Microsoft has retired gold and silver competencies in favour of performance-based Solutions Partner designations under the renamed Microsoft AI Cloud Partner Program. It stopped selling Microsoft Action Pack and legacy silver and gold benefits as of 22 January 2025, closing the low-cost on-ramp thousands of small resellers used for internal-use licences. The FY26 benefits refresh, effective 13 February 2026, explicitly modernises benefits toward Microsoft 365 Copilot, Copilot Studio, Security Cop</w:t>
      </w:r>
      <w:r>
        <w:t>ilot, and the Defender, Intune and Entra suites, and removes outdated items. On the commerce side, the New Commerce Experience removed incentives and partner margin from the legacy Azure CSP offer, pricing it at estimated retail. The mechanics reinforce the direction of travel: in FY26 Microsoft fully retired Partner University (15 June 2026) and replaced dozens of assessment-based skilling paths with formal, harder-to-game certifications, including a new Copilot and Agent Administration Fundamentals pathwa</w:t>
      </w:r>
      <w:r>
        <w:t>y. Microsoft is not making it easier to claim AI credibility; it is making it harder, which favours partners who invest in real capability over those who chase badges. Individually each change is administrable; collectively they are a consistent signal about which partners Microsoft intends to fund — AI adopters, security specialists, software builders and consumption drivers, not reactive resale generalists.</w:t>
      </w:r>
    </w:p>
    <w:p w14:paraId="06D530EA" w14:textId="77777777" w:rsidR="00DC181F" w:rsidRDefault="001C4E0A">
      <w:pPr>
        <w:pStyle w:val="Heading2"/>
      </w:pPr>
      <w:bookmarkStart w:id="25" w:name="_Toc236412143"/>
      <w:r>
        <w:t>7.4 The platform is absorbing MSP-billable work</w:t>
      </w:r>
      <w:bookmarkEnd w:id="25"/>
    </w:p>
    <w:p w14:paraId="3BC2468B" w14:textId="77777777" w:rsidR="00DC181F" w:rsidRDefault="001C4E0A">
      <w:r>
        <w:t xml:space="preserve">Product by product, Microsoft is converting recurring, labour-priced MSP services into native platform features. Windows Autopatch, embedded in Intune, aims to update 95 per cent of devices by their target compliance date, with hotpatching that avoids restarts. Defender XDR's automatic attack disruption contains compromised assets and limits lateral movement without an analyst in </w:t>
      </w:r>
      <w:r>
        <w:lastRenderedPageBreak/>
        <w:t>the loop. Security Copilot ships agents designed to autonomously assist with phishing triage, data security and identity management, and Intune now includes an AI vulnerability-remediation agent. Windows 365 makes the managed desktop itself a first-party cloud subscription. AWS and Google mirror the pattern: AWS Managed Services advertises monitoring, incident management, security, patching and backup with 80 per cent of incidents proactively detected and up to 97 per cent automated. When the platform perfo</w:t>
      </w:r>
      <w:r>
        <w:t>rms the task natively, an intermediary can no longer charge a premium simply for performing it.</w:t>
      </w:r>
    </w:p>
    <w:p w14:paraId="27190B8E" w14:textId="77777777" w:rsidR="00DC181F" w:rsidRDefault="001C4E0A">
      <w:pPr>
        <w:pStyle w:val="Heading2"/>
      </w:pPr>
      <w:bookmarkStart w:id="26" w:name="_Toc236412144"/>
      <w:r>
        <w:t>7.5 Vendors now sell the managed layer directly</w:t>
      </w:r>
      <w:bookmarkEnd w:id="26"/>
    </w:p>
    <w:p w14:paraId="06DCFDE3" w14:textId="77777777" w:rsidR="00DC181F" w:rsidRDefault="001C4E0A">
      <w:r>
        <w:t>The disintermediation extends beyond features to services. Microsoft sells Defender Experts for XDR, an always-on, AI-accelerated managed detection and response service natively integrated in Defender, with 24/7 expert coverage and proactive remediation; the Microsoft Defender Experts Suite (January 2026) combines managed XDR, incident response and advisory engineering into a single offering. Google sells Mandiant Managed Defense with expert triage in minutes, and AWS sells first-party managed operations. A</w:t>
      </w:r>
      <w:r>
        <w:t>ll three hyperscalers therefore compete directly with their own partners for managed-operations and managed-SOC revenue on their home platforms, reframing partners as co-delivery and last-mile providers rather than sole operators. The answer to whether Microsoft is enabling customers to self-manage more of their environment is yes, progressively: automation defaults, admin-centre Copilots and first-party managed services all reduce the surface that once justified a generalist MSP's monthly fee.</w:t>
      </w:r>
    </w:p>
    <w:p w14:paraId="6704A2E3" w14:textId="77777777" w:rsidR="00DC181F" w:rsidRDefault="001C4E0A">
      <w:pPr>
        <w:pStyle w:val="Heading2"/>
      </w:pPr>
      <w:bookmarkStart w:id="27" w:name="_Toc236412145"/>
      <w:r>
        <w:t>7.6 The partner bull case, captured fairly</w:t>
      </w:r>
      <w:bookmarkEnd w:id="27"/>
    </w:p>
    <w:p w14:paraId="37E9CBDC" w14:textId="77777777" w:rsidR="00DC181F" w:rsidRDefault="001C4E0A">
      <w:r>
        <w:t>Microsoft-commissioned IDC research across 638 partners found that for every dollar of Microsoft revenue, services partners generate $8.45 and software-building partners $10.93, with generative AI forecast to grow 86 per cent over 2022 to 2027 — thirteen times the overall IT market. Canalys sized the channel AI opportunity at $15.4 billion in 2023 rising to $158.6 billion by 2028. Both figures are genuine and both are redistributive rather than protective: the multiplier rewards services depth and intellect</w:t>
      </w:r>
      <w:r>
        <w:t>ual property, and Canalys's chief channel analyst stated bluntly that MSPs can "stand down for the moment" because the near-term opportunity accrues to global systems integrators and ISVs rather than MSPs or VARs. The net assessment is that Microsoft is simultaneously partner-enabling and partner-disintermediating: it does not eliminate MSPs; it raises the native baseline and quietly absorbs the generic layer. The partners who gain are those who own secure adoption, governance, data readiness, cross-platfor</w:t>
      </w:r>
      <w:r>
        <w:t>m integration and measurable business outcomes. The partners who lose keep charging to administer licences and react to tickets.</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1206BBB0"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1F3E9842" w14:textId="77777777" w:rsidR="00DC181F" w:rsidRDefault="001C4E0A">
            <w:r>
              <w:t>Microsoft move</w:t>
            </w:r>
          </w:p>
        </w:tc>
        <w:tc>
          <w:tcPr>
            <w:tcW w:w="3120" w:type="dxa"/>
          </w:tcPr>
          <w:p w14:paraId="3F63CD94" w14:textId="77777777" w:rsidR="00DC181F" w:rsidRDefault="001C4E0A">
            <w:pPr>
              <w:cnfStyle w:val="100000000000" w:firstRow="1" w:lastRow="0" w:firstColumn="0" w:lastColumn="0" w:oddVBand="0" w:evenVBand="0" w:oddHBand="0" w:evenHBand="0" w:firstRowFirstColumn="0" w:firstRowLastColumn="0" w:lastRowFirstColumn="0" w:lastRowLastColumn="0"/>
            </w:pPr>
            <w:r>
              <w:t>Lowers the value of…</w:t>
            </w:r>
          </w:p>
        </w:tc>
        <w:tc>
          <w:tcPr>
            <w:tcW w:w="3120" w:type="dxa"/>
          </w:tcPr>
          <w:p w14:paraId="72D28A0B" w14:textId="77777777" w:rsidR="00DC181F" w:rsidRDefault="001C4E0A">
            <w:pPr>
              <w:cnfStyle w:val="100000000000" w:firstRow="1" w:lastRow="0" w:firstColumn="0" w:lastColumn="0" w:oddVBand="0" w:evenVBand="0" w:oddHBand="0" w:evenHBand="0" w:firstRowFirstColumn="0" w:firstRowLastColumn="0" w:lastRowFirstColumn="0" w:lastRowLastColumn="0"/>
            </w:pPr>
            <w:r>
              <w:t>Raises the value of…</w:t>
            </w:r>
          </w:p>
        </w:tc>
      </w:tr>
      <w:tr w:rsidR="00DC181F" w14:paraId="275DC6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5B13CC" w14:textId="77777777" w:rsidR="00DC181F" w:rsidRDefault="001C4E0A">
            <w:r>
              <w:t>Copilot + agents embedded in M365 (30M+ seats)</w:t>
            </w:r>
          </w:p>
        </w:tc>
        <w:tc>
          <w:tcPr>
            <w:tcW w:w="3120" w:type="dxa"/>
          </w:tcPr>
          <w:p w14:paraId="6C13502C" w14:textId="77777777" w:rsidR="00DC181F" w:rsidRDefault="001C4E0A">
            <w:pPr>
              <w:cnfStyle w:val="000000100000" w:firstRow="0" w:lastRow="0" w:firstColumn="0" w:lastColumn="0" w:oddVBand="0" w:evenVBand="0" w:oddHBand="1" w:evenHBand="0" w:firstRowFirstColumn="0" w:firstRowLastColumn="0" w:lastRowFirstColumn="0" w:lastRowLastColumn="0"/>
            </w:pPr>
            <w:r>
              <w:t>"Setting up AI" as a novelty; basic productivity support.</w:t>
            </w:r>
          </w:p>
        </w:tc>
        <w:tc>
          <w:tcPr>
            <w:tcW w:w="3120" w:type="dxa"/>
          </w:tcPr>
          <w:p w14:paraId="3BF7AABC" w14:textId="77777777" w:rsidR="00DC181F" w:rsidRDefault="001C4E0A">
            <w:pPr>
              <w:cnfStyle w:val="000000100000" w:firstRow="0" w:lastRow="0" w:firstColumn="0" w:lastColumn="0" w:oddVBand="0" w:evenVBand="0" w:oddHBand="1" w:evenHBand="0" w:firstRowFirstColumn="0" w:firstRowLastColumn="0" w:lastRowFirstColumn="0" w:lastRowLastColumn="0"/>
            </w:pPr>
            <w:r>
              <w:t>Adoption, change management, prompt/agent governance, measurement at scale.</w:t>
            </w:r>
          </w:p>
        </w:tc>
      </w:tr>
      <w:tr w:rsidR="00DC181F" w14:paraId="65FBA3A1" w14:textId="77777777">
        <w:tc>
          <w:tcPr>
            <w:cnfStyle w:val="001000000000" w:firstRow="0" w:lastRow="0" w:firstColumn="1" w:lastColumn="0" w:oddVBand="0" w:evenVBand="0" w:oddHBand="0" w:evenHBand="0" w:firstRowFirstColumn="0" w:firstRowLastColumn="0" w:lastRowFirstColumn="0" w:lastRowLastColumn="0"/>
            <w:tcW w:w="3120" w:type="dxa"/>
          </w:tcPr>
          <w:p w14:paraId="539FFAB7" w14:textId="77777777" w:rsidR="00DC181F" w:rsidRDefault="001C4E0A">
            <w:r>
              <w:t>Agent 365 framework + agent governance (registry, Entra Agent ID)</w:t>
            </w:r>
          </w:p>
        </w:tc>
        <w:tc>
          <w:tcPr>
            <w:tcW w:w="3120" w:type="dxa"/>
          </w:tcPr>
          <w:p w14:paraId="3B621553" w14:textId="77777777" w:rsidR="00DC181F" w:rsidRDefault="001C4E0A">
            <w:pPr>
              <w:cnfStyle w:val="000000000000" w:firstRow="0" w:lastRow="0" w:firstColumn="0" w:lastColumn="0" w:oddVBand="0" w:evenVBand="0" w:oddHBand="0" w:evenHBand="0" w:firstRowFirstColumn="0" w:firstRowLastColumn="0" w:lastRowFirstColumn="0" w:lastRowLastColumn="0"/>
            </w:pPr>
            <w:r>
              <w:t>Ad-hoc, ungoverned deployments.</w:t>
            </w:r>
          </w:p>
        </w:tc>
        <w:tc>
          <w:tcPr>
            <w:tcW w:w="3120" w:type="dxa"/>
          </w:tcPr>
          <w:p w14:paraId="3CD8D8A2" w14:textId="77777777" w:rsidR="00DC181F" w:rsidRDefault="001C4E0A">
            <w:pPr>
              <w:cnfStyle w:val="000000000000" w:firstRow="0" w:lastRow="0" w:firstColumn="0" w:lastColumn="0" w:oddVBand="0" w:evenVBand="0" w:oddHBand="0" w:evenHBand="0" w:firstRowFirstColumn="0" w:firstRowLastColumn="0" w:lastRowFirstColumn="0" w:lastRowLastColumn="0"/>
            </w:pPr>
            <w:r>
              <w:t>Data readiness, permissions/labels, agent-boundary policy, cross-tenant operations.</w:t>
            </w:r>
          </w:p>
        </w:tc>
      </w:tr>
      <w:tr w:rsidR="00DC181F" w14:paraId="6B8619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C13D18" w14:textId="77777777" w:rsidR="00DC181F" w:rsidRDefault="001C4E0A">
            <w:r>
              <w:t>Security Copilot + Defender Experts managed XDR</w:t>
            </w:r>
          </w:p>
        </w:tc>
        <w:tc>
          <w:tcPr>
            <w:tcW w:w="3120" w:type="dxa"/>
          </w:tcPr>
          <w:p w14:paraId="6D5180E2" w14:textId="77777777" w:rsidR="00DC181F" w:rsidRDefault="001C4E0A">
            <w:pPr>
              <w:cnfStyle w:val="000000100000" w:firstRow="0" w:lastRow="0" w:firstColumn="0" w:lastColumn="0" w:oddVBand="0" w:evenVBand="0" w:oddHBand="1" w:evenHBand="0" w:firstRowFirstColumn="0" w:firstRowLastColumn="0" w:lastRowFirstColumn="0" w:lastRowLastColumn="0"/>
            </w:pPr>
            <w:r>
              <w:t>Reselling EDR and forwarding alerts.</w:t>
            </w:r>
          </w:p>
        </w:tc>
        <w:tc>
          <w:tcPr>
            <w:tcW w:w="3120" w:type="dxa"/>
          </w:tcPr>
          <w:p w14:paraId="6ACA3CA9" w14:textId="77777777" w:rsidR="00DC181F" w:rsidRDefault="001C4E0A">
            <w:pPr>
              <w:cnfStyle w:val="000000100000" w:firstRow="0" w:lastRow="0" w:firstColumn="0" w:lastColumn="0" w:oddVBand="0" w:evenVBand="0" w:oddHBand="1" w:evenHBand="0" w:firstRowFirstColumn="0" w:firstRowLastColumn="0" w:lastRowFirstColumn="0" w:lastRowLastColumn="0"/>
            </w:pPr>
            <w:r>
              <w:t xml:space="preserve">Managed identity, exposure management, incident </w:t>
            </w:r>
            <w:r>
              <w:lastRenderedPageBreak/>
              <w:t>response, board-ready risk reporting.</w:t>
            </w:r>
          </w:p>
        </w:tc>
      </w:tr>
      <w:tr w:rsidR="00DC181F" w14:paraId="2EB509F8" w14:textId="77777777">
        <w:tc>
          <w:tcPr>
            <w:cnfStyle w:val="001000000000" w:firstRow="0" w:lastRow="0" w:firstColumn="1" w:lastColumn="0" w:oddVBand="0" w:evenVBand="0" w:oddHBand="0" w:evenHBand="0" w:firstRowFirstColumn="0" w:firstRowLastColumn="0" w:lastRowFirstColumn="0" w:lastRowLastColumn="0"/>
            <w:tcW w:w="3120" w:type="dxa"/>
          </w:tcPr>
          <w:p w14:paraId="127FCD74" w14:textId="77777777" w:rsidR="00DC181F" w:rsidRDefault="001C4E0A">
            <w:r>
              <w:lastRenderedPageBreak/>
              <w:t>SMB Copilot Business (~$21/user) + CSP promotions</w:t>
            </w:r>
          </w:p>
        </w:tc>
        <w:tc>
          <w:tcPr>
            <w:tcW w:w="3120" w:type="dxa"/>
          </w:tcPr>
          <w:p w14:paraId="4BF99E5A" w14:textId="77777777" w:rsidR="00DC181F" w:rsidRDefault="001C4E0A">
            <w:pPr>
              <w:cnfStyle w:val="000000000000" w:firstRow="0" w:lastRow="0" w:firstColumn="0" w:lastColumn="0" w:oddVBand="0" w:evenVBand="0" w:oddHBand="0" w:evenHBand="0" w:firstRowFirstColumn="0" w:firstRowLastColumn="0" w:lastRowFirstColumn="0" w:lastRowLastColumn="0"/>
            </w:pPr>
            <w:r>
              <w:t>Licence-admin margin.</w:t>
            </w:r>
          </w:p>
        </w:tc>
        <w:tc>
          <w:tcPr>
            <w:tcW w:w="3120" w:type="dxa"/>
          </w:tcPr>
          <w:p w14:paraId="423CB9E9" w14:textId="77777777" w:rsidR="00DC181F" w:rsidRDefault="001C4E0A">
            <w:pPr>
              <w:cnfStyle w:val="000000000000" w:firstRow="0" w:lastRow="0" w:firstColumn="0" w:lastColumn="0" w:oddVBand="0" w:evenVBand="0" w:oddHBand="0" w:evenHBand="0" w:firstRowFirstColumn="0" w:firstRowLastColumn="0" w:lastRowFirstColumn="0" w:lastRowLastColumn="0"/>
            </w:pPr>
            <w:r>
              <w:t>Last-mile integration, security baseline, governed rollout and ROI evidence.</w:t>
            </w:r>
          </w:p>
        </w:tc>
      </w:tr>
      <w:tr w:rsidR="00DC181F" w14:paraId="5230D6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4C3F44" w14:textId="77777777" w:rsidR="00DC181F" w:rsidRDefault="001C4E0A">
            <w:r>
              <w:t>Partner University retirement + certification overhaul</w:t>
            </w:r>
          </w:p>
        </w:tc>
        <w:tc>
          <w:tcPr>
            <w:tcW w:w="3120" w:type="dxa"/>
          </w:tcPr>
          <w:p w14:paraId="7223FB2D" w14:textId="77777777" w:rsidR="00DC181F" w:rsidRDefault="001C4E0A">
            <w:pPr>
              <w:cnfStyle w:val="000000100000" w:firstRow="0" w:lastRow="0" w:firstColumn="0" w:lastColumn="0" w:oddVBand="0" w:evenVBand="0" w:oddHBand="1" w:evenHBand="0" w:firstRowFirstColumn="0" w:firstRowLastColumn="0" w:lastRowFirstColumn="0" w:lastRowLastColumn="0"/>
            </w:pPr>
            <w:r>
              <w:t>Assessment-based "cheap" skilling paths.</w:t>
            </w:r>
          </w:p>
        </w:tc>
        <w:tc>
          <w:tcPr>
            <w:tcW w:w="3120" w:type="dxa"/>
          </w:tcPr>
          <w:p w14:paraId="6967E7B4" w14:textId="77777777" w:rsidR="00DC181F" w:rsidRDefault="001C4E0A">
            <w:pPr>
              <w:cnfStyle w:val="000000100000" w:firstRow="0" w:lastRow="0" w:firstColumn="0" w:lastColumn="0" w:oddVBand="0" w:evenVBand="0" w:oddHBand="1" w:evenHBand="0" w:firstRowFirstColumn="0" w:firstRowLastColumn="0" w:lastRowFirstColumn="0" w:lastRowLastColumn="0"/>
            </w:pPr>
            <w:r>
              <w:t>Certification-validated technical depth.</w:t>
            </w:r>
          </w:p>
        </w:tc>
      </w:tr>
    </w:tbl>
    <w:p w14:paraId="3690C5FB" w14:textId="77777777" w:rsidR="00DC181F" w:rsidRDefault="001C4E0A">
      <w:r>
        <w:br w:type="page"/>
      </w:r>
    </w:p>
    <w:p w14:paraId="6B08016D" w14:textId="77777777" w:rsidR="00DC181F" w:rsidRDefault="001C4E0A">
      <w:pPr>
        <w:pStyle w:val="Heading1"/>
      </w:pPr>
      <w:bookmarkStart w:id="28" w:name="_Toc236412146"/>
      <w:r>
        <w:lastRenderedPageBreak/>
        <w:t>8. AI Impact Analysis, Platform Disintermediation and Security</w:t>
      </w:r>
      <w:bookmarkEnd w:id="28"/>
    </w:p>
    <w:p w14:paraId="2D2BAB3C" w14:textId="77777777" w:rsidR="00DC181F" w:rsidRDefault="001C4E0A">
      <w:r>
        <w:t xml:space="preserve">AI's impact on the MSP is asymmetric: it attacks repeatable, bounded, runbook-driven work first, and leaves judgement, accountability and trust largely to humans. The spending signal is enormous. Gartner puts total AI spending at about $2.59 trillion in 2026 (up 47 per cent), with AI-cybersecurity spend nearly doubling to about $51.3 billion. Most strikingly, agentic AI spending is forecast to grow about 141 per cent to about $202 billion in 2026 and to overtake chatbot/assistant spending by 2027, reaching </w:t>
      </w:r>
      <w:r>
        <w:t>an estimated $753 billion by 2029.</w:t>
      </w:r>
    </w:p>
    <w:p w14:paraId="7F54E15A" w14:textId="77777777" w:rsidR="00DC181F" w:rsidRDefault="001C4E0A">
      <w:pPr>
        <w:pStyle w:val="Heading2"/>
      </w:pPr>
      <w:bookmarkStart w:id="29" w:name="_Toc236412147"/>
      <w:r>
        <w:t>8.1 What is measured, what is forecast, what is failing</w:t>
      </w:r>
      <w:bookmarkEnd w:id="29"/>
    </w:p>
    <w:p w14:paraId="7656419D" w14:textId="77777777" w:rsidR="00DC181F" w:rsidRDefault="001C4E0A">
      <w:r>
        <w:t>The measured evidence is strong and specific. The peer-reviewed Brynjolfsson, Li and Raymond study of 5,179 support agents found generative-AI assistance lifted issues resolved per hour by 14 to 15 per cent on average and 34 per cent for novice workers, with minimal impact on experienced staff. Microsoft's randomised experiment across more than 6,000 workers at 56 firms, and its early-user telemetry showing users 29 per cent faster on search, writing and summarisation tasks, point the same direction for kno</w:t>
      </w:r>
      <w:r>
        <w:t>wledge work. ServiceNow reports roughly 20 per cent case avoidance and a 54 per cent deflection rate on its own internal service desk, and its Autonomous Workforce (announced February 2026) handles 90-per-cent-plus of ServiceNow's own internal IT tickets and resolves cases 99 per cent faster than human agents. The most cited automation case, Klarna's assistant doing the work of 700 full-time agents with resolution times cut from 11 minutes to under 2, also supplies the most important caution: Klarna subsequ</w:t>
      </w:r>
      <w:r>
        <w:t>ently rehired human agents after conceding the all-AI push degraded quality on complex cases (though it still reported about $60 million in savings) — a real productivity story, not a "replace humans" story.</w:t>
      </w:r>
    </w:p>
    <w:p w14:paraId="6620110E" w14:textId="77777777" w:rsidR="00DC181F" w:rsidRDefault="001C4E0A">
      <w:r>
        <w:t>The forecasts are aggressive. Gartner projects that agentic AI will autonomously resolve 80 per cent of common customer-service issues by 2029 with a 30 per cent reduction in operational costs, that 15 per cent of day-to-day work decisions will be made autonomously by 2028, and that 33 per cent of enterprise software applications will include agentic AI by 2028 (up from less than 1 per cent in 2024). McKinsey sizes generative AI's economic potential at $2.6 to $4.4 trillion annually, concentrated in custome</w:t>
      </w:r>
      <w:r>
        <w:t>r operations among other functions; Goldman Sachs estimates 300 million jobs globally are exposed; and the World Economic Forum expects 170 million roles created and 92 million displaced by 2030 (a net gain of 78 million, with 22 per cent of jobs disrupted).</w:t>
      </w:r>
    </w:p>
    <w:p w14:paraId="773B2B03" w14:textId="77777777" w:rsidR="00DC181F" w:rsidRDefault="001C4E0A">
      <w:r>
        <w:t>The failure data is equally real and must temper every projection. Gartner itself predicts over 40 per cent of agentic AI projects will be cancelled by the end of 2027 and estimates only about 130 of the thousands of self-described agentic vendors are genuine, coining the term "agent washing". MIT's NANDA research found roughly 95 per cent of enterprise generative-AI pilots deliver no measurable return. Anthropic's usage data shows augmentation still outweighing automation, roughly 57 to 43. Field deflectio</w:t>
      </w:r>
      <w:r>
        <w:t>n rates for AI service agents commonly land at 10 to 20 per cent against advertised rates of up to 80 per cent, and Deloitte expected only a quarter of generative-AI-using companies to even pilot agents in 2025. The honest synthesis is augmentation first, automation compounding later.</w:t>
      </w:r>
    </w:p>
    <w:p w14:paraId="33EE05A1" w14:textId="77777777" w:rsidR="00DC181F" w:rsidRDefault="001C4E0A">
      <w:pPr>
        <w:pStyle w:val="Heading2"/>
      </w:pPr>
      <w:bookmarkStart w:id="30" w:name="_Toc236412148"/>
      <w:r>
        <w:lastRenderedPageBreak/>
        <w:t>8.2 IDC's 2026 services outlook: from projects to platforms</w:t>
      </w:r>
      <w:bookmarkEnd w:id="30"/>
    </w:p>
    <w:p w14:paraId="4D5ACEEC" w14:textId="77777777" w:rsidR="00DC181F" w:rsidRDefault="001C4E0A">
      <w:r>
        <w:t>IDC's FutureScape: Worldwide Services 2026 research — described by IDC as "the agentic pivot" — makes three specific, dated predictions that speak directly to this report's thesis. By 2029, 30 per cent of global IT services will be delivered as modular, platform-enabled products, driven by enterprise demand for speed, transparency and agentic-AI-enabled orchestration. By 2029, 30 per cent of all contractual engagements between enterprises and service providers will be outcome-based rather than effort- or he</w:t>
      </w:r>
      <w:r>
        <w:t xml:space="preserve">adcount-based, placing far greater accountability on providers. And by 2030, 35 per cent of Fortune Global 2000 enterprises will require additional justification to contract traditional human talent instead of prebuilt, customised agentic AI resources offered by service providers — IDC's starkest single prediction, directly targeting the labour-arbitrage model most MSPs still run. IDC is careful to note the near-term impact falls hardest on entry-level roles specifically: in the next 18 months, entry-level </w:t>
      </w:r>
      <w:r>
        <w:t>roles are expected to be negatively affected by AI adoption, including agentic AI — precisely the L1/L2 tier that traditional MSP pricing is built around.</w:t>
      </w:r>
    </w:p>
    <w:p w14:paraId="2FC120FB" w14:textId="77777777" w:rsidR="00DC181F" w:rsidRDefault="001C4E0A">
      <w:pPr>
        <w:pStyle w:val="Heading2"/>
      </w:pPr>
      <w:bookmarkStart w:id="31" w:name="_Toc236412149"/>
      <w:r>
        <w:t>8.3 Which MSP work is automatable</w:t>
      </w:r>
      <w:bookmarkEnd w:id="31"/>
    </w:p>
    <w:p w14:paraId="1F1B1095" w14:textId="77777777" w:rsidR="00DC181F" w:rsidRDefault="001C4E0A">
      <w:r>
        <w:t>A work-allocation lens — what should be automated, what should remain human, what should be redesigned before either — is more useful than a blunt "replace versus keep" framing.</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25700ABD"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6C57DDF9" w14:textId="77777777" w:rsidR="00DC181F" w:rsidRDefault="001C4E0A">
            <w:r>
              <w:t>MSP work type</w:t>
            </w:r>
          </w:p>
        </w:tc>
        <w:tc>
          <w:tcPr>
            <w:tcW w:w="3120" w:type="dxa"/>
          </w:tcPr>
          <w:p w14:paraId="01EB7BFE" w14:textId="77777777" w:rsidR="00DC181F" w:rsidRDefault="001C4E0A">
            <w:pPr>
              <w:cnfStyle w:val="100000000000" w:firstRow="1" w:lastRow="0" w:firstColumn="0" w:lastColumn="0" w:oddVBand="0" w:evenVBand="0" w:oddHBand="0" w:evenHBand="0" w:firstRowFirstColumn="0" w:firstRowLastColumn="0" w:lastRowFirstColumn="0" w:lastRowLastColumn="0"/>
            </w:pPr>
            <w:r>
              <w:t>3–10 yr AI exposure</w:t>
            </w:r>
          </w:p>
        </w:tc>
        <w:tc>
          <w:tcPr>
            <w:tcW w:w="3120" w:type="dxa"/>
          </w:tcPr>
          <w:p w14:paraId="42006D5B" w14:textId="77777777" w:rsidR="00DC181F" w:rsidRDefault="001C4E0A">
            <w:pPr>
              <w:cnfStyle w:val="100000000000" w:firstRow="1" w:lastRow="0" w:firstColumn="0" w:lastColumn="0" w:oddVBand="0" w:evenVBand="0" w:oddHBand="0" w:evenHBand="0" w:firstRowFirstColumn="0" w:firstRowLastColumn="0" w:lastRowFirstColumn="0" w:lastRowLastColumn="0"/>
            </w:pPr>
            <w:r>
              <w:t>Evidence / reasoning</w:t>
            </w:r>
          </w:p>
        </w:tc>
      </w:tr>
      <w:tr w:rsidR="00DC181F" w14:paraId="224C8D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58B47F" w14:textId="77777777" w:rsidR="00DC181F" w:rsidRDefault="001C4E0A">
            <w:r>
              <w:t>L1 support: password resets, access requests, ticket routing, documentation lookup</w:t>
            </w:r>
          </w:p>
        </w:tc>
        <w:tc>
          <w:tcPr>
            <w:tcW w:w="3120" w:type="dxa"/>
          </w:tcPr>
          <w:p w14:paraId="2411630D" w14:textId="77777777" w:rsidR="00DC181F" w:rsidRDefault="001C4E0A">
            <w:pPr>
              <w:cnfStyle w:val="000000100000" w:firstRow="0" w:lastRow="0" w:firstColumn="0" w:lastColumn="0" w:oddVBand="0" w:evenVBand="0" w:oddHBand="1" w:evenHBand="0" w:firstRowFirstColumn="0" w:firstRowLastColumn="0" w:lastRowFirstColumn="0" w:lastRowLastColumn="0"/>
            </w:pPr>
            <w:r>
              <w:t>Very high</w:t>
            </w:r>
          </w:p>
        </w:tc>
        <w:tc>
          <w:tcPr>
            <w:tcW w:w="3120" w:type="dxa"/>
          </w:tcPr>
          <w:p w14:paraId="4A11A750" w14:textId="77777777" w:rsidR="00DC181F" w:rsidRDefault="001C4E0A">
            <w:pPr>
              <w:cnfStyle w:val="000000100000" w:firstRow="0" w:lastRow="0" w:firstColumn="0" w:lastColumn="0" w:oddVBand="0" w:evenVBand="0" w:oddHBand="1" w:evenHBand="0" w:firstRowFirstColumn="0" w:firstRowLastColumn="0" w:lastRowFirstColumn="0" w:lastRowLastColumn="0"/>
            </w:pPr>
            <w:r>
              <w:t>ServiceNow's L1 AI specialist targets exactly this and handles 90%+ of its own internal IT requests; Forrester reports AI service desks resolving 65% at first contact across ~30,000 monthly chats.</w:t>
            </w:r>
          </w:p>
        </w:tc>
      </w:tr>
      <w:tr w:rsidR="00DC181F" w14:paraId="58B61975" w14:textId="77777777">
        <w:tc>
          <w:tcPr>
            <w:cnfStyle w:val="001000000000" w:firstRow="0" w:lastRow="0" w:firstColumn="1" w:lastColumn="0" w:oddVBand="0" w:evenVBand="0" w:oddHBand="0" w:evenHBand="0" w:firstRowFirstColumn="0" w:firstRowLastColumn="0" w:lastRowFirstColumn="0" w:lastRowLastColumn="0"/>
            <w:tcW w:w="3120" w:type="dxa"/>
          </w:tcPr>
          <w:p w14:paraId="6DE67827" w14:textId="77777777" w:rsidR="00DC181F" w:rsidRDefault="001C4E0A">
            <w:r>
              <w:t>Monitoring, triage, alert deduplication, first-pass root-cause analysis</w:t>
            </w:r>
          </w:p>
        </w:tc>
        <w:tc>
          <w:tcPr>
            <w:tcW w:w="3120" w:type="dxa"/>
          </w:tcPr>
          <w:p w14:paraId="3D9C70F8" w14:textId="77777777" w:rsidR="00DC181F" w:rsidRDefault="001C4E0A">
            <w:pPr>
              <w:cnfStyle w:val="000000000000" w:firstRow="0" w:lastRow="0" w:firstColumn="0" w:lastColumn="0" w:oddVBand="0" w:evenVBand="0" w:oddHBand="0" w:evenHBand="0" w:firstRowFirstColumn="0" w:firstRowLastColumn="0" w:lastRowFirstColumn="0" w:lastRowLastColumn="0"/>
            </w:pPr>
            <w:r>
              <w:t>High</w:t>
            </w:r>
          </w:p>
        </w:tc>
        <w:tc>
          <w:tcPr>
            <w:tcW w:w="3120" w:type="dxa"/>
          </w:tcPr>
          <w:p w14:paraId="35A6BD3A" w14:textId="77777777" w:rsidR="00DC181F" w:rsidRDefault="001C4E0A">
            <w:pPr>
              <w:cnfStyle w:val="000000000000" w:firstRow="0" w:lastRow="0" w:firstColumn="0" w:lastColumn="0" w:oddVBand="0" w:evenVBand="0" w:oddHBand="0" w:evenHBand="0" w:firstRowFirstColumn="0" w:firstRowLastColumn="0" w:lastRowFirstColumn="0" w:lastRowLastColumn="0"/>
            </w:pPr>
            <w:r>
              <w:t>AIOps is designed for this; AWS CloudWatch investigations and Google Gemini Cloud Assist automate diagnosis and remediation suggestions; XSIAM cut incident volume ~75%.</w:t>
            </w:r>
          </w:p>
        </w:tc>
      </w:tr>
      <w:tr w:rsidR="00DC181F" w14:paraId="01CE75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CFB90F8" w14:textId="77777777" w:rsidR="00DC181F" w:rsidRDefault="001C4E0A">
            <w:r>
              <w:t>Documentation, ticket summaries, knowledge base</w:t>
            </w:r>
          </w:p>
        </w:tc>
        <w:tc>
          <w:tcPr>
            <w:tcW w:w="3120" w:type="dxa"/>
          </w:tcPr>
          <w:p w14:paraId="39F55069"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w:t>
            </w:r>
          </w:p>
        </w:tc>
        <w:tc>
          <w:tcPr>
            <w:tcW w:w="3120" w:type="dxa"/>
          </w:tcPr>
          <w:p w14:paraId="131AAF94" w14:textId="77777777" w:rsidR="00DC181F" w:rsidRDefault="001C4E0A">
            <w:pPr>
              <w:cnfStyle w:val="000000100000" w:firstRow="0" w:lastRow="0" w:firstColumn="0" w:lastColumn="0" w:oddVBand="0" w:evenVBand="0" w:oddHBand="1" w:evenHBand="0" w:firstRowFirstColumn="0" w:firstRowLastColumn="0" w:lastRowFirstColumn="0" w:lastRowLastColumn="0"/>
            </w:pPr>
            <w:r>
              <w:t>Copilot users 29% faster on writing and summarising.</w:t>
            </w:r>
          </w:p>
        </w:tc>
      </w:tr>
      <w:tr w:rsidR="00DC181F" w14:paraId="22C89BA0" w14:textId="77777777">
        <w:tc>
          <w:tcPr>
            <w:cnfStyle w:val="001000000000" w:firstRow="0" w:lastRow="0" w:firstColumn="1" w:lastColumn="0" w:oddVBand="0" w:evenVBand="0" w:oddHBand="0" w:evenHBand="0" w:firstRowFirstColumn="0" w:firstRowLastColumn="0" w:lastRowFirstColumn="0" w:lastRowLastColumn="0"/>
            <w:tcW w:w="3120" w:type="dxa"/>
          </w:tcPr>
          <w:p w14:paraId="6884DDBC" w14:textId="77777777" w:rsidR="00DC181F" w:rsidRDefault="001C4E0A">
            <w:r>
              <w:t>Security operations, tier 1 (alert enrichment, phishing similarity, standard summaries)</w:t>
            </w:r>
          </w:p>
        </w:tc>
        <w:tc>
          <w:tcPr>
            <w:tcW w:w="3120" w:type="dxa"/>
          </w:tcPr>
          <w:p w14:paraId="4C3B737A" w14:textId="77777777" w:rsidR="00DC181F" w:rsidRDefault="001C4E0A">
            <w:pPr>
              <w:cnfStyle w:val="000000000000" w:firstRow="0" w:lastRow="0" w:firstColumn="0" w:lastColumn="0" w:oddVBand="0" w:evenVBand="0" w:oddHBand="0" w:evenHBand="0" w:firstRowFirstColumn="0" w:firstRowLastColumn="0" w:lastRowFirstColumn="0" w:lastRowLastColumn="0"/>
            </w:pPr>
            <w:r>
              <w:t>High but governed</w:t>
            </w:r>
          </w:p>
        </w:tc>
        <w:tc>
          <w:tcPr>
            <w:tcW w:w="3120" w:type="dxa"/>
          </w:tcPr>
          <w:p w14:paraId="1FC9FBAB" w14:textId="77777777" w:rsidR="00DC181F" w:rsidRDefault="001C4E0A">
            <w:pPr>
              <w:cnfStyle w:val="000000000000" w:firstRow="0" w:lastRow="0" w:firstColumn="0" w:lastColumn="0" w:oddVBand="0" w:evenVBand="0" w:oddHBand="0" w:evenHBand="0" w:firstRowFirstColumn="0" w:firstRowLastColumn="0" w:lastRowFirstColumn="0" w:lastRowLastColumn="0"/>
            </w:pPr>
            <w:r>
              <w:t>Microsoft Security Copilot / Defender triage agents classify alerts with AI reasoning; humans validate before client-facing action.</w:t>
            </w:r>
          </w:p>
        </w:tc>
      </w:tr>
      <w:tr w:rsidR="00DC181F" w14:paraId="500B7A0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070E10" w14:textId="77777777" w:rsidR="00DC181F" w:rsidRDefault="001C4E0A">
            <w:r>
              <w:t>Patching and vulnerability remediation</w:t>
            </w:r>
          </w:p>
        </w:tc>
        <w:tc>
          <w:tcPr>
            <w:tcW w:w="3120" w:type="dxa"/>
          </w:tcPr>
          <w:p w14:paraId="7AB3337B" w14:textId="77777777" w:rsidR="00DC181F" w:rsidRDefault="001C4E0A">
            <w:pPr>
              <w:cnfStyle w:val="000000100000" w:firstRow="0" w:lastRow="0" w:firstColumn="0" w:lastColumn="0" w:oddVBand="0" w:evenVBand="0" w:oddHBand="1" w:evenHBand="0" w:firstRowFirstColumn="0" w:firstRowLastColumn="0" w:lastRowFirstColumn="0" w:lastRowLastColumn="0"/>
            </w:pPr>
            <w:r>
              <w:t>Medium-high</w:t>
            </w:r>
          </w:p>
        </w:tc>
        <w:tc>
          <w:tcPr>
            <w:tcW w:w="3120" w:type="dxa"/>
          </w:tcPr>
          <w:p w14:paraId="47CAF450" w14:textId="77777777" w:rsidR="00DC181F" w:rsidRDefault="001C4E0A">
            <w:pPr>
              <w:cnfStyle w:val="000000100000" w:firstRow="0" w:lastRow="0" w:firstColumn="0" w:lastColumn="0" w:oddVBand="0" w:evenVBand="0" w:oddHBand="1" w:evenHBand="0" w:firstRowFirstColumn="0" w:firstRowLastColumn="0" w:lastRowFirstColumn="0" w:lastRowLastColumn="0"/>
            </w:pPr>
            <w:r>
              <w:t>Windows Autopatch 95% device target; Intune remediation agent.</w:t>
            </w:r>
          </w:p>
        </w:tc>
      </w:tr>
      <w:tr w:rsidR="00DC181F" w14:paraId="40FC7DDC" w14:textId="77777777">
        <w:tc>
          <w:tcPr>
            <w:cnfStyle w:val="001000000000" w:firstRow="0" w:lastRow="0" w:firstColumn="1" w:lastColumn="0" w:oddVBand="0" w:evenVBand="0" w:oddHBand="0" w:evenHBand="0" w:firstRowFirstColumn="0" w:firstRowLastColumn="0" w:lastRowFirstColumn="0" w:lastRowLastColumn="0"/>
            <w:tcW w:w="3120" w:type="dxa"/>
          </w:tcPr>
          <w:p w14:paraId="63544324" w14:textId="77777777" w:rsidR="00DC181F" w:rsidRDefault="001C4E0A">
            <w:r>
              <w:t xml:space="preserve">User onboarding, provisioning, routine documentation, backup </w:t>
            </w:r>
            <w:r>
              <w:lastRenderedPageBreak/>
              <w:t>checks</w:t>
            </w:r>
          </w:p>
        </w:tc>
        <w:tc>
          <w:tcPr>
            <w:tcW w:w="3120" w:type="dxa"/>
          </w:tcPr>
          <w:p w14:paraId="32A0A08F" w14:textId="77777777" w:rsidR="00DC181F" w:rsidRDefault="001C4E0A">
            <w:pPr>
              <w:cnfStyle w:val="000000000000" w:firstRow="0" w:lastRow="0" w:firstColumn="0" w:lastColumn="0" w:oddVBand="0" w:evenVBand="0" w:oddHBand="0" w:evenHBand="0" w:firstRowFirstColumn="0" w:firstRowLastColumn="0" w:lastRowFirstColumn="0" w:lastRowLastColumn="0"/>
            </w:pPr>
            <w:r>
              <w:lastRenderedPageBreak/>
              <w:t>Medium-high</w:t>
            </w:r>
          </w:p>
        </w:tc>
        <w:tc>
          <w:tcPr>
            <w:tcW w:w="3120" w:type="dxa"/>
          </w:tcPr>
          <w:p w14:paraId="573C57AD" w14:textId="77777777" w:rsidR="00DC181F" w:rsidRDefault="001C4E0A">
            <w:pPr>
              <w:cnfStyle w:val="000000000000" w:firstRow="0" w:lastRow="0" w:firstColumn="0" w:lastColumn="0" w:oddVBand="0" w:evenVBand="0" w:oddHBand="0" w:evenHBand="0" w:firstRowFirstColumn="0" w:firstRowLastColumn="0" w:lastRowFirstColumn="0" w:lastRowLastColumn="0"/>
            </w:pPr>
            <w:r>
              <w:t>Bounded, predictable workflows with clear success/failure states.</w:t>
            </w:r>
          </w:p>
        </w:tc>
      </w:tr>
      <w:tr w:rsidR="00DC181F" w14:paraId="03EA32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753DFC" w14:textId="77777777" w:rsidR="00DC181F" w:rsidRDefault="001C4E0A">
            <w:r>
              <w:t>User training and adoption coaching</w:t>
            </w:r>
          </w:p>
        </w:tc>
        <w:tc>
          <w:tcPr>
            <w:tcW w:w="3120" w:type="dxa"/>
          </w:tcPr>
          <w:p w14:paraId="79D7B6F3" w14:textId="77777777" w:rsidR="00DC181F" w:rsidRDefault="001C4E0A">
            <w:pPr>
              <w:cnfStyle w:val="000000100000" w:firstRow="0" w:lastRow="0" w:firstColumn="0" w:lastColumn="0" w:oddVBand="0" w:evenVBand="0" w:oddHBand="1" w:evenHBand="0" w:firstRowFirstColumn="0" w:firstRowLastColumn="0" w:lastRowFirstColumn="0" w:lastRowLastColumn="0"/>
            </w:pPr>
            <w:r>
              <w:t>Medium</w:t>
            </w:r>
          </w:p>
        </w:tc>
        <w:tc>
          <w:tcPr>
            <w:tcW w:w="3120" w:type="dxa"/>
          </w:tcPr>
          <w:p w14:paraId="63927047" w14:textId="77777777" w:rsidR="00DC181F" w:rsidRDefault="001C4E0A">
            <w:pPr>
              <w:cnfStyle w:val="000000100000" w:firstRow="0" w:lastRow="0" w:firstColumn="0" w:lastColumn="0" w:oddVBand="0" w:evenVBand="0" w:oddHBand="1" w:evenHBand="0" w:firstRowFirstColumn="0" w:firstRowLastColumn="0" w:lastRowFirstColumn="0" w:lastRowLastColumn="0"/>
            </w:pPr>
            <w:r>
              <w:t>AI assists content and personalisation; human trust and behaviour change remain central.</w:t>
            </w:r>
          </w:p>
        </w:tc>
      </w:tr>
      <w:tr w:rsidR="00DC181F" w14:paraId="4DD23818" w14:textId="77777777">
        <w:tc>
          <w:tcPr>
            <w:cnfStyle w:val="001000000000" w:firstRow="0" w:lastRow="0" w:firstColumn="1" w:lastColumn="0" w:oddVBand="0" w:evenVBand="0" w:oddHBand="0" w:evenHBand="0" w:firstRowFirstColumn="0" w:firstRowLastColumn="0" w:lastRowFirstColumn="0" w:lastRowLastColumn="0"/>
            <w:tcW w:w="3120" w:type="dxa"/>
          </w:tcPr>
          <w:p w14:paraId="4A91E9C3" w14:textId="77777777" w:rsidR="00DC181F" w:rsidRDefault="001C4E0A">
            <w:r>
              <w:t>L2/L3, architecture, vCIO, risk acceptance, board reporting, breach communications</w:t>
            </w:r>
          </w:p>
        </w:tc>
        <w:tc>
          <w:tcPr>
            <w:tcW w:w="3120" w:type="dxa"/>
          </w:tcPr>
          <w:p w14:paraId="5AC1CC82" w14:textId="77777777" w:rsidR="00DC181F" w:rsidRDefault="001C4E0A">
            <w:pPr>
              <w:cnfStyle w:val="000000000000" w:firstRow="0" w:lastRow="0" w:firstColumn="0" w:lastColumn="0" w:oddVBand="0" w:evenVBand="0" w:oddHBand="0" w:evenHBand="0" w:firstRowFirstColumn="0" w:firstRowLastColumn="0" w:lastRowFirstColumn="0" w:lastRowLastColumn="0"/>
            </w:pPr>
            <w:r>
              <w:t>Low to medium</w:t>
            </w:r>
          </w:p>
        </w:tc>
        <w:tc>
          <w:tcPr>
            <w:tcW w:w="3120" w:type="dxa"/>
          </w:tcPr>
          <w:p w14:paraId="57CF7BEE" w14:textId="77777777" w:rsidR="00DC181F" w:rsidRDefault="001C4E0A">
            <w:pPr>
              <w:cnfStyle w:val="000000000000" w:firstRow="0" w:lastRow="0" w:firstColumn="0" w:lastColumn="0" w:oddVBand="0" w:evenVBand="0" w:oddHBand="0" w:evenHBand="0" w:firstRowFirstColumn="0" w:firstRowLastColumn="0" w:lastRowFirstColumn="0" w:lastRowLastColumn="0"/>
            </w:pPr>
            <w:r>
              <w:t>Minimal gains for experienced workers; requires accountability and business judgement; augmentation dominant.</w:t>
            </w:r>
          </w:p>
        </w:tc>
      </w:tr>
    </w:tbl>
    <w:p w14:paraId="14BEDA5F" w14:textId="77777777" w:rsidR="00DC181F" w:rsidRDefault="001C4E0A">
      <w:r>
        <w:t>Synthesising the exposure research, measured productivity anchors, field-deflection data and the failure evidence, the report estimates the following bands for automation of current L1/L2 task-hours: roughly 15 to 25 per cent within three years (about 2028–29), 25 to 40 per cent within five years (about 2030–31), and 40 to 55 per cent within ten years (about 2035) in the base case. Confidence declines with horizon. These are task-hour figures, not one-for-one headcount or revenue losses, because demand expa</w:t>
      </w:r>
      <w:r>
        <w:t>nds and work shifts up-stack.</w:t>
      </w:r>
    </w:p>
    <w:p w14:paraId="78CC2655" w14:textId="77777777" w:rsidR="00DC181F" w:rsidRDefault="001C4E0A">
      <w:r>
        <w:t>Forrester's August 2025 research on early AI-centric service-desk adopters provides concrete, measured (not forecast) benchmarks: a global technology company reported over 50 per cent productivity gains for chat summarisation with its virtual agent resolving 65 per cent of initial contacts without human intervention across about 30,000 monthly chats; a financial-services organisation reduced its front-line team from 30 to 12 agents while maintaining service levels, though this required substantial upfront i</w:t>
      </w:r>
      <w:r>
        <w:t>nvestment in knowledge-base development and months of fine-tuning; and a retail organisation automated one-third of its 57,000 annual service requests. Forrester's own conclusion was appropriately cautious: success requires strategic planning and realistic timelines, and early adopters show a more cautious picture of slower progress with measurable and achievable productivity gains than the marketing suggests.</w:t>
      </w:r>
    </w:p>
    <w:p w14:paraId="4AE77115" w14:textId="77777777" w:rsidR="00DC181F" w:rsidRDefault="001C4E0A">
      <w:pPr>
        <w:pStyle w:val="Heading2"/>
      </w:pPr>
      <w:bookmarkStart w:id="32" w:name="_Toc236412150"/>
      <w:r>
        <w:t>8.4 Hyperscaler and SaaS disintermediation: the real threat is task absorption, not direct selling</w:t>
      </w:r>
      <w:bookmarkEnd w:id="32"/>
    </w:p>
    <w:p w14:paraId="2BEA032E" w14:textId="77777777" w:rsidR="00DC181F" w:rsidRDefault="001C4E0A">
      <w:r>
        <w:t>The real threat is not vendors "selling direct". It is platforms absorbing the operational labour layer that MSPs historically staffed by hand. AWS CloudWatch investigations use generative AI to automate root-cause analysis, map resource relationships and propose runbooks. Google's Gemini Cloud Assist is positioned as a proactive agentic partner for design, deployment, monitoring, troubleshooting, security guidance and cost optimisation. ServiceNow is the most direct of all: its Autonomous Workforce launche</w:t>
      </w:r>
      <w:r>
        <w:t>s AI "specialists" with enterprise scope, authority, governance and auditability, and its first specialist targets Level-1 service-desk work — password resets, software-access provisioning and network troubleshooting. That is the precise bundle many MSPs sell as per-user support. Forrester analyst Charles Betz described ServiceNow's Autonomous Workforce as a milestone that legitimises AI as operational infrastructure rather than just a productivity aid, but flagged the automation paradox: Level 1 does not d</w:t>
      </w:r>
      <w:r>
        <w:t>isappear — the baseline rises; routine, procedural issues get automated away, and what remains are harder, more ambiguous, more cross-system problems. That new baseline is the space in which repositioned MSPs must operate.</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7A8472E8"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4B88B94D" w14:textId="77777777" w:rsidR="00DC181F" w:rsidRDefault="001C4E0A">
            <w:r>
              <w:lastRenderedPageBreak/>
              <w:t>Platform</w:t>
            </w:r>
          </w:p>
        </w:tc>
        <w:tc>
          <w:tcPr>
            <w:tcW w:w="3120" w:type="dxa"/>
          </w:tcPr>
          <w:p w14:paraId="5739A4A6" w14:textId="77777777" w:rsidR="00DC181F" w:rsidRDefault="001C4E0A">
            <w:pPr>
              <w:cnfStyle w:val="100000000000" w:firstRow="1" w:lastRow="0" w:firstColumn="0" w:lastColumn="0" w:oddVBand="0" w:evenVBand="0" w:oddHBand="0" w:evenHBand="0" w:firstRowFirstColumn="0" w:firstRowLastColumn="0" w:lastRowFirstColumn="0" w:lastRowLastColumn="0"/>
            </w:pPr>
            <w:r>
              <w:t>Embedded capability trend</w:t>
            </w:r>
          </w:p>
        </w:tc>
        <w:tc>
          <w:tcPr>
            <w:tcW w:w="3120" w:type="dxa"/>
          </w:tcPr>
          <w:p w14:paraId="596E60CD" w14:textId="77777777" w:rsidR="00DC181F" w:rsidRDefault="001C4E0A">
            <w:pPr>
              <w:cnfStyle w:val="100000000000" w:firstRow="1" w:lastRow="0" w:firstColumn="0" w:lastColumn="0" w:oddVBand="0" w:evenVBand="0" w:oddHBand="0" w:evenHBand="0" w:firstRowFirstColumn="0" w:firstRowLastColumn="0" w:lastRowFirstColumn="0" w:lastRowLastColumn="0"/>
            </w:pPr>
            <w:r>
              <w:t>MSP response</w:t>
            </w:r>
          </w:p>
        </w:tc>
      </w:tr>
      <w:tr w:rsidR="00DC181F" w14:paraId="740760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3937B3" w14:textId="77777777" w:rsidR="00DC181F" w:rsidRDefault="001C4E0A">
            <w:r>
              <w:t>Microsoft</w:t>
            </w:r>
          </w:p>
        </w:tc>
        <w:tc>
          <w:tcPr>
            <w:tcW w:w="3120" w:type="dxa"/>
          </w:tcPr>
          <w:p w14:paraId="1C1AACF7" w14:textId="77777777" w:rsidR="00DC181F" w:rsidRDefault="001C4E0A">
            <w:pPr>
              <w:cnfStyle w:val="000000100000" w:firstRow="0" w:lastRow="0" w:firstColumn="0" w:lastColumn="0" w:oddVBand="0" w:evenVBand="0" w:oddHBand="1" w:evenHBand="0" w:firstRowFirstColumn="0" w:firstRowLastColumn="0" w:lastRowFirstColumn="0" w:lastRowLastColumn="0"/>
            </w:pPr>
            <w:r>
              <w:t>Copilot, Agent 365, agent governance (Entra Agent ID), Security Copilot, Defender Experts.</w:t>
            </w:r>
          </w:p>
        </w:tc>
        <w:tc>
          <w:tcPr>
            <w:tcW w:w="3120" w:type="dxa"/>
          </w:tcPr>
          <w:p w14:paraId="466A3887" w14:textId="77777777" w:rsidR="00DC181F" w:rsidRDefault="001C4E0A">
            <w:pPr>
              <w:cnfStyle w:val="000000100000" w:firstRow="0" w:lastRow="0" w:firstColumn="0" w:lastColumn="0" w:oddVBand="0" w:evenVBand="0" w:oddHBand="1" w:evenHBand="0" w:firstRowFirstColumn="0" w:firstRowLastColumn="0" w:lastRowFirstColumn="0" w:lastRowLastColumn="0"/>
            </w:pPr>
            <w:r>
              <w:t>Own governance, adoption, data protection, cross-tenant operations, outcomes.</w:t>
            </w:r>
          </w:p>
        </w:tc>
      </w:tr>
      <w:tr w:rsidR="00DC181F" w14:paraId="62AAD76D" w14:textId="77777777">
        <w:tc>
          <w:tcPr>
            <w:cnfStyle w:val="001000000000" w:firstRow="0" w:lastRow="0" w:firstColumn="1" w:lastColumn="0" w:oddVBand="0" w:evenVBand="0" w:oddHBand="0" w:evenHBand="0" w:firstRowFirstColumn="0" w:firstRowLastColumn="0" w:lastRowFirstColumn="0" w:lastRowLastColumn="0"/>
            <w:tcW w:w="3120" w:type="dxa"/>
          </w:tcPr>
          <w:p w14:paraId="5A1740B9" w14:textId="77777777" w:rsidR="00DC181F" w:rsidRDefault="001C4E0A">
            <w:r>
              <w:t>AWS</w:t>
            </w:r>
          </w:p>
        </w:tc>
        <w:tc>
          <w:tcPr>
            <w:tcW w:w="3120" w:type="dxa"/>
          </w:tcPr>
          <w:p w14:paraId="491AE208" w14:textId="77777777" w:rsidR="00DC181F" w:rsidRDefault="001C4E0A">
            <w:pPr>
              <w:cnfStyle w:val="000000000000" w:firstRow="0" w:lastRow="0" w:firstColumn="0" w:lastColumn="0" w:oddVBand="0" w:evenVBand="0" w:oddHBand="0" w:evenHBand="0" w:firstRowFirstColumn="0" w:firstRowLastColumn="0" w:lastRowFirstColumn="0" w:lastRowLastColumn="0"/>
            </w:pPr>
            <w:r>
              <w:t>CloudWatch / Amazon Q operational investigation and runbook recommendations; AMS incident detection and response.</w:t>
            </w:r>
          </w:p>
        </w:tc>
        <w:tc>
          <w:tcPr>
            <w:tcW w:w="3120" w:type="dxa"/>
          </w:tcPr>
          <w:p w14:paraId="275E2B2B" w14:textId="77777777" w:rsidR="00DC181F" w:rsidRDefault="001C4E0A">
            <w:pPr>
              <w:cnfStyle w:val="000000000000" w:firstRow="0" w:lastRow="0" w:firstColumn="0" w:lastColumn="0" w:oddVBand="0" w:evenVBand="0" w:oddHBand="0" w:evenHBand="0" w:firstRowFirstColumn="0" w:firstRowLastColumn="0" w:lastRowFirstColumn="0" w:lastRowLastColumn="0"/>
            </w:pPr>
            <w:r>
              <w:t>Sell architecture, FinOps governance, security posture, operational assurance.</w:t>
            </w:r>
          </w:p>
        </w:tc>
      </w:tr>
      <w:tr w:rsidR="00DC181F" w14:paraId="785D83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176363" w14:textId="77777777" w:rsidR="00DC181F" w:rsidRDefault="001C4E0A">
            <w:r>
              <w:t>Google Cloud</w:t>
            </w:r>
          </w:p>
        </w:tc>
        <w:tc>
          <w:tcPr>
            <w:tcW w:w="3120" w:type="dxa"/>
          </w:tcPr>
          <w:p w14:paraId="4F4CB14B" w14:textId="77777777" w:rsidR="00DC181F" w:rsidRDefault="001C4E0A">
            <w:pPr>
              <w:cnfStyle w:val="000000100000" w:firstRow="0" w:lastRow="0" w:firstColumn="0" w:lastColumn="0" w:oddVBand="0" w:evenVBand="0" w:oddHBand="1" w:evenHBand="0" w:firstRowFirstColumn="0" w:firstRowLastColumn="0" w:lastRowFirstColumn="0" w:lastRowLastColumn="0"/>
            </w:pPr>
            <w:r>
              <w:t>Gemini Cloud Assist for proactive ops, troubleshooting, IaC and cost optimisation.</w:t>
            </w:r>
          </w:p>
        </w:tc>
        <w:tc>
          <w:tcPr>
            <w:tcW w:w="3120" w:type="dxa"/>
          </w:tcPr>
          <w:p w14:paraId="4C3A6C67" w14:textId="77777777" w:rsidR="00DC181F" w:rsidRDefault="001C4E0A">
            <w:pPr>
              <w:cnfStyle w:val="000000100000" w:firstRow="0" w:lastRow="0" w:firstColumn="0" w:lastColumn="0" w:oddVBand="0" w:evenVBand="0" w:oddHBand="1" w:evenHBand="0" w:firstRowFirstColumn="0" w:firstRowLastColumn="0" w:lastRowFirstColumn="0" w:lastRowLastColumn="0"/>
            </w:pPr>
            <w:r>
              <w:t>Be the multi-cloud governance and implementation partner, not a basic admin.</w:t>
            </w:r>
          </w:p>
        </w:tc>
      </w:tr>
      <w:tr w:rsidR="00DC181F" w14:paraId="5235C7FC" w14:textId="77777777">
        <w:tc>
          <w:tcPr>
            <w:cnfStyle w:val="001000000000" w:firstRow="0" w:lastRow="0" w:firstColumn="1" w:lastColumn="0" w:oddVBand="0" w:evenVBand="0" w:oddHBand="0" w:evenHBand="0" w:firstRowFirstColumn="0" w:firstRowLastColumn="0" w:lastRowFirstColumn="0" w:lastRowLastColumn="0"/>
            <w:tcW w:w="3120" w:type="dxa"/>
          </w:tcPr>
          <w:p w14:paraId="36834A03" w14:textId="77777777" w:rsidR="00DC181F" w:rsidRDefault="001C4E0A">
            <w:r>
              <w:t>ServiceNow</w:t>
            </w:r>
          </w:p>
        </w:tc>
        <w:tc>
          <w:tcPr>
            <w:tcW w:w="3120" w:type="dxa"/>
          </w:tcPr>
          <w:p w14:paraId="65BB2689" w14:textId="77777777" w:rsidR="00DC181F" w:rsidRDefault="001C4E0A">
            <w:pPr>
              <w:cnfStyle w:val="000000000000" w:firstRow="0" w:lastRow="0" w:firstColumn="0" w:lastColumn="0" w:oddVBand="0" w:evenVBand="0" w:oddHBand="0" w:evenHBand="0" w:firstRowFirstColumn="0" w:firstRowLastColumn="0" w:lastRowFirstColumn="0" w:lastRowLastColumn="0"/>
            </w:pPr>
            <w:r>
              <w:t>Autonomous Workforce / domain-specific L1 AI specialists, end-to-end.</w:t>
            </w:r>
          </w:p>
        </w:tc>
        <w:tc>
          <w:tcPr>
            <w:tcW w:w="3120" w:type="dxa"/>
          </w:tcPr>
          <w:p w14:paraId="57C2409E" w14:textId="77777777" w:rsidR="00DC181F" w:rsidRDefault="001C4E0A">
            <w:pPr>
              <w:cnfStyle w:val="000000000000" w:firstRow="0" w:lastRow="0" w:firstColumn="0" w:lastColumn="0" w:oddVBand="0" w:evenVBand="0" w:oddHBand="0" w:evenHBand="0" w:firstRowFirstColumn="0" w:firstRowLastColumn="0" w:lastRowFirstColumn="0" w:lastRowLastColumn="0"/>
            </w:pPr>
            <w:r>
              <w:t>Standardise and integrate client workflows; escape ticket labour.</w:t>
            </w:r>
          </w:p>
        </w:tc>
      </w:tr>
    </w:tbl>
    <w:p w14:paraId="7445FF89" w14:textId="77777777" w:rsidR="00DC181F" w:rsidRDefault="001C4E0A">
      <w:pPr>
        <w:pStyle w:val="Heading2"/>
      </w:pPr>
      <w:bookmarkStart w:id="33" w:name="_Toc236412151"/>
      <w:r>
        <w:t>8.5 Security as a managed service: the strongest survival path, but not for generalists</w:t>
      </w:r>
      <w:bookmarkEnd w:id="33"/>
    </w:p>
    <w:p w14:paraId="3C6927AD" w14:textId="77777777" w:rsidR="00DC181F" w:rsidRDefault="001C4E0A">
      <w:r>
        <w:t>Security demand is durable because cyber risk keeps rising while talent stays scarce. ISC2 estimates a global cyber-workforce gap of about 4.8 million against about 5.5 million active practitioners; the US Bureau of Labor Statistics projects information-security-analyst employment to grow 29 per cent (2024–2034) with a 2024 median wage of about $124,910. Kaseya's 2026 benchmark finds 71 per cent of MSPs already report year-on-year cybersecurity revenue growth — the strongest category measured — and 76 per c</w:t>
      </w:r>
      <w:r>
        <w:t>ent say it is their clients' top concern. MDR is growing at roughly 22 to 25 per cent CAGR to about $13 to $19 billion by 2030–31, and managed XDR services at roughly 32 per cent — several times faster than generic managed services. Palo Alto Networks' Cortex XSIAM has over 400 customers at $1 million-plus ARR each and is the company's fastest-growing product.</w:t>
      </w:r>
    </w:p>
    <w:p w14:paraId="2923E9E5" w14:textId="77777777" w:rsidR="00DC181F" w:rsidRDefault="001C4E0A">
      <w:r>
        <w:t>But "we resell EDR" is no longer enough. Microsoft Security Copilot agents and the Defender Experts Suite show vendors bundling AI triage, managed XDR, threat hunting and incident response natively. Winning MSPs move from tool resale to managed identity, exposure management, MDR/XDR operations, compliance evidence, incident-response readiness and board-level risk narratives. A practical reality for SMB-focused MSPs is not to pretend that 8×5 alert-checking is a SOC; for most, a partner-led MDR model plus lo</w:t>
      </w:r>
      <w:r>
        <w:t>cal governance, identity hardening and board reporting is the realistic — and more defensible — path. Cyber insurance reinforces this: Munich Re expects the global cyber-insurance market to reach about $16.3 billion in 2025 and more than double by 2030, and insurers increasingly require provable controls and documented incident response — recurring, packageable evidence work.</w:t>
      </w:r>
    </w:p>
    <w:p w14:paraId="61D0CC0F" w14:textId="77777777" w:rsidR="00DC181F" w:rsidRDefault="001C4E0A">
      <w:pPr>
        <w:pStyle w:val="Heading2"/>
      </w:pPr>
      <w:bookmarkStart w:id="34" w:name="_Toc236412152"/>
      <w:r>
        <w:t>8.6 Revenue, margin, staffing and organisational impact</w:t>
      </w:r>
      <w:bookmarkEnd w:id="34"/>
    </w:p>
    <w:p w14:paraId="22313B6F" w14:textId="77777777" w:rsidR="00DC181F" w:rsidRDefault="001C4E0A">
      <w:r>
        <w:t xml:space="preserve">The revenue impact arrives through pricing before volume. As deflection removes billable ticket volume and AI vendors meter by consumption or outcome, the per-seat anchor weakens; Zendesk already bills per verified resolution rather than per seat, and channel analysis in 2026 described token-based pricing as breaking MSP bundle economics outright. Commodity ticket revenue and low-complexity support hours face downward pricing pressure, while AI advisory, governance and </w:t>
      </w:r>
      <w:r>
        <w:lastRenderedPageBreak/>
        <w:t>security create new lines. The margin impact is front-loaded and positive for early adopters: a junior-technician uplift of around 34 per cent lets a well-run MSP raise endpoints per technician and expand gross margin for two to three years before competitive repricing arrives; inefficient MSPs lose revenue faster than they remove cost.</w:t>
      </w:r>
    </w:p>
    <w:p w14:paraId="55C1DEF3" w14:textId="77777777" w:rsidR="00DC181F" w:rsidRDefault="001C4E0A">
      <w:r>
        <w:t>The staffing impact is a flattening pyramid rather than a purge. The Bureau of Labor Statistics projects a modest 3 per cent decline in support-specialist employment over a decade, but the leading indicator is starker: India's top IT firms hired fewer than 5,000 people in the June 2025 quarter, down over 90 per cent from 2021, as automation reset the junior-heavy delivery pyramid. The MSP staffing model — many L1 technicians under few seniors — is the same pyramid. Organisationally, the winners redeploy peo</w:t>
      </w:r>
      <w:r>
        <w:t>ple up-stack; Accenture tripled generative-AI revenue to $2.7 billion in FY25 with $5.9 billion of bookings while flattening its own pyramid, and McKinsey's own workforce now blends about 40,000 humans with about 20,000 AI agents — a live signal of where professional services is heading. The reality check is that adoption lags the money: McKinsey finds 88 per cent of organisations use AI somewhere but only about a third are scaling it and just 39 per cent report profit improvement. That gap is the MSP's opp</w:t>
      </w:r>
      <w:r>
        <w:t>ortunity — help clients cross it.</w:t>
      </w:r>
    </w:p>
    <w:p w14:paraId="0992F103" w14:textId="77777777" w:rsidR="00DC181F" w:rsidRDefault="001C4E0A">
      <w:pPr>
        <w:pStyle w:val="Heading2"/>
      </w:pPr>
      <w:bookmarkStart w:id="35" w:name="_Toc236412153"/>
      <w:r>
        <w:t>8.7 Best-case and worst-case for MSPs</w:t>
      </w:r>
      <w:bookmarkEnd w:id="35"/>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1204E924"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6534C6AC" w14:textId="77777777" w:rsidR="00DC181F" w:rsidRDefault="001C4E0A">
            <w:r>
              <w:t>Dimension</w:t>
            </w:r>
          </w:p>
        </w:tc>
        <w:tc>
          <w:tcPr>
            <w:tcW w:w="3120" w:type="dxa"/>
          </w:tcPr>
          <w:p w14:paraId="34B6925F" w14:textId="77777777" w:rsidR="00DC181F" w:rsidRDefault="001C4E0A">
            <w:pPr>
              <w:cnfStyle w:val="100000000000" w:firstRow="1" w:lastRow="0" w:firstColumn="0" w:lastColumn="0" w:oddVBand="0" w:evenVBand="0" w:oddHBand="0" w:evenHBand="0" w:firstRowFirstColumn="0" w:firstRowLastColumn="0" w:lastRowFirstColumn="0" w:lastRowLastColumn="0"/>
            </w:pPr>
            <w:r>
              <w:t>Best case</w:t>
            </w:r>
          </w:p>
        </w:tc>
        <w:tc>
          <w:tcPr>
            <w:tcW w:w="3120" w:type="dxa"/>
          </w:tcPr>
          <w:p w14:paraId="5B1A10D7" w14:textId="77777777" w:rsidR="00DC181F" w:rsidRDefault="001C4E0A">
            <w:pPr>
              <w:cnfStyle w:val="100000000000" w:firstRow="1" w:lastRow="0" w:firstColumn="0" w:lastColumn="0" w:oddVBand="0" w:evenVBand="0" w:oddHBand="0" w:evenHBand="0" w:firstRowFirstColumn="0" w:firstRowLastColumn="0" w:lastRowFirstColumn="0" w:lastRowLastColumn="0"/>
            </w:pPr>
            <w:r>
              <w:t>Worst case</w:t>
            </w:r>
          </w:p>
        </w:tc>
      </w:tr>
      <w:tr w:rsidR="00DC181F" w14:paraId="30C9E6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170C62B" w14:textId="77777777" w:rsidR="00DC181F" w:rsidRDefault="001C4E0A">
            <w:r>
              <w:t>Delivery cost</w:t>
            </w:r>
          </w:p>
        </w:tc>
        <w:tc>
          <w:tcPr>
            <w:tcW w:w="3120" w:type="dxa"/>
          </w:tcPr>
          <w:p w14:paraId="3E6F5363" w14:textId="77777777" w:rsidR="00DC181F" w:rsidRDefault="001C4E0A">
            <w:pPr>
              <w:cnfStyle w:val="000000100000" w:firstRow="0" w:lastRow="0" w:firstColumn="0" w:lastColumn="0" w:oddVBand="0" w:evenVBand="0" w:oddHBand="1" w:evenHBand="0" w:firstRowFirstColumn="0" w:firstRowLastColumn="0" w:lastRowFirstColumn="0" w:lastRowLastColumn="0"/>
            </w:pPr>
            <w:r>
              <w:t>AI removes 30–50% of L1/L2 effort; techs move to higher-value work.</w:t>
            </w:r>
          </w:p>
        </w:tc>
        <w:tc>
          <w:tcPr>
            <w:tcW w:w="3120" w:type="dxa"/>
          </w:tcPr>
          <w:p w14:paraId="4FDEC8CB" w14:textId="77777777" w:rsidR="00DC181F" w:rsidRDefault="001C4E0A">
            <w:pPr>
              <w:cnfStyle w:val="000000100000" w:firstRow="0" w:lastRow="0" w:firstColumn="0" w:lastColumn="0" w:oddVBand="0" w:evenVBand="0" w:oddHBand="1" w:evenHBand="0" w:firstRowFirstColumn="0" w:firstRowLastColumn="0" w:lastRowFirstColumn="0" w:lastRowLastColumn="0"/>
            </w:pPr>
            <w:r>
              <w:t>AI removes effort but only after costly, failed pilots and tool sprawl.</w:t>
            </w:r>
          </w:p>
        </w:tc>
      </w:tr>
      <w:tr w:rsidR="00DC181F" w14:paraId="5FB93A36" w14:textId="77777777">
        <w:tc>
          <w:tcPr>
            <w:cnfStyle w:val="001000000000" w:firstRow="0" w:lastRow="0" w:firstColumn="1" w:lastColumn="0" w:oddVBand="0" w:evenVBand="0" w:oddHBand="0" w:evenHBand="0" w:firstRowFirstColumn="0" w:firstRowLastColumn="0" w:lastRowFirstColumn="0" w:lastRowLastColumn="0"/>
            <w:tcW w:w="3120" w:type="dxa"/>
          </w:tcPr>
          <w:p w14:paraId="4CA3F110" w14:textId="77777777" w:rsidR="00DC181F" w:rsidRDefault="001C4E0A">
            <w:r>
              <w:t>Pricing</w:t>
            </w:r>
          </w:p>
        </w:tc>
        <w:tc>
          <w:tcPr>
            <w:tcW w:w="3120" w:type="dxa"/>
          </w:tcPr>
          <w:p w14:paraId="4863C7B5" w14:textId="77777777" w:rsidR="00DC181F" w:rsidRDefault="001C4E0A">
            <w:pPr>
              <w:cnfStyle w:val="000000000000" w:firstRow="0" w:lastRow="0" w:firstColumn="0" w:lastColumn="0" w:oddVBand="0" w:evenVBand="0" w:oddHBand="0" w:evenHBand="0" w:firstRowFirstColumn="0" w:firstRowLastColumn="0" w:lastRowFirstColumn="0" w:lastRowLastColumn="0"/>
            </w:pPr>
            <w:r>
              <w:t>Repriced to outcomes; margin expands toward 19%+ (or 25–30% for automation leaders).</w:t>
            </w:r>
          </w:p>
        </w:tc>
        <w:tc>
          <w:tcPr>
            <w:tcW w:w="3120" w:type="dxa"/>
          </w:tcPr>
          <w:p w14:paraId="36F13CE0" w14:textId="77777777" w:rsidR="00DC181F" w:rsidRDefault="001C4E0A">
            <w:pPr>
              <w:cnfStyle w:val="000000000000" w:firstRow="0" w:lastRow="0" w:firstColumn="0" w:lastColumn="0" w:oddVBand="0" w:evenVBand="0" w:oddHBand="0" w:evenHBand="0" w:firstRowFirstColumn="0" w:firstRowLastColumn="0" w:lastRowFirstColumn="0" w:lastRowLastColumn="0"/>
            </w:pPr>
            <w:r>
              <w:t>Clients see less activity; "unlimited support" fees are cut.</w:t>
            </w:r>
          </w:p>
        </w:tc>
      </w:tr>
      <w:tr w:rsidR="00DC181F" w14:paraId="7F432A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FB057A" w14:textId="77777777" w:rsidR="00DC181F" w:rsidRDefault="001C4E0A">
            <w:r>
              <w:t>Positioning</w:t>
            </w:r>
          </w:p>
        </w:tc>
        <w:tc>
          <w:tcPr>
            <w:tcW w:w="3120" w:type="dxa"/>
          </w:tcPr>
          <w:p w14:paraId="3C0E0DAF" w14:textId="77777777" w:rsidR="00DC181F" w:rsidRDefault="001C4E0A">
            <w:pPr>
              <w:cnfStyle w:val="000000100000" w:firstRow="0" w:lastRow="0" w:firstColumn="0" w:lastColumn="0" w:oddVBand="0" w:evenVBand="0" w:oddHBand="1" w:evenHBand="0" w:firstRowFirstColumn="0" w:firstRowLastColumn="0" w:lastRowFirstColumn="0" w:lastRowLastColumn="0"/>
            </w:pPr>
            <w:r>
              <w:t>MSP becomes the trusted AI-governance and security operator.</w:t>
            </w:r>
          </w:p>
        </w:tc>
        <w:tc>
          <w:tcPr>
            <w:tcW w:w="3120" w:type="dxa"/>
          </w:tcPr>
          <w:p w14:paraId="022FCFCA" w14:textId="77777777" w:rsidR="00DC181F" w:rsidRDefault="001C4E0A">
            <w:pPr>
              <w:cnfStyle w:val="000000100000" w:firstRow="0" w:lastRow="0" w:firstColumn="0" w:lastColumn="0" w:oddVBand="0" w:evenVBand="0" w:oddHBand="1" w:evenHBand="0" w:firstRowFirstColumn="0" w:firstRowLastColumn="0" w:lastRowFirstColumn="0" w:lastRowLastColumn="0"/>
            </w:pPr>
            <w:r>
              <w:t>MSP is bypassed as platforms absorb the work it still sells.</w:t>
            </w:r>
          </w:p>
        </w:tc>
      </w:tr>
      <w:tr w:rsidR="00DC181F" w14:paraId="3E773440" w14:textId="77777777">
        <w:tc>
          <w:tcPr>
            <w:cnfStyle w:val="001000000000" w:firstRow="0" w:lastRow="0" w:firstColumn="1" w:lastColumn="0" w:oddVBand="0" w:evenVBand="0" w:oddHBand="0" w:evenHBand="0" w:firstRowFirstColumn="0" w:firstRowLastColumn="0" w:lastRowFirstColumn="0" w:lastRowLastColumn="0"/>
            <w:tcW w:w="3120" w:type="dxa"/>
          </w:tcPr>
          <w:p w14:paraId="4EBCEB2F" w14:textId="77777777" w:rsidR="00DC181F" w:rsidRDefault="001C4E0A">
            <w:r>
              <w:t>Market opportunity</w:t>
            </w:r>
          </w:p>
        </w:tc>
        <w:tc>
          <w:tcPr>
            <w:tcW w:w="3120" w:type="dxa"/>
          </w:tcPr>
          <w:p w14:paraId="409739E0" w14:textId="77777777" w:rsidR="00DC181F" w:rsidRDefault="001C4E0A">
            <w:pPr>
              <w:cnfStyle w:val="000000000000" w:firstRow="0" w:lastRow="0" w:firstColumn="0" w:lastColumn="0" w:oddVBand="0" w:evenVBand="0" w:oddHBand="0" w:evenHBand="0" w:firstRowFirstColumn="0" w:firstRowLastColumn="0" w:lastRowFirstColumn="0" w:lastRowLastColumn="0"/>
            </w:pPr>
            <w:r>
              <w:t>MSP captures a growing share of a market IDC and KPMG both describe as increasingly AI-management-led.</w:t>
            </w:r>
          </w:p>
        </w:tc>
        <w:tc>
          <w:tcPr>
            <w:tcW w:w="3120" w:type="dxa"/>
          </w:tcPr>
          <w:p w14:paraId="04940B03" w14:textId="77777777" w:rsidR="00DC181F" w:rsidRDefault="001C4E0A">
            <w:pPr>
              <w:cnfStyle w:val="000000000000" w:firstRow="0" w:lastRow="0" w:firstColumn="0" w:lastColumn="0" w:oddVBand="0" w:evenVBand="0" w:oddHBand="0" w:evenHBand="0" w:firstRowFirstColumn="0" w:firstRowLastColumn="0" w:lastRowFirstColumn="0" w:lastRowLastColumn="0"/>
            </w:pPr>
            <w:r>
              <w:t>MSP competes for a shrinking slice of a market Gartner expects to halve for incumbents by 2030.</w:t>
            </w:r>
          </w:p>
        </w:tc>
      </w:tr>
    </w:tbl>
    <w:p w14:paraId="7E1C63FF" w14:textId="77777777" w:rsidR="00DC181F" w:rsidRDefault="001C4E0A">
      <w:r>
        <w:br w:type="page"/>
      </w:r>
    </w:p>
    <w:p w14:paraId="22352B4B" w14:textId="77777777" w:rsidR="00DC181F" w:rsidRDefault="001C4E0A">
      <w:pPr>
        <w:pStyle w:val="Heading1"/>
      </w:pPr>
      <w:bookmarkStart w:id="36" w:name="_Toc236412154"/>
      <w:r>
        <w:lastRenderedPageBreak/>
        <w:t>9. Future Industry Scenarios</w:t>
      </w:r>
      <w:bookmarkEnd w:id="36"/>
    </w:p>
    <w:p w14:paraId="6CCAA73F" w14:textId="77777777" w:rsidR="00DC181F" w:rsidRDefault="001C4E0A">
      <w:pPr>
        <w:pStyle w:val="Heading2"/>
      </w:pPr>
      <w:bookmarkStart w:id="37" w:name="_Toc236412155"/>
      <w:r>
        <w:t>9.1 How customer buying behaviour is changing</w:t>
      </w:r>
      <w:bookmarkEnd w:id="37"/>
    </w:p>
    <w:p w14:paraId="357F1546" w14:textId="77777777" w:rsidR="00DC181F" w:rsidRDefault="001C4E0A">
      <w:r>
        <w:t>Customers increasingly buy outcomes and transformation, not labour — but they still want a managed partner to deliver it. KPMG's 2026 Managed Services Outlook (research by IDC, 1,224 senior leaders) finds managed services are now a strategic priority for 99 per cent of organisations, with two-thirds expecting the model to drive major operating, business and strategic impact within 24 months. Crucially, 56 per cent of buyers cite AI management as their top managed-services investment priority for the next tw</w:t>
      </w:r>
      <w:r>
        <w:t>o years, ahead of cybersecurity at 33 per cent — and the two are intertwined, since AI adoption expands the cyber-risk surface security teams must manage. Separately, HFS Research finds 83 per cent of enterprises believe generative AI will redefine managed services altogether.</w:t>
      </w:r>
    </w:p>
    <w:tbl>
      <w:tblPr>
        <w:tblStyle w:val="LightShading-Accent1"/>
        <w:tblW w:w="5000" w:type="pct"/>
        <w:tblLayout w:type="fixed"/>
        <w:tblLook w:val="04A0" w:firstRow="1" w:lastRow="0" w:firstColumn="1" w:lastColumn="0" w:noHBand="0" w:noVBand="1"/>
      </w:tblPr>
      <w:tblGrid>
        <w:gridCol w:w="4788"/>
        <w:gridCol w:w="4788"/>
      </w:tblGrid>
      <w:tr w:rsidR="00DC181F" w14:paraId="3E6F3D99"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675FDBCB" w14:textId="77777777" w:rsidR="00DC181F" w:rsidRDefault="001C4E0A">
            <w:r>
              <w:t>Customers increasingly want…</w:t>
            </w:r>
          </w:p>
        </w:tc>
        <w:tc>
          <w:tcPr>
            <w:tcW w:w="4680" w:type="dxa"/>
          </w:tcPr>
          <w:p w14:paraId="637FF1E1" w14:textId="77777777" w:rsidR="00DC181F" w:rsidRDefault="001C4E0A">
            <w:pPr>
              <w:cnfStyle w:val="100000000000" w:firstRow="1" w:lastRow="0" w:firstColumn="0" w:lastColumn="0" w:oddVBand="0" w:evenVBand="0" w:oddHBand="0" w:evenHBand="0" w:firstRowFirstColumn="0" w:firstRowLastColumn="0" w:lastRowFirstColumn="0" w:lastRowLastColumn="0"/>
            </w:pPr>
            <w:r>
              <w:t>…instead of the traditional…</w:t>
            </w:r>
          </w:p>
        </w:tc>
      </w:tr>
      <w:tr w:rsidR="00DC181F" w14:paraId="57A2286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C9AEFE5" w14:textId="77777777" w:rsidR="00DC181F" w:rsidRDefault="001C4E0A">
            <w:r>
              <w:t>Business outcomes and measurable value</w:t>
            </w:r>
          </w:p>
        </w:tc>
        <w:tc>
          <w:tcPr>
            <w:tcW w:w="4680" w:type="dxa"/>
          </w:tcPr>
          <w:p w14:paraId="6EF211CF" w14:textId="77777777" w:rsidR="00DC181F" w:rsidRDefault="001C4E0A">
            <w:pPr>
              <w:cnfStyle w:val="000000100000" w:firstRow="0" w:lastRow="0" w:firstColumn="0" w:lastColumn="0" w:oddVBand="0" w:evenVBand="0" w:oddHBand="1" w:evenHBand="0" w:firstRowFirstColumn="0" w:firstRowLastColumn="0" w:lastRowFirstColumn="0" w:lastRowLastColumn="0"/>
            </w:pPr>
            <w:r>
              <w:t>Labour hours and ticket counts</w:t>
            </w:r>
          </w:p>
        </w:tc>
      </w:tr>
      <w:tr w:rsidR="00DC181F" w14:paraId="4884D86D" w14:textId="77777777">
        <w:tc>
          <w:tcPr>
            <w:cnfStyle w:val="001000000000" w:firstRow="0" w:lastRow="0" w:firstColumn="1" w:lastColumn="0" w:oddVBand="0" w:evenVBand="0" w:oddHBand="0" w:evenHBand="0" w:firstRowFirstColumn="0" w:firstRowLastColumn="0" w:lastRowFirstColumn="0" w:lastRowLastColumn="0"/>
            <w:tcW w:w="4680" w:type="dxa"/>
          </w:tcPr>
          <w:p w14:paraId="02F61C72" w14:textId="77777777" w:rsidR="00DC181F" w:rsidRDefault="001C4E0A">
            <w:r>
              <w:t>Managed AI capability and governance</w:t>
            </w:r>
          </w:p>
        </w:tc>
        <w:tc>
          <w:tcPr>
            <w:tcW w:w="4680" w:type="dxa"/>
          </w:tcPr>
          <w:p w14:paraId="36ADE707" w14:textId="77777777" w:rsidR="00DC181F" w:rsidRDefault="001C4E0A">
            <w:pPr>
              <w:cnfStyle w:val="000000000000" w:firstRow="0" w:lastRow="0" w:firstColumn="0" w:lastColumn="0" w:oddVBand="0" w:evenVBand="0" w:oddHBand="0" w:evenHBand="0" w:firstRowFirstColumn="0" w:firstRowLastColumn="0" w:lastRowFirstColumn="0" w:lastRowLastColumn="0"/>
            </w:pPr>
            <w:r>
              <w:t>Manual administration</w:t>
            </w:r>
          </w:p>
        </w:tc>
      </w:tr>
      <w:tr w:rsidR="00DC181F" w14:paraId="249652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6FB91F" w14:textId="77777777" w:rsidR="00DC181F" w:rsidRDefault="001C4E0A">
            <w:r>
              <w:t>Business and process transformation</w:t>
            </w:r>
          </w:p>
        </w:tc>
        <w:tc>
          <w:tcPr>
            <w:tcW w:w="4680" w:type="dxa"/>
          </w:tcPr>
          <w:p w14:paraId="781DA6D6" w14:textId="77777777" w:rsidR="00DC181F" w:rsidRDefault="001C4E0A">
            <w:pPr>
              <w:cnfStyle w:val="000000100000" w:firstRow="0" w:lastRow="0" w:firstColumn="0" w:lastColumn="0" w:oddVBand="0" w:evenVBand="0" w:oddHBand="1" w:evenHBand="0" w:firstRowFirstColumn="0" w:firstRowLastColumn="0" w:lastRowFirstColumn="0" w:lastRowLastColumn="0"/>
            </w:pPr>
            <w:r>
              <w:t>Reactive support and "keeping the lights on"</w:t>
            </w:r>
          </w:p>
        </w:tc>
      </w:tr>
      <w:tr w:rsidR="00DC181F" w14:paraId="7D5C4F80" w14:textId="77777777">
        <w:tc>
          <w:tcPr>
            <w:cnfStyle w:val="001000000000" w:firstRow="0" w:lastRow="0" w:firstColumn="1" w:lastColumn="0" w:oddVBand="0" w:evenVBand="0" w:oddHBand="0" w:evenHBand="0" w:firstRowFirstColumn="0" w:firstRowLastColumn="0" w:lastRowFirstColumn="0" w:lastRowLastColumn="0"/>
            <w:tcW w:w="4680" w:type="dxa"/>
          </w:tcPr>
          <w:p w14:paraId="35D4F0B7" w14:textId="77777777" w:rsidR="00DC181F" w:rsidRDefault="001C4E0A">
            <w:r>
              <w:t>Security and resilience (risk reduction)</w:t>
            </w:r>
          </w:p>
        </w:tc>
        <w:tc>
          <w:tcPr>
            <w:tcW w:w="4680" w:type="dxa"/>
          </w:tcPr>
          <w:p w14:paraId="45237C17" w14:textId="77777777" w:rsidR="00DC181F" w:rsidRDefault="001C4E0A">
            <w:pPr>
              <w:cnfStyle w:val="000000000000" w:firstRow="0" w:lastRow="0" w:firstColumn="0" w:lastColumn="0" w:oddVBand="0" w:evenVBand="0" w:oddHBand="0" w:evenHBand="0" w:firstRowFirstColumn="0" w:firstRowLastColumn="0" w:lastRowFirstColumn="0" w:lastRowLastColumn="0"/>
            </w:pPr>
            <w:r>
              <w:t>Maintenance and patching as the headline</w:t>
            </w:r>
          </w:p>
        </w:tc>
      </w:tr>
      <w:tr w:rsidR="00DC181F" w14:paraId="78896C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62D6D6" w14:textId="77777777" w:rsidR="00DC181F" w:rsidRDefault="001C4E0A">
            <w:r>
              <w:t>AI and data strategy</w:t>
            </w:r>
          </w:p>
        </w:tc>
        <w:tc>
          <w:tcPr>
            <w:tcW w:w="4680" w:type="dxa"/>
          </w:tcPr>
          <w:p w14:paraId="3FD8BAF7" w14:textId="77777777" w:rsidR="00DC181F" w:rsidRDefault="001C4E0A">
            <w:pPr>
              <w:cnfStyle w:val="000000100000" w:firstRow="0" w:lastRow="0" w:firstColumn="0" w:lastColumn="0" w:oddVBand="0" w:evenVBand="0" w:oddHBand="1" w:evenHBand="0" w:firstRowFirstColumn="0" w:firstRowLastColumn="0" w:lastRowFirstColumn="0" w:lastRowLastColumn="0"/>
            </w:pPr>
            <w:r>
              <w:t>Infrastructure strategy</w:t>
            </w:r>
          </w:p>
        </w:tc>
      </w:tr>
    </w:tbl>
    <w:p w14:paraId="4B1FAA7F" w14:textId="77777777" w:rsidR="00DC181F" w:rsidRDefault="001C4E0A">
      <w:r>
        <w:t>The implication is that commodity administration is being repriced toward zero in the customer's mind, while AI-enabled managed outcomes command a premium. The MSP that keeps telling an "activity" story (tickets closed, patches applied) will lose to the one telling an "evidence" story (risk reduced, hours returned, AI outcomes delivered) — and IDC's forecast that 30 per cent of contracts will be outcome-based by 2029 suggests this shift will be structural, not optional, within three years.</w:t>
      </w:r>
    </w:p>
    <w:p w14:paraId="18DCA2A1" w14:textId="77777777" w:rsidR="00DC181F" w:rsidRDefault="001C4E0A">
      <w:pPr>
        <w:pStyle w:val="Heading2"/>
      </w:pPr>
      <w:bookmarkStart w:id="38" w:name="_Toc236412156"/>
      <w:r>
        <w:t>9.2 Lessons from other industries</w:t>
      </w:r>
      <w:bookmarkEnd w:id="38"/>
    </w:p>
    <w:p w14:paraId="6357C1D1" w14:textId="77777777" w:rsidR="00DC181F" w:rsidRDefault="001C4E0A">
      <w:r>
        <w:t>Every platform shift produces the same pattern: intermediaries that added value only at the point of transaction were disintermediated; those that repositioned around advice, trust and outcomes survived and often thrived.</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40C6A722"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38B36C22" w14:textId="77777777" w:rsidR="00DC181F" w:rsidRDefault="001C4E0A">
            <w:r>
              <w:t>Industry</w:t>
            </w:r>
          </w:p>
        </w:tc>
        <w:tc>
          <w:tcPr>
            <w:tcW w:w="3120" w:type="dxa"/>
          </w:tcPr>
          <w:p w14:paraId="56481BD5" w14:textId="77777777" w:rsidR="00DC181F" w:rsidRDefault="001C4E0A">
            <w:pPr>
              <w:cnfStyle w:val="100000000000" w:firstRow="1" w:lastRow="0" w:firstColumn="0" w:lastColumn="0" w:oddVBand="0" w:evenVBand="0" w:oddHBand="0" w:evenHBand="0" w:firstRowFirstColumn="0" w:firstRowLastColumn="0" w:lastRowFirstColumn="0" w:lastRowLastColumn="0"/>
            </w:pPr>
            <w:r>
              <w:t>What the platform shift did</w:t>
            </w:r>
          </w:p>
        </w:tc>
        <w:tc>
          <w:tcPr>
            <w:tcW w:w="3120" w:type="dxa"/>
          </w:tcPr>
          <w:p w14:paraId="27609F29" w14:textId="77777777" w:rsidR="00DC181F" w:rsidRDefault="001C4E0A">
            <w:pPr>
              <w:cnfStyle w:val="100000000000" w:firstRow="1" w:lastRow="0" w:firstColumn="0" w:lastColumn="0" w:oddVBand="0" w:evenVBand="0" w:oddHBand="0" w:evenHBand="0" w:firstRowFirstColumn="0" w:firstRowLastColumn="0" w:lastRowFirstColumn="0" w:lastRowLastColumn="0"/>
            </w:pPr>
            <w:r>
              <w:t>Parallel for MSPs</w:t>
            </w:r>
          </w:p>
        </w:tc>
      </w:tr>
      <w:tr w:rsidR="00DC181F" w14:paraId="7F0075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06A8E2" w14:textId="77777777" w:rsidR="00DC181F" w:rsidRDefault="001C4E0A">
            <w:r>
              <w:t>Travel agents</w:t>
            </w:r>
          </w:p>
        </w:tc>
        <w:tc>
          <w:tcPr>
            <w:tcW w:w="3120" w:type="dxa"/>
          </w:tcPr>
          <w:p w14:paraId="3A899E4C" w14:textId="77777777" w:rsidR="00DC181F" w:rsidRDefault="001C4E0A">
            <w:pPr>
              <w:cnfStyle w:val="000000100000" w:firstRow="0" w:lastRow="0" w:firstColumn="0" w:lastColumn="0" w:oddVBand="0" w:evenVBand="0" w:oddHBand="1" w:evenHBand="0" w:firstRowFirstColumn="0" w:firstRowLastColumn="0" w:lastRowFirstColumn="0" w:lastRowLastColumn="0"/>
            </w:pPr>
            <w:r>
              <w:t>Online booking and airline/OTA self-service removed the pure booking intermediary; advisory, complex-itinerary and corporate-travel specialists survived (BLS: ~60% workforce contraction; survivors at 2.8% unemployment in 2025).</w:t>
            </w:r>
          </w:p>
        </w:tc>
        <w:tc>
          <w:tcPr>
            <w:tcW w:w="3120" w:type="dxa"/>
          </w:tcPr>
          <w:p w14:paraId="4C8AAC4A" w14:textId="77777777" w:rsidR="00DC181F" w:rsidRDefault="001C4E0A">
            <w:pPr>
              <w:cnfStyle w:val="000000100000" w:firstRow="0" w:lastRow="0" w:firstColumn="0" w:lastColumn="0" w:oddVBand="0" w:evenVBand="0" w:oddHBand="1" w:evenHBand="0" w:firstRowFirstColumn="0" w:firstRowLastColumn="0" w:lastRowFirstColumn="0" w:lastRowLastColumn="0"/>
            </w:pPr>
            <w:r>
              <w:t>Basic "booking"-equivalent admin is automatable; complex, high-trust advisory endures.</w:t>
            </w:r>
          </w:p>
        </w:tc>
      </w:tr>
      <w:tr w:rsidR="00DC181F" w14:paraId="2250FB53" w14:textId="77777777">
        <w:tc>
          <w:tcPr>
            <w:cnfStyle w:val="001000000000" w:firstRow="0" w:lastRow="0" w:firstColumn="1" w:lastColumn="0" w:oddVBand="0" w:evenVBand="0" w:oddHBand="0" w:evenHBand="0" w:firstRowFirstColumn="0" w:firstRowLastColumn="0" w:lastRowFirstColumn="0" w:lastRowLastColumn="0"/>
            <w:tcW w:w="3120" w:type="dxa"/>
          </w:tcPr>
          <w:p w14:paraId="4F9C9844" w14:textId="77777777" w:rsidR="00DC181F" w:rsidRDefault="001C4E0A">
            <w:r>
              <w:t>Value-added resellers (VARs)</w:t>
            </w:r>
          </w:p>
        </w:tc>
        <w:tc>
          <w:tcPr>
            <w:tcW w:w="3120" w:type="dxa"/>
          </w:tcPr>
          <w:p w14:paraId="458A3CD9" w14:textId="77777777" w:rsidR="00DC181F" w:rsidRDefault="001C4E0A">
            <w:pPr>
              <w:cnfStyle w:val="000000000000" w:firstRow="0" w:lastRow="0" w:firstColumn="0" w:lastColumn="0" w:oddVBand="0" w:evenVBand="0" w:oddHBand="0" w:evenHBand="0" w:firstRowFirstColumn="0" w:firstRowLastColumn="0" w:lastRowFirstColumn="0" w:lastRowLastColumn="0"/>
            </w:pPr>
            <w:r>
              <w:t xml:space="preserve">Cloud/marketplace procurement collapsed hardware/licence resale margins (VAR revenue growth </w:t>
            </w:r>
            <w:r>
              <w:lastRenderedPageBreak/>
              <w:t>fell 14.1%→1.8% in 2024).</w:t>
            </w:r>
          </w:p>
        </w:tc>
        <w:tc>
          <w:tcPr>
            <w:tcW w:w="3120" w:type="dxa"/>
          </w:tcPr>
          <w:p w14:paraId="634D29FF" w14:textId="77777777" w:rsidR="00DC181F" w:rsidRDefault="001C4E0A">
            <w:pPr>
              <w:cnfStyle w:val="000000000000" w:firstRow="0" w:lastRow="0" w:firstColumn="0" w:lastColumn="0" w:oddVBand="0" w:evenVBand="0" w:oddHBand="0" w:evenHBand="0" w:firstRowFirstColumn="0" w:firstRowLastColumn="0" w:lastRowFirstColumn="0" w:lastRowLastColumn="0"/>
            </w:pPr>
            <w:r>
              <w:lastRenderedPageBreak/>
              <w:t>Resale-led MSPs must move to services and IP or face the same margin collapse.</w:t>
            </w:r>
          </w:p>
        </w:tc>
      </w:tr>
      <w:tr w:rsidR="00DC181F" w14:paraId="18726C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C650E8" w14:textId="77777777" w:rsidR="00DC181F" w:rsidRDefault="001C4E0A">
            <w:r>
              <w:t>Hosting / co-location resellers</w:t>
            </w:r>
          </w:p>
        </w:tc>
        <w:tc>
          <w:tcPr>
            <w:tcW w:w="3120" w:type="dxa"/>
          </w:tcPr>
          <w:p w14:paraId="2E1A9F23" w14:textId="77777777" w:rsidR="00DC181F" w:rsidRDefault="001C4E0A">
            <w:pPr>
              <w:cnfStyle w:val="000000100000" w:firstRow="0" w:lastRow="0" w:firstColumn="0" w:lastColumn="0" w:oddVBand="0" w:evenVBand="0" w:oddHBand="1" w:evenHBand="0" w:firstRowFirstColumn="0" w:firstRowLastColumn="0" w:lastRowFirstColumn="0" w:lastRowLastColumn="0"/>
            </w:pPr>
            <w:r>
              <w:t>Hyperscale IaaS commoditised generic capacity; managed-cloud and FinOps specialists moved up-stack. Rackspace pivoted amid revenue decline.</w:t>
            </w:r>
          </w:p>
        </w:tc>
        <w:tc>
          <w:tcPr>
            <w:tcW w:w="3120" w:type="dxa"/>
          </w:tcPr>
          <w:p w14:paraId="4E57C6CC" w14:textId="77777777" w:rsidR="00DC181F" w:rsidRDefault="001C4E0A">
            <w:pPr>
              <w:cnfStyle w:val="000000100000" w:firstRow="0" w:lastRow="0" w:firstColumn="0" w:lastColumn="0" w:oddVBand="0" w:evenVBand="0" w:oddHBand="1" w:evenHBand="0" w:firstRowFirstColumn="0" w:firstRowLastColumn="0" w:lastRowFirstColumn="0" w:lastRowLastColumn="0"/>
            </w:pPr>
            <w:r>
              <w:t>Generic infrastructure management compresses; governance/architecture/FinOps grow.</w:t>
            </w:r>
          </w:p>
        </w:tc>
      </w:tr>
      <w:tr w:rsidR="00DC181F" w14:paraId="5BCEFA40" w14:textId="77777777">
        <w:tc>
          <w:tcPr>
            <w:cnfStyle w:val="001000000000" w:firstRow="0" w:lastRow="0" w:firstColumn="1" w:lastColumn="0" w:oddVBand="0" w:evenVBand="0" w:oddHBand="0" w:evenHBand="0" w:firstRowFirstColumn="0" w:firstRowLastColumn="0" w:lastRowFirstColumn="0" w:lastRowLastColumn="0"/>
            <w:tcW w:w="3120" w:type="dxa"/>
          </w:tcPr>
          <w:p w14:paraId="78A931A6" w14:textId="77777777" w:rsidR="00DC181F" w:rsidRDefault="001C4E0A">
            <w:r>
              <w:t>Print and document bureaus</w:t>
            </w:r>
          </w:p>
        </w:tc>
        <w:tc>
          <w:tcPr>
            <w:tcW w:w="3120" w:type="dxa"/>
          </w:tcPr>
          <w:p w14:paraId="0DE2AD36" w14:textId="77777777" w:rsidR="00DC181F" w:rsidRDefault="001C4E0A">
            <w:pPr>
              <w:cnfStyle w:val="000000000000" w:firstRow="0" w:lastRow="0" w:firstColumn="0" w:lastColumn="0" w:oddVBand="0" w:evenVBand="0" w:oddHBand="0" w:evenHBand="0" w:firstRowFirstColumn="0" w:firstRowLastColumn="0" w:lastRowFirstColumn="0" w:lastRowLastColumn="0"/>
            </w:pPr>
            <w:r>
              <w:t>Managed-print and digital workflow made per-page volume shrink; those who sold document-process outcomes survived.</w:t>
            </w:r>
          </w:p>
        </w:tc>
        <w:tc>
          <w:tcPr>
            <w:tcW w:w="3120" w:type="dxa"/>
          </w:tcPr>
          <w:p w14:paraId="4C1BA67D" w14:textId="77777777" w:rsidR="00DC181F" w:rsidRDefault="001C4E0A">
            <w:pPr>
              <w:cnfStyle w:val="000000000000" w:firstRow="0" w:lastRow="0" w:firstColumn="0" w:lastColumn="0" w:oddVBand="0" w:evenVBand="0" w:oddHBand="0" w:evenHBand="0" w:firstRowFirstColumn="0" w:firstRowLastColumn="0" w:lastRowFirstColumn="0" w:lastRowLastColumn="0"/>
            </w:pPr>
            <w:r>
              <w:t>Volume-based pricing erodes; outcome/process pricing persists.</w:t>
            </w:r>
          </w:p>
        </w:tc>
      </w:tr>
      <w:tr w:rsidR="00DC181F" w14:paraId="4C8CDC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635838" w14:textId="77777777" w:rsidR="00DC181F" w:rsidRDefault="001C4E0A">
            <w:r>
              <w:t>Systems integrators</w:t>
            </w:r>
          </w:p>
        </w:tc>
        <w:tc>
          <w:tcPr>
            <w:tcW w:w="3120" w:type="dxa"/>
          </w:tcPr>
          <w:p w14:paraId="343C368F" w14:textId="77777777" w:rsidR="00DC181F" w:rsidRDefault="001C4E0A">
            <w:pPr>
              <w:cnfStyle w:val="000000100000" w:firstRow="0" w:lastRow="0" w:firstColumn="0" w:lastColumn="0" w:oddVBand="0" w:evenVBand="0" w:oddHBand="1" w:evenHBand="0" w:firstRowFirstColumn="0" w:firstRowLastColumn="0" w:lastRowFirstColumn="0" w:lastRowLastColumn="0"/>
            </w:pPr>
            <w:r>
              <w:t>Cloud and low-code shrank long custom-build projects. Accenture reinvented and returned +70% over five years; DXC defended legacy labour and returned about −60%.</w:t>
            </w:r>
          </w:p>
        </w:tc>
        <w:tc>
          <w:tcPr>
            <w:tcW w:w="3120" w:type="dxa"/>
          </w:tcPr>
          <w:p w14:paraId="0505DA1A" w14:textId="77777777" w:rsidR="00DC181F" w:rsidRDefault="001C4E0A">
            <w:pPr>
              <w:cnfStyle w:val="000000100000" w:firstRow="0" w:lastRow="0" w:firstColumn="0" w:lastColumn="0" w:oddVBand="0" w:evenVBand="0" w:oddHBand="1" w:evenHBand="0" w:firstRowFirstColumn="0" w:firstRowLastColumn="0" w:lastRowFirstColumn="0" w:lastRowLastColumn="0"/>
            </w:pPr>
            <w:r>
              <w:t>Long manual build/administer work shrinks; platform + change advisory grows.</w:t>
            </w:r>
          </w:p>
        </w:tc>
      </w:tr>
      <w:tr w:rsidR="00DC181F" w14:paraId="338D439C" w14:textId="77777777">
        <w:tc>
          <w:tcPr>
            <w:cnfStyle w:val="001000000000" w:firstRow="0" w:lastRow="0" w:firstColumn="1" w:lastColumn="0" w:oddVBand="0" w:evenVBand="0" w:oddHBand="0" w:evenHBand="0" w:firstRowFirstColumn="0" w:firstRowLastColumn="0" w:lastRowFirstColumn="0" w:lastRowLastColumn="0"/>
            <w:tcW w:w="3120" w:type="dxa"/>
          </w:tcPr>
          <w:p w14:paraId="52E99388" w14:textId="77777777" w:rsidR="00DC181F" w:rsidRDefault="001C4E0A">
            <w:r>
              <w:t>Video rental (Blockbuster)</w:t>
            </w:r>
          </w:p>
        </w:tc>
        <w:tc>
          <w:tcPr>
            <w:tcW w:w="3120" w:type="dxa"/>
          </w:tcPr>
          <w:p w14:paraId="65CDA8E9" w14:textId="77777777" w:rsidR="00DC181F" w:rsidRDefault="001C4E0A">
            <w:pPr>
              <w:cnfStyle w:val="000000000000" w:firstRow="0" w:lastRow="0" w:firstColumn="0" w:lastColumn="0" w:oddVBand="0" w:evenVBand="0" w:oddHBand="0" w:evenHBand="0" w:firstRowFirstColumn="0" w:firstRowLastColumn="0" w:lastRowFirstColumn="0" w:lastRowLastColumn="0"/>
            </w:pPr>
            <w:r>
              <w:t>Peaked at 9,100 stores in 2004 — years after Netflix launched — before near-total collapse by 2020.</w:t>
            </w:r>
          </w:p>
        </w:tc>
        <w:tc>
          <w:tcPr>
            <w:tcW w:w="3120" w:type="dxa"/>
          </w:tcPr>
          <w:p w14:paraId="1DD5F10D" w14:textId="77777777" w:rsidR="00DC181F" w:rsidRDefault="001C4E0A">
            <w:pPr>
              <w:cnfStyle w:val="000000000000" w:firstRow="0" w:lastRow="0" w:firstColumn="0" w:lastColumn="0" w:oddVBand="0" w:evenVBand="0" w:oddHBand="0" w:evenHBand="0" w:firstRowFirstColumn="0" w:firstRowLastColumn="0" w:lastRowFirstColumn="0" w:lastRowLastColumn="0"/>
            </w:pPr>
            <w:r>
              <w:t>Healthy P&amp;Ls do not predict disruption immunity.</w:t>
            </w:r>
          </w:p>
        </w:tc>
      </w:tr>
      <w:tr w:rsidR="00DC181F" w14:paraId="79ACDE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6780E0" w14:textId="77777777" w:rsidR="00DC181F" w:rsidRDefault="001C4E0A">
            <w:r>
              <w:t>Kodak vs Fujifilm</w:t>
            </w:r>
          </w:p>
        </w:tc>
        <w:tc>
          <w:tcPr>
            <w:tcW w:w="3120" w:type="dxa"/>
          </w:tcPr>
          <w:p w14:paraId="16C7FCFA" w14:textId="77777777" w:rsidR="00DC181F" w:rsidRDefault="001C4E0A">
            <w:pPr>
              <w:cnfStyle w:val="000000100000" w:firstRow="0" w:lastRow="0" w:firstColumn="0" w:lastColumn="0" w:oddVBand="0" w:evenVBand="0" w:oddHBand="1" w:evenHBand="0" w:firstRowFirstColumn="0" w:firstRowLastColumn="0" w:lastRowFirstColumn="0" w:lastRowLastColumn="0"/>
            </w:pPr>
            <w:r>
              <w:t>Kodak's engineers invented the digital camera in 1975; management buried it. Fujifilm grew 57% through the same decade Kodak fell 48% by redeploying film chemistry.</w:t>
            </w:r>
          </w:p>
        </w:tc>
        <w:tc>
          <w:tcPr>
            <w:tcW w:w="3120" w:type="dxa"/>
          </w:tcPr>
          <w:p w14:paraId="1140B001" w14:textId="77777777" w:rsidR="00DC181F" w:rsidRDefault="001C4E0A">
            <w:pPr>
              <w:cnfStyle w:val="000000100000" w:firstRow="0" w:lastRow="0" w:firstColumn="0" w:lastColumn="0" w:oddVBand="0" w:evenVBand="0" w:oddHBand="1" w:evenHBand="0" w:firstRowFirstColumn="0" w:firstRowLastColumn="0" w:lastRowFirstColumn="0" w:lastRowLastColumn="0"/>
            </w:pPr>
            <w:r>
              <w:t>Owning the technology does not save you; repositioning the business does.</w:t>
            </w:r>
          </w:p>
        </w:tc>
      </w:tr>
    </w:tbl>
    <w:p w14:paraId="77D30BBA" w14:textId="77777777" w:rsidR="00DC181F" w:rsidRDefault="001C4E0A">
      <w:r>
        <w:t>The historical record is unambiguous: disruption of intermediaries does not announce itself in the incumbents' financials until the repricing arrives; it announces itself in the growth-rate divergence, the valuation discount and the platform roadmap — all of which are already observable for MSPs.</w:t>
      </w:r>
    </w:p>
    <w:p w14:paraId="7675DA20" w14:textId="77777777" w:rsidR="00DC181F" w:rsidRDefault="001C4E0A">
      <w:pPr>
        <w:pStyle w:val="Heading2"/>
      </w:pPr>
      <w:bookmarkStart w:id="39" w:name="_Toc236412157"/>
      <w:r>
        <w:t>9.3 Three scenarios to 2030 — is the model viable?</w:t>
      </w:r>
      <w:bookmarkEnd w:id="39"/>
    </w:p>
    <w:p w14:paraId="223DEBB2" w14:textId="77777777" w:rsidR="00DC181F" w:rsidRDefault="001C4E0A">
      <w:r>
        <w:t>Weighing the evidence, three primary scenarios bound the outcome, with a consolidation dynamic running through all three. The probabilities are this report's analytic judgement, stated so they can be challenged, and each scenario is anchored to observable evidence.</w:t>
      </w:r>
    </w:p>
    <w:tbl>
      <w:tblPr>
        <w:tblStyle w:val="LightShading-Accent1"/>
        <w:tblW w:w="5000" w:type="pct"/>
        <w:tblLayout w:type="fixed"/>
        <w:tblLook w:val="04A0" w:firstRow="1" w:lastRow="0" w:firstColumn="1" w:lastColumn="0" w:noHBand="0" w:noVBand="1"/>
      </w:tblPr>
      <w:tblGrid>
        <w:gridCol w:w="2394"/>
        <w:gridCol w:w="2394"/>
        <w:gridCol w:w="2394"/>
        <w:gridCol w:w="2394"/>
      </w:tblGrid>
      <w:tr w:rsidR="00DC181F" w14:paraId="07353A49"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40" w:type="dxa"/>
          </w:tcPr>
          <w:p w14:paraId="3C87DF0F" w14:textId="77777777" w:rsidR="00DC181F" w:rsidRDefault="001C4E0A">
            <w:r>
              <w:t>Scenario</w:t>
            </w:r>
          </w:p>
        </w:tc>
        <w:tc>
          <w:tcPr>
            <w:tcW w:w="2340" w:type="dxa"/>
          </w:tcPr>
          <w:p w14:paraId="438522A8" w14:textId="77777777" w:rsidR="00DC181F" w:rsidRDefault="001C4E0A">
            <w:pPr>
              <w:cnfStyle w:val="100000000000" w:firstRow="1" w:lastRow="0" w:firstColumn="0" w:lastColumn="0" w:oddVBand="0" w:evenVBand="0" w:oddHBand="0" w:evenHBand="0" w:firstRowFirstColumn="0" w:firstRowLastColumn="0" w:lastRowFirstColumn="0" w:lastRowLastColumn="0"/>
            </w:pPr>
            <w:r>
              <w:t>Analytic likelihood</w:t>
            </w:r>
          </w:p>
        </w:tc>
        <w:tc>
          <w:tcPr>
            <w:tcW w:w="2340" w:type="dxa"/>
          </w:tcPr>
          <w:p w14:paraId="658F698F" w14:textId="77777777" w:rsidR="00DC181F" w:rsidRDefault="001C4E0A">
            <w:pPr>
              <w:cnfStyle w:val="100000000000" w:firstRow="1" w:lastRow="0" w:firstColumn="0" w:lastColumn="0" w:oddVBand="0" w:evenVBand="0" w:oddHBand="0" w:evenHBand="0" w:firstRowFirstColumn="0" w:firstRowLastColumn="0" w:lastRowFirstColumn="0" w:lastRowLastColumn="0"/>
            </w:pPr>
            <w:r>
              <w:t>What happens</w:t>
            </w:r>
          </w:p>
        </w:tc>
        <w:tc>
          <w:tcPr>
            <w:tcW w:w="2340" w:type="dxa"/>
          </w:tcPr>
          <w:p w14:paraId="49D18DAE" w14:textId="77777777" w:rsidR="00DC181F" w:rsidRDefault="001C4E0A">
            <w:pPr>
              <w:cnfStyle w:val="100000000000" w:firstRow="1" w:lastRow="0" w:firstColumn="0" w:lastColumn="0" w:oddVBand="0" w:evenVBand="0" w:oddHBand="0" w:evenHBand="0" w:firstRowFirstColumn="0" w:firstRowLastColumn="0" w:lastRowFirstColumn="0" w:lastRowLastColumn="0"/>
            </w:pPr>
            <w:r>
              <w:t>Key evidence anchors</w:t>
            </w:r>
          </w:p>
        </w:tc>
      </w:tr>
      <w:tr w:rsidR="00DC181F" w14:paraId="17324B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09AF7B" w14:textId="77777777" w:rsidR="00DC181F" w:rsidRDefault="001C4E0A">
            <w:r>
              <w:t>Bull — MSP renaissance</w:t>
            </w:r>
          </w:p>
        </w:tc>
        <w:tc>
          <w:tcPr>
            <w:tcW w:w="2340" w:type="dxa"/>
          </w:tcPr>
          <w:p w14:paraId="2E9DB490" w14:textId="77777777" w:rsidR="00DC181F" w:rsidRDefault="001C4E0A">
            <w:pPr>
              <w:cnfStyle w:val="000000100000" w:firstRow="0" w:lastRow="0" w:firstColumn="0" w:lastColumn="0" w:oddVBand="0" w:evenVBand="0" w:oddHBand="1" w:evenHBand="0" w:firstRowFirstColumn="0" w:firstRowLastColumn="0" w:lastRowFirstColumn="0" w:lastRowLastColumn="0"/>
            </w:pPr>
            <w:r>
              <w:t>~20–25%</w:t>
            </w:r>
          </w:p>
        </w:tc>
        <w:tc>
          <w:tcPr>
            <w:tcW w:w="2340" w:type="dxa"/>
          </w:tcPr>
          <w:p w14:paraId="7324B899" w14:textId="77777777" w:rsidR="00DC181F" w:rsidRDefault="001C4E0A">
            <w:pPr>
              <w:cnfStyle w:val="000000100000" w:firstRow="0" w:lastRow="0" w:firstColumn="0" w:lastColumn="0" w:oddVBand="0" w:evenVBand="0" w:oddHBand="1" w:evenHBand="0" w:firstRowFirstColumn="0" w:firstRowLastColumn="0" w:lastRowFirstColumn="0" w:lastRowLastColumn="0"/>
            </w:pPr>
            <w:r>
              <w:t xml:space="preserve">Agentic AI underdelivers on the Gartner curve; the 40% cancellation prediction proves conservative; field deflection stays near today's 10–20%; SMB stickiness keeps </w:t>
            </w:r>
            <w:r>
              <w:lastRenderedPageBreak/>
              <w:t>reactive support contracts renewing; even generalists ride security attach rates to stable margins. Market grows toward $850B by 2034.</w:t>
            </w:r>
          </w:p>
        </w:tc>
        <w:tc>
          <w:tcPr>
            <w:tcW w:w="2340" w:type="dxa"/>
          </w:tcPr>
          <w:p w14:paraId="62CABFF0" w14:textId="77777777" w:rsidR="00DC181F" w:rsidRDefault="001C4E0A">
            <w:pPr>
              <w:cnfStyle w:val="000000100000" w:firstRow="0" w:lastRow="0" w:firstColumn="0" w:lastColumn="0" w:oddVBand="0" w:evenVBand="0" w:oddHBand="1" w:evenHBand="0" w:firstRowFirstColumn="0" w:firstRowLastColumn="0" w:lastRowFirstColumn="0" w:lastRowLastColumn="0"/>
            </w:pPr>
            <w:r>
              <w:lastRenderedPageBreak/>
              <w:t>Record best-in-class profitability; AI project failures (Gartner 40%, MIT 95%); Klarna reversal; KPMG/IDC 99% still strategic.</w:t>
            </w:r>
          </w:p>
        </w:tc>
      </w:tr>
      <w:tr w:rsidR="00DC181F" w14:paraId="361AC9A0" w14:textId="77777777">
        <w:tc>
          <w:tcPr>
            <w:cnfStyle w:val="001000000000" w:firstRow="0" w:lastRow="0" w:firstColumn="1" w:lastColumn="0" w:oddVBand="0" w:evenVBand="0" w:oddHBand="0" w:evenHBand="0" w:firstRowFirstColumn="0" w:firstRowLastColumn="0" w:lastRowFirstColumn="0" w:lastRowLastColumn="0"/>
            <w:tcW w:w="2340" w:type="dxa"/>
          </w:tcPr>
          <w:p w14:paraId="7F94D916" w14:textId="77777777" w:rsidR="00DC181F" w:rsidRDefault="001C4E0A">
            <w:r>
              <w:t>Base — selective obsolescence</w:t>
            </w:r>
          </w:p>
        </w:tc>
        <w:tc>
          <w:tcPr>
            <w:tcW w:w="2340" w:type="dxa"/>
          </w:tcPr>
          <w:p w14:paraId="0C591A9B" w14:textId="77777777" w:rsidR="00DC181F" w:rsidRDefault="001C4E0A">
            <w:pPr>
              <w:cnfStyle w:val="000000000000" w:firstRow="0" w:lastRow="0" w:firstColumn="0" w:lastColumn="0" w:oddVBand="0" w:evenVBand="0" w:oddHBand="0" w:evenHBand="0" w:firstRowFirstColumn="0" w:firstRowLastColumn="0" w:lastRowFirstColumn="0" w:lastRowLastColumn="0"/>
            </w:pPr>
            <w:r>
              <w:t>~55–60%</w:t>
            </w:r>
          </w:p>
        </w:tc>
        <w:tc>
          <w:tcPr>
            <w:tcW w:w="2340" w:type="dxa"/>
          </w:tcPr>
          <w:p w14:paraId="515E584A" w14:textId="77777777" w:rsidR="00DC181F" w:rsidRDefault="001C4E0A">
            <w:pPr>
              <w:cnfStyle w:val="000000000000" w:firstRow="0" w:lastRow="0" w:firstColumn="0" w:lastColumn="0" w:oddVBand="0" w:evenVBand="0" w:oddHBand="0" w:evenHBand="0" w:firstRowFirstColumn="0" w:firstRowLastColumn="0" w:lastRowFirstColumn="0" w:lastRowLastColumn="0"/>
            </w:pPr>
            <w:r>
              <w:t>The category grows 9–13% while organic growth at undifferentiated MSPs stays near zero; AI automates 25–40% of L1/L2 task-hours by ~2030; platforms keep absorbing patching, monitoring and tier-1 security; consolidation accelerates past the 2025 record of 466 deals. By 2030 the traditional model survives mainly as the harvested tail of PE platforms and lifestyle businesses.</w:t>
            </w:r>
          </w:p>
        </w:tc>
        <w:tc>
          <w:tcPr>
            <w:tcW w:w="2340" w:type="dxa"/>
          </w:tcPr>
          <w:p w14:paraId="2B6E00A0" w14:textId="77777777" w:rsidR="00DC181F" w:rsidRDefault="001C4E0A">
            <w:pPr>
              <w:cnfStyle w:val="000000000000" w:firstRow="0" w:lastRow="0" w:firstColumn="0" w:lastColumn="0" w:oddVBand="0" w:evenVBand="0" w:oddHBand="0" w:evenHBand="0" w:firstRowFirstColumn="0" w:firstRowLastColumn="0" w:lastRowFirstColumn="0" w:lastRowLastColumn="0"/>
            </w:pPr>
            <w:r>
              <w:t>1% organic growth; 7% vs 15–30% EBITDA; consolidation records; Gartner "half the opportunity by 2030"; travel-agency precedent.</w:t>
            </w:r>
          </w:p>
        </w:tc>
      </w:tr>
      <w:tr w:rsidR="00DC181F" w14:paraId="699D83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CB5CE40" w14:textId="77777777" w:rsidR="00DC181F" w:rsidRDefault="001C4E0A">
            <w:r>
              <w:t>Bear — platform squeeze</w:t>
            </w:r>
          </w:p>
        </w:tc>
        <w:tc>
          <w:tcPr>
            <w:tcW w:w="2340" w:type="dxa"/>
          </w:tcPr>
          <w:p w14:paraId="25B63FE6" w14:textId="77777777" w:rsidR="00DC181F" w:rsidRDefault="001C4E0A">
            <w:pPr>
              <w:cnfStyle w:val="000000100000" w:firstRow="0" w:lastRow="0" w:firstColumn="0" w:lastColumn="0" w:oddVBand="0" w:evenVBand="0" w:oddHBand="1" w:evenHBand="0" w:firstRowFirstColumn="0" w:firstRowLastColumn="0" w:lastRowFirstColumn="0" w:lastRowLastColumn="0"/>
            </w:pPr>
            <w:r>
              <w:t>~15–20%</w:t>
            </w:r>
          </w:p>
        </w:tc>
        <w:tc>
          <w:tcPr>
            <w:tcW w:w="2340" w:type="dxa"/>
          </w:tcPr>
          <w:p w14:paraId="5BBE1B71" w14:textId="77777777" w:rsidR="00DC181F" w:rsidRDefault="001C4E0A">
            <w:pPr>
              <w:cnfStyle w:val="000000100000" w:firstRow="0" w:lastRow="0" w:firstColumn="0" w:lastColumn="0" w:oddVBand="0" w:evenVBand="0" w:oddHBand="1" w:evenHBand="0" w:firstRowFirstColumn="0" w:firstRowLastColumn="0" w:lastRowFirstColumn="0" w:lastRowLastColumn="0"/>
            </w:pPr>
            <w:r>
              <w:t>The Gartner curve lands on time or early: 80% of common issues resolve autonomously by 2029; Microsoft's agent stack matures into genuine self-managing SMB IT; insurers and platforms channel security spend to a handful of scaled MDR providers; token-priced service economics collapse per-seat pricing within three renewal cycles. Generalist MSP books re-rate toward run-off economics.</w:t>
            </w:r>
          </w:p>
        </w:tc>
        <w:tc>
          <w:tcPr>
            <w:tcW w:w="2340" w:type="dxa"/>
          </w:tcPr>
          <w:p w14:paraId="272FA36E" w14:textId="77777777" w:rsidR="00DC181F" w:rsidRDefault="001C4E0A">
            <w:pPr>
              <w:cnfStyle w:val="000000100000" w:firstRow="0" w:lastRow="0" w:firstColumn="0" w:lastColumn="0" w:oddVBand="0" w:evenVBand="0" w:oddHBand="1" w:evenHBand="0" w:firstRowFirstColumn="0" w:firstRowLastColumn="0" w:lastRowFirstColumn="0" w:lastRowLastColumn="0"/>
            </w:pPr>
            <w:r>
              <w:t>Gartner 80%/2029; token pricing breaking bundle economics; DXC trajectory.</w:t>
            </w:r>
          </w:p>
        </w:tc>
      </w:tr>
    </w:tbl>
    <w:p w14:paraId="5ACDD60D" w14:textId="77777777" w:rsidR="00DC181F" w:rsidRDefault="001C4E0A">
      <w:r>
        <w:t xml:space="preserve">Across all three scenarios, one conclusion is invariant: the transformed MSP outperforms the untransformed MSP. The scenarios disagree only about how quickly the untransformed model </w:t>
      </w:r>
      <w:r>
        <w:lastRenderedPageBreak/>
        <w:t>deteriorates. That asymmetry is what makes transformation a rational strategy even for readers who assign the bull case a higher probability than this report does. Is the MSP/TSP model viable by 2030? Yes — but conditionally. The category is viable; the traditional version is strategically unsafe. Gartner's own "half the opportunity by 2030" projection should be read as the base case's central number, not a bear-case outlier.</w:t>
      </w:r>
    </w:p>
    <w:p w14:paraId="25999248" w14:textId="77777777" w:rsidR="00DC181F" w:rsidRDefault="001C4E0A">
      <w:pPr>
        <w:pStyle w:val="Heading2"/>
      </w:pPr>
      <w:bookmarkStart w:id="40" w:name="_Toc236412158"/>
      <w:r>
        <w:t>9.4 Most likely outcome — the fate of today's MSPs</w:t>
      </w:r>
      <w:bookmarkEnd w:id="40"/>
    </w:p>
    <w:p w14:paraId="0F8D9AAB" w14:textId="77777777" w:rsidR="00DC181F" w:rsidRDefault="001C4E0A">
      <w:r>
        <w:t>No credible source publishes a definitive "what percentage of MSPs disappear by 2035" figure. Based on current loss rates, M&amp;A intensity and private-equity participation, customer-acquisition difficulty (71 per cent cite it as the top challenge per Kaseya 2026), scale-based valuation dispersion and automation pressure, the analytic estimate below is offered as a reasoned range, not a published forecast.</w:t>
      </w:r>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4D47E7AE"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467342AD" w14:textId="77777777" w:rsidR="00DC181F" w:rsidRDefault="001C4E0A">
            <w:r>
              <w:t>Outcome</w:t>
            </w:r>
          </w:p>
        </w:tc>
        <w:tc>
          <w:tcPr>
            <w:tcW w:w="3120" w:type="dxa"/>
          </w:tcPr>
          <w:p w14:paraId="4ED1B54C" w14:textId="77777777" w:rsidR="00DC181F" w:rsidRDefault="001C4E0A">
            <w:pPr>
              <w:cnfStyle w:val="100000000000" w:firstRow="1" w:lastRow="0" w:firstColumn="0" w:lastColumn="0" w:oddVBand="0" w:evenVBand="0" w:oddHBand="0" w:evenHBand="0" w:firstRowFirstColumn="0" w:firstRowLastColumn="0" w:lastRowFirstColumn="0" w:lastRowLastColumn="0"/>
            </w:pPr>
            <w:r>
              <w:t>Estimated share of today's ~335,000 MSPs by 2035</w:t>
            </w:r>
          </w:p>
        </w:tc>
        <w:tc>
          <w:tcPr>
            <w:tcW w:w="3120" w:type="dxa"/>
          </w:tcPr>
          <w:p w14:paraId="5E250544" w14:textId="77777777" w:rsidR="00DC181F" w:rsidRDefault="001C4E0A">
            <w:pPr>
              <w:cnfStyle w:val="100000000000" w:firstRow="1" w:lastRow="0" w:firstColumn="0" w:lastColumn="0" w:oddVBand="0" w:evenVBand="0" w:oddHBand="0" w:evenHBand="0" w:firstRowFirstColumn="0" w:firstRowLastColumn="0" w:lastRowFirstColumn="0" w:lastRowLastColumn="0"/>
            </w:pPr>
            <w:r>
              <w:t>Most exposed categories</w:t>
            </w:r>
          </w:p>
        </w:tc>
      </w:tr>
      <w:tr w:rsidR="00DC181F" w14:paraId="11FBC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8FE037" w14:textId="77777777" w:rsidR="00DC181F" w:rsidRDefault="001C4E0A">
            <w:r>
              <w:t>Struggle / stagnate</w:t>
            </w:r>
          </w:p>
        </w:tc>
        <w:tc>
          <w:tcPr>
            <w:tcW w:w="3120" w:type="dxa"/>
          </w:tcPr>
          <w:p w14:paraId="5C998E4C" w14:textId="77777777" w:rsidR="00DC181F" w:rsidRDefault="001C4E0A">
            <w:pPr>
              <w:cnfStyle w:val="000000100000" w:firstRow="0" w:lastRow="0" w:firstColumn="0" w:lastColumn="0" w:oddVBand="0" w:evenVBand="0" w:oddHBand="1" w:evenHBand="0" w:firstRowFirstColumn="0" w:firstRowLastColumn="0" w:lastRowFirstColumn="0" w:lastRowLastColumn="0"/>
            </w:pPr>
            <w:r>
              <w:t>30–40%</w:t>
            </w:r>
          </w:p>
        </w:tc>
        <w:tc>
          <w:tcPr>
            <w:tcW w:w="3120" w:type="dxa"/>
          </w:tcPr>
          <w:p w14:paraId="09F4DE2B" w14:textId="77777777" w:rsidR="00DC181F" w:rsidRDefault="001C4E0A">
            <w:pPr>
              <w:cnfStyle w:val="000000100000" w:firstRow="0" w:lastRow="0" w:firstColumn="0" w:lastColumn="0" w:oddVBand="0" w:evenVBand="0" w:oddHBand="1" w:evenHBand="0" w:firstRowFirstColumn="0" w:firstRowLastColumn="0" w:lastRowFirstColumn="0" w:lastRowLastColumn="0"/>
            </w:pPr>
            <w:r>
              <w:t>Subscale generalists on per-user/per-device pricing with weak differentiation.</w:t>
            </w:r>
          </w:p>
        </w:tc>
      </w:tr>
      <w:tr w:rsidR="00DC181F" w14:paraId="3C95A118" w14:textId="77777777">
        <w:tc>
          <w:tcPr>
            <w:cnfStyle w:val="001000000000" w:firstRow="0" w:lastRow="0" w:firstColumn="1" w:lastColumn="0" w:oddVBand="0" w:evenVBand="0" w:oddHBand="0" w:evenHBand="0" w:firstRowFirstColumn="0" w:firstRowLastColumn="0" w:lastRowFirstColumn="0" w:lastRowLastColumn="0"/>
            <w:tcW w:w="3120" w:type="dxa"/>
          </w:tcPr>
          <w:p w14:paraId="024C9F89" w14:textId="77777777" w:rsidR="00DC181F" w:rsidRDefault="001C4E0A">
            <w:r>
              <w:t>Consolidate / be acquired</w:t>
            </w:r>
          </w:p>
        </w:tc>
        <w:tc>
          <w:tcPr>
            <w:tcW w:w="3120" w:type="dxa"/>
          </w:tcPr>
          <w:p w14:paraId="509101D7" w14:textId="77777777" w:rsidR="00DC181F" w:rsidRDefault="001C4E0A">
            <w:pPr>
              <w:cnfStyle w:val="000000000000" w:firstRow="0" w:lastRow="0" w:firstColumn="0" w:lastColumn="0" w:oddVBand="0" w:evenVBand="0" w:oddHBand="0" w:evenHBand="0" w:firstRowFirstColumn="0" w:firstRowLastColumn="0" w:lastRowFirstColumn="0" w:lastRowLastColumn="0"/>
            </w:pPr>
            <w:r>
              <w:t>20–30%</w:t>
            </w:r>
          </w:p>
        </w:tc>
        <w:tc>
          <w:tcPr>
            <w:tcW w:w="3120" w:type="dxa"/>
          </w:tcPr>
          <w:p w14:paraId="6600825A" w14:textId="77777777" w:rsidR="00DC181F" w:rsidRDefault="001C4E0A">
            <w:pPr>
              <w:cnfStyle w:val="000000000000" w:firstRow="0" w:lastRow="0" w:firstColumn="0" w:lastColumn="0" w:oddVBand="0" w:evenVBand="0" w:oddHBand="0" w:evenHBand="0" w:firstRowFirstColumn="0" w:firstRowLastColumn="0" w:lastRowFirstColumn="0" w:lastRowLastColumn="0"/>
            </w:pPr>
            <w:r>
              <w:t>Sound but undifferentiated firms bought as tuck-ins by PE-backed platforms.</w:t>
            </w:r>
          </w:p>
        </w:tc>
      </w:tr>
      <w:tr w:rsidR="00DC181F" w14:paraId="2A105A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51ECDC" w14:textId="77777777" w:rsidR="00DC181F" w:rsidRDefault="001C4E0A">
            <w:r>
              <w:t>Transform / thrive</w:t>
            </w:r>
          </w:p>
        </w:tc>
        <w:tc>
          <w:tcPr>
            <w:tcW w:w="3120" w:type="dxa"/>
          </w:tcPr>
          <w:p w14:paraId="08F89748" w14:textId="77777777" w:rsidR="00DC181F" w:rsidRDefault="001C4E0A">
            <w:pPr>
              <w:cnfStyle w:val="000000100000" w:firstRow="0" w:lastRow="0" w:firstColumn="0" w:lastColumn="0" w:oddVBand="0" w:evenVBand="0" w:oddHBand="1" w:evenHBand="0" w:firstRowFirstColumn="0" w:firstRowLastColumn="0" w:lastRowFirstColumn="0" w:lastRowLastColumn="0"/>
            </w:pPr>
            <w:r>
              <w:t>25–35%</w:t>
            </w:r>
          </w:p>
        </w:tc>
        <w:tc>
          <w:tcPr>
            <w:tcW w:w="3120" w:type="dxa"/>
          </w:tcPr>
          <w:p w14:paraId="43D05316" w14:textId="77777777" w:rsidR="00DC181F" w:rsidRDefault="001C4E0A">
            <w:pPr>
              <w:cnfStyle w:val="000000100000" w:firstRow="0" w:lastRow="0" w:firstColumn="0" w:lastColumn="0" w:oddVBand="0" w:evenVBand="0" w:oddHBand="1" w:evenHBand="0" w:firstRowFirstColumn="0" w:firstRowLastColumn="0" w:lastRowFirstColumn="0" w:lastRowLastColumn="0"/>
            </w:pPr>
            <w:r>
              <w:t>Security-first, automation-led, verticalised or IP-led providers.</w:t>
            </w:r>
          </w:p>
        </w:tc>
      </w:tr>
      <w:tr w:rsidR="00DC181F" w14:paraId="18E1A3E8" w14:textId="77777777">
        <w:tc>
          <w:tcPr>
            <w:cnfStyle w:val="001000000000" w:firstRow="0" w:lastRow="0" w:firstColumn="1" w:lastColumn="0" w:oddVBand="0" w:evenVBand="0" w:oddHBand="0" w:evenHBand="0" w:firstRowFirstColumn="0" w:firstRowLastColumn="0" w:lastRowFirstColumn="0" w:lastRowLastColumn="0"/>
            <w:tcW w:w="3120" w:type="dxa"/>
          </w:tcPr>
          <w:p w14:paraId="505D2229" w14:textId="77777777" w:rsidR="00DC181F" w:rsidRDefault="001C4E0A">
            <w:r>
              <w:t>Exit / disappear</w:t>
            </w:r>
          </w:p>
        </w:tc>
        <w:tc>
          <w:tcPr>
            <w:tcW w:w="3120" w:type="dxa"/>
          </w:tcPr>
          <w:p w14:paraId="1FF457C3" w14:textId="77777777" w:rsidR="00DC181F" w:rsidRDefault="001C4E0A">
            <w:pPr>
              <w:cnfStyle w:val="000000000000" w:firstRow="0" w:lastRow="0" w:firstColumn="0" w:lastColumn="0" w:oddVBand="0" w:evenVBand="0" w:oddHBand="0" w:evenHBand="0" w:firstRowFirstColumn="0" w:firstRowLastColumn="0" w:lastRowFirstColumn="0" w:lastRowLastColumn="0"/>
            </w:pPr>
            <w:r>
              <w:t>5–10%</w:t>
            </w:r>
          </w:p>
        </w:tc>
        <w:tc>
          <w:tcPr>
            <w:tcW w:w="3120" w:type="dxa"/>
          </w:tcPr>
          <w:p w14:paraId="7BD797A6" w14:textId="77777777" w:rsidR="00DC181F" w:rsidRDefault="001C4E0A">
            <w:pPr>
              <w:cnfStyle w:val="000000000000" w:firstRow="0" w:lastRow="0" w:firstColumn="0" w:lastColumn="0" w:oddVBand="0" w:evenVBand="0" w:oddHBand="0" w:evenHBand="0" w:firstRowFirstColumn="0" w:firstRowLastColumn="0" w:lastRowFirstColumn="0" w:lastRowLastColumn="0"/>
            </w:pPr>
            <w:r>
              <w:t>Founder-dependent, break-fix-in-disguise operators unable to fund change.</w:t>
            </w:r>
          </w:p>
        </w:tc>
      </w:tr>
    </w:tbl>
    <w:p w14:paraId="2359C4A3" w14:textId="77777777" w:rsidR="00DC181F" w:rsidRDefault="001C4E0A">
      <w:r>
        <w:t>Categories most at risk, in order: pure resale VARs and licence-margin-dependent CSPs; sub-$5 million generalist break-fix and RMM shops with no security or vertical depth; on-premises-centric infrastructure and telephony providers, where the platform has already absorbed the box, as the PBX market's terminal decline shows; and labour-arbitrage staff augmentation, the segment most exposed to Gartner's 2029 automation curve. Least at risk: security-led MSSPs, vertical compliance specialists, AI-enablement pr</w:t>
      </w:r>
      <w:r>
        <w:t>actices and scaled platforms with productised IP.</w:t>
      </w:r>
    </w:p>
    <w:p w14:paraId="45D97463" w14:textId="77777777" w:rsidR="00DC181F" w:rsidRDefault="001C4E0A">
      <w:r>
        <w:br w:type="page"/>
      </w:r>
    </w:p>
    <w:p w14:paraId="4252C545" w14:textId="77777777" w:rsidR="00DC181F" w:rsidRDefault="001C4E0A">
      <w:pPr>
        <w:pStyle w:val="Heading1"/>
      </w:pPr>
      <w:bookmarkStart w:id="41" w:name="_Toc236412159"/>
      <w:r>
        <w:lastRenderedPageBreak/>
        <w:t>10. Transformation Framework</w:t>
      </w:r>
      <w:bookmarkEnd w:id="41"/>
    </w:p>
    <w:p w14:paraId="7C66B098" w14:textId="77777777" w:rsidR="00DC181F" w:rsidRDefault="001C4E0A">
      <w:r>
        <w:t>History supplies the playbook. Across seven prior platform shifts, the survivors made the same four moves: they moved up the value chain from execution to advisory, they specialised instead of staying generalist, they redeployed core capabilities into productised intellectual property, and they shifted the profit mix before the legacy line collapsed. Fujifilm grew revenue 57 per cent through the same decade in which Kodak fell 48 per cent and ultimately filed for bankruptcy, by redeploying film chemistry in</w:t>
      </w:r>
      <w:r>
        <w:t>to new markets. CDW made cloud, software and managed services the engine of its gross profit while hardware commoditised. Accenture folded its delivery into Reinvention Services and returned +70 per cent over five years while DXC, defending legacy outsourcing labour, returned roughly −60 per cent. Travel agencies contracted about 60 per cent by headcount, yet the specialists who moved up-market ended with 2.8 per cent unemployment in 2025. The pattern, not the panic, is the lesson.</w:t>
      </w:r>
    </w:p>
    <w:p w14:paraId="0A91B0D5" w14:textId="77777777" w:rsidR="00DC181F" w:rsidRDefault="001C4E0A">
      <w:r>
        <w:t>The framework preserves one non-negotiable principle: do not abandon managed services — re-architect them. Sequence matters for a capital- and people-constrained MSP. The eight opportunities below are ranked by urgency, revenue potential, margin potential and competitive defensibility; the rankings synthesise the growth and margin evidence cited throughout this report, and the ordering is this report's judgement.</w:t>
      </w:r>
    </w:p>
    <w:tbl>
      <w:tblPr>
        <w:tblStyle w:val="LightShading-Accent1"/>
        <w:tblW w:w="5000" w:type="pct"/>
        <w:tblLayout w:type="fixed"/>
        <w:tblLook w:val="04A0" w:firstRow="1" w:lastRow="0" w:firstColumn="1" w:lastColumn="0" w:noHBand="0" w:noVBand="1"/>
      </w:tblPr>
      <w:tblGrid>
        <w:gridCol w:w="1916"/>
        <w:gridCol w:w="1915"/>
        <w:gridCol w:w="1915"/>
        <w:gridCol w:w="1915"/>
        <w:gridCol w:w="1915"/>
      </w:tblGrid>
      <w:tr w:rsidR="00DC181F" w14:paraId="6D75E71B"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2" w:type="dxa"/>
          </w:tcPr>
          <w:p w14:paraId="1239875D" w14:textId="77777777" w:rsidR="00DC181F" w:rsidRDefault="001C4E0A">
            <w:r>
              <w:t>Opportunity (ranked)</w:t>
            </w:r>
          </w:p>
        </w:tc>
        <w:tc>
          <w:tcPr>
            <w:tcW w:w="1872" w:type="dxa"/>
          </w:tcPr>
          <w:p w14:paraId="440AC62A" w14:textId="77777777" w:rsidR="00DC181F" w:rsidRDefault="001C4E0A">
            <w:pPr>
              <w:cnfStyle w:val="100000000000" w:firstRow="1" w:lastRow="0" w:firstColumn="0" w:lastColumn="0" w:oddVBand="0" w:evenVBand="0" w:oddHBand="0" w:evenHBand="0" w:firstRowFirstColumn="0" w:firstRowLastColumn="0" w:lastRowFirstColumn="0" w:lastRowLastColumn="0"/>
            </w:pPr>
            <w:r>
              <w:t>Urgency</w:t>
            </w:r>
          </w:p>
        </w:tc>
        <w:tc>
          <w:tcPr>
            <w:tcW w:w="1872" w:type="dxa"/>
          </w:tcPr>
          <w:p w14:paraId="6C6108C1" w14:textId="77777777" w:rsidR="00DC181F" w:rsidRDefault="001C4E0A">
            <w:pPr>
              <w:cnfStyle w:val="100000000000" w:firstRow="1" w:lastRow="0" w:firstColumn="0" w:lastColumn="0" w:oddVBand="0" w:evenVBand="0" w:oddHBand="0" w:evenHBand="0" w:firstRowFirstColumn="0" w:firstRowLastColumn="0" w:lastRowFirstColumn="0" w:lastRowLastColumn="0"/>
            </w:pPr>
            <w:r>
              <w:t>Revenue potential</w:t>
            </w:r>
          </w:p>
        </w:tc>
        <w:tc>
          <w:tcPr>
            <w:tcW w:w="1872" w:type="dxa"/>
          </w:tcPr>
          <w:p w14:paraId="6199C999" w14:textId="77777777" w:rsidR="00DC181F" w:rsidRDefault="001C4E0A">
            <w:pPr>
              <w:cnfStyle w:val="100000000000" w:firstRow="1" w:lastRow="0" w:firstColumn="0" w:lastColumn="0" w:oddVBand="0" w:evenVBand="0" w:oddHBand="0" w:evenHBand="0" w:firstRowFirstColumn="0" w:firstRowLastColumn="0" w:lastRowFirstColumn="0" w:lastRowLastColumn="0"/>
            </w:pPr>
            <w:r>
              <w:t>Margin potential</w:t>
            </w:r>
          </w:p>
        </w:tc>
        <w:tc>
          <w:tcPr>
            <w:tcW w:w="1872" w:type="dxa"/>
          </w:tcPr>
          <w:p w14:paraId="63D7EB97" w14:textId="77777777" w:rsidR="00DC181F" w:rsidRDefault="001C4E0A">
            <w:pPr>
              <w:cnfStyle w:val="100000000000" w:firstRow="1" w:lastRow="0" w:firstColumn="0" w:lastColumn="0" w:oddVBand="0" w:evenVBand="0" w:oddHBand="0" w:evenHBand="0" w:firstRowFirstColumn="0" w:firstRowLastColumn="0" w:lastRowFirstColumn="0" w:lastRowLastColumn="0"/>
            </w:pPr>
            <w:r>
              <w:t>Defensibility</w:t>
            </w:r>
          </w:p>
        </w:tc>
      </w:tr>
      <w:tr w:rsidR="00DC181F" w14:paraId="24D31D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2FDC2F" w14:textId="77777777" w:rsidR="00DC181F" w:rsidRDefault="001C4E0A">
            <w:r>
              <w:t>1. Security-first services: MDR/XDR co-delivery, identity, compliance evidence (partner-led for most SMB MSPs)</w:t>
            </w:r>
          </w:p>
        </w:tc>
        <w:tc>
          <w:tcPr>
            <w:tcW w:w="1872" w:type="dxa"/>
          </w:tcPr>
          <w:p w14:paraId="4A1EEE23" w14:textId="77777777" w:rsidR="00DC181F" w:rsidRDefault="001C4E0A">
            <w:pPr>
              <w:cnfStyle w:val="000000100000" w:firstRow="0" w:lastRow="0" w:firstColumn="0" w:lastColumn="0" w:oddVBand="0" w:evenVBand="0" w:oddHBand="1" w:evenHBand="0" w:firstRowFirstColumn="0" w:firstRowLastColumn="0" w:lastRowFirstColumn="0" w:lastRowLastColumn="0"/>
            </w:pPr>
            <w:r>
              <w:t>Immediate</w:t>
            </w:r>
          </w:p>
        </w:tc>
        <w:tc>
          <w:tcPr>
            <w:tcW w:w="1872" w:type="dxa"/>
          </w:tcPr>
          <w:p w14:paraId="1FA2803F"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(~22–25% CAGR MDR)</w:t>
            </w:r>
          </w:p>
        </w:tc>
        <w:tc>
          <w:tcPr>
            <w:tcW w:w="1872" w:type="dxa"/>
          </w:tcPr>
          <w:p w14:paraId="381EA7F6"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(~42% package premium)</w:t>
            </w:r>
          </w:p>
        </w:tc>
        <w:tc>
          <w:tcPr>
            <w:tcW w:w="1872" w:type="dxa"/>
          </w:tcPr>
          <w:p w14:paraId="0B1E4F41"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trust and 24/7 capability are barriers</w:t>
            </w:r>
          </w:p>
        </w:tc>
      </w:tr>
      <w:tr w:rsidR="00DC181F" w14:paraId="694B84FD" w14:textId="77777777">
        <w:tc>
          <w:tcPr>
            <w:cnfStyle w:val="001000000000" w:firstRow="0" w:lastRow="0" w:firstColumn="1" w:lastColumn="0" w:oddVBand="0" w:evenVBand="0" w:oddHBand="0" w:evenHBand="0" w:firstRowFirstColumn="0" w:firstRowLastColumn="0" w:lastRowFirstColumn="0" w:lastRowLastColumn="0"/>
            <w:tcW w:w="1872" w:type="dxa"/>
          </w:tcPr>
          <w:p w14:paraId="52252326" w14:textId="77777777" w:rsidR="00DC181F" w:rsidRDefault="001C4E0A">
            <w:r>
              <w:t>2. Internal AI adoption and automated service delivery</w:t>
            </w:r>
          </w:p>
        </w:tc>
        <w:tc>
          <w:tcPr>
            <w:tcW w:w="1872" w:type="dxa"/>
          </w:tcPr>
          <w:p w14:paraId="75C24B55" w14:textId="77777777" w:rsidR="00DC181F" w:rsidRDefault="001C4E0A">
            <w:pPr>
              <w:cnfStyle w:val="000000000000" w:firstRow="0" w:lastRow="0" w:firstColumn="0" w:lastColumn="0" w:oddVBand="0" w:evenVBand="0" w:oddHBand="0" w:evenHBand="0" w:firstRowFirstColumn="0" w:firstRowLastColumn="0" w:lastRowFirstColumn="0" w:lastRowLastColumn="0"/>
            </w:pPr>
            <w:r>
              <w:t>Immediate</w:t>
            </w:r>
          </w:p>
        </w:tc>
        <w:tc>
          <w:tcPr>
            <w:tcW w:w="1872" w:type="dxa"/>
          </w:tcPr>
          <w:p w14:paraId="39D0F69D" w14:textId="77777777" w:rsidR="00DC181F" w:rsidRDefault="001C4E0A">
            <w:pPr>
              <w:cnfStyle w:val="000000000000" w:firstRow="0" w:lastRow="0" w:firstColumn="0" w:lastColumn="0" w:oddVBand="0" w:evenVBand="0" w:oddHBand="0" w:evenHBand="0" w:firstRowFirstColumn="0" w:firstRowLastColumn="0" w:lastRowFirstColumn="0" w:lastRowLastColumn="0"/>
            </w:pPr>
            <w:r>
              <w:t>Indirect (protects base)</w:t>
            </w:r>
          </w:p>
        </w:tc>
        <w:tc>
          <w:tcPr>
            <w:tcW w:w="1872" w:type="dxa"/>
          </w:tcPr>
          <w:p w14:paraId="2091ACE5" w14:textId="77777777" w:rsidR="00DC181F" w:rsidRDefault="001C4E0A">
            <w:pPr>
              <w:cnfStyle w:val="000000000000" w:firstRow="0" w:lastRow="0" w:firstColumn="0" w:lastColumn="0" w:oddVBand="0" w:evenVBand="0" w:oddHBand="0" w:evenHBand="0" w:firstRowFirstColumn="0" w:firstRowLastColumn="0" w:lastRowFirstColumn="0" w:lastRowLastColumn="0"/>
            </w:pPr>
            <w:r>
              <w:t>Very high (+34% junior productivity)</w:t>
            </w:r>
          </w:p>
        </w:tc>
        <w:tc>
          <w:tcPr>
            <w:tcW w:w="1872" w:type="dxa"/>
          </w:tcPr>
          <w:p w14:paraId="0FA28817" w14:textId="77777777" w:rsidR="00DC181F" w:rsidRDefault="001C4E0A">
            <w:pPr>
              <w:cnfStyle w:val="000000000000" w:firstRow="0" w:lastRow="0" w:firstColumn="0" w:lastColumn="0" w:oddVBand="0" w:evenVBand="0" w:oddHBand="0" w:evenHBand="0" w:firstRowFirstColumn="0" w:firstRowLastColumn="0" w:lastRowFirstColumn="0" w:lastRowLastColumn="0"/>
            </w:pPr>
            <w:r>
              <w:t>High; operational moat compounds</w:t>
            </w:r>
          </w:p>
        </w:tc>
      </w:tr>
      <w:tr w:rsidR="00DC181F" w14:paraId="641633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39C550" w14:textId="77777777" w:rsidR="00DC181F" w:rsidRDefault="001C4E0A">
            <w:r>
              <w:t>3. AI advisory and implementation: Copilot/agent readiness, adoption, agent build</w:t>
            </w:r>
          </w:p>
        </w:tc>
        <w:tc>
          <w:tcPr>
            <w:tcW w:w="1872" w:type="dxa"/>
          </w:tcPr>
          <w:p w14:paraId="70535B03" w14:textId="77777777" w:rsidR="00DC181F" w:rsidRDefault="001C4E0A">
            <w:pPr>
              <w:cnfStyle w:val="000000100000" w:firstRow="0" w:lastRow="0" w:firstColumn="0" w:lastColumn="0" w:oddVBand="0" w:evenVBand="0" w:oddHBand="1" w:evenHBand="0" w:firstRowFirstColumn="0" w:firstRowLastColumn="0" w:lastRowFirstColumn="0" w:lastRowLastColumn="0"/>
            </w:pPr>
            <w:r>
              <w:t>Immediate</w:t>
            </w:r>
          </w:p>
        </w:tc>
        <w:tc>
          <w:tcPr>
            <w:tcW w:w="1872" w:type="dxa"/>
          </w:tcPr>
          <w:p w14:paraId="48D770D5"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(~35% CAGR; 70% of midmarket seeks help)</w:t>
            </w:r>
          </w:p>
        </w:tc>
        <w:tc>
          <w:tcPr>
            <w:tcW w:w="1872" w:type="dxa"/>
          </w:tcPr>
          <w:p w14:paraId="0C108734"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(advisory rates)</w:t>
            </w:r>
          </w:p>
        </w:tc>
        <w:tc>
          <w:tcPr>
            <w:tcW w:w="1872" w:type="dxa"/>
          </w:tcPr>
          <w:p w14:paraId="711F97FA" w14:textId="77777777" w:rsidR="00DC181F" w:rsidRDefault="001C4E0A">
            <w:pPr>
              <w:cnfStyle w:val="000000100000" w:firstRow="0" w:lastRow="0" w:firstColumn="0" w:lastColumn="0" w:oddVBand="0" w:evenVBand="0" w:oddHBand="1" w:evenHBand="0" w:firstRowFirstColumn="0" w:firstRowLastColumn="0" w:lastRowFirstColumn="0" w:lastRowLastColumn="0"/>
            </w:pPr>
            <w:r>
              <w:t>Medium; crowded, moves fast</w:t>
            </w:r>
          </w:p>
        </w:tc>
      </w:tr>
      <w:tr w:rsidR="00DC181F" w14:paraId="0F416F08" w14:textId="77777777">
        <w:tc>
          <w:tcPr>
            <w:cnfStyle w:val="001000000000" w:firstRow="0" w:lastRow="0" w:firstColumn="1" w:lastColumn="0" w:oddVBand="0" w:evenVBand="0" w:oddHBand="0" w:evenHBand="0" w:firstRowFirstColumn="0" w:firstRowLastColumn="0" w:lastRowFirstColumn="0" w:lastRowLastColumn="0"/>
            <w:tcW w:w="1872" w:type="dxa"/>
          </w:tcPr>
          <w:p w14:paraId="42C6766F" w14:textId="77777777" w:rsidR="00DC181F" w:rsidRDefault="001C4E0A">
            <w:r>
              <w:t>4. Commercial repricing: outcome, platform and subscription models</w:t>
            </w:r>
          </w:p>
        </w:tc>
        <w:tc>
          <w:tcPr>
            <w:tcW w:w="1872" w:type="dxa"/>
          </w:tcPr>
          <w:p w14:paraId="52BA51D8" w14:textId="77777777" w:rsidR="00DC181F" w:rsidRDefault="001C4E0A">
            <w:pPr>
              <w:cnfStyle w:val="000000000000" w:firstRow="0" w:lastRow="0" w:firstColumn="0" w:lastColumn="0" w:oddVBand="0" w:evenVBand="0" w:oddHBand="0" w:evenHBand="0" w:firstRowFirstColumn="0" w:firstRowLastColumn="0" w:lastRowFirstColumn="0" w:lastRowLastColumn="0"/>
            </w:pPr>
            <w:r>
              <w:t>Immediate</w:t>
            </w:r>
          </w:p>
        </w:tc>
        <w:tc>
          <w:tcPr>
            <w:tcW w:w="1872" w:type="dxa"/>
          </w:tcPr>
          <w:p w14:paraId="50E2BD49" w14:textId="77777777" w:rsidR="00DC181F" w:rsidRDefault="001C4E0A">
            <w:pPr>
              <w:cnfStyle w:val="000000000000" w:firstRow="0" w:lastRow="0" w:firstColumn="0" w:lastColumn="0" w:oddVBand="0" w:evenVBand="0" w:oddHBand="0" w:evenHBand="0" w:firstRowFirstColumn="0" w:firstRowLastColumn="0" w:lastRowFirstColumn="0" w:lastRowLastColumn="0"/>
            </w:pPr>
            <w:r>
              <w:t>Protects and re-rates existing base</w:t>
            </w:r>
          </w:p>
        </w:tc>
        <w:tc>
          <w:tcPr>
            <w:tcW w:w="1872" w:type="dxa"/>
          </w:tcPr>
          <w:p w14:paraId="25846FFD" w14:textId="77777777" w:rsidR="00DC181F" w:rsidRDefault="001C4E0A">
            <w:pPr>
              <w:cnfStyle w:val="000000000000" w:firstRow="0" w:lastRow="0" w:firstColumn="0" w:lastColumn="0" w:oddVBand="0" w:evenVBand="0" w:oddHBand="0" w:evenHBand="0" w:firstRowFirstColumn="0" w:firstRowLastColumn="0" w:lastRowFirstColumn="0" w:lastRowLastColumn="0"/>
            </w:pPr>
            <w:r>
              <w:t>High (captures AI efficiency)</w:t>
            </w:r>
          </w:p>
        </w:tc>
        <w:tc>
          <w:tcPr>
            <w:tcW w:w="1872" w:type="dxa"/>
          </w:tcPr>
          <w:p w14:paraId="64C907E9" w14:textId="77777777" w:rsidR="00DC181F" w:rsidRDefault="001C4E0A">
            <w:pPr>
              <w:cnfStyle w:val="000000000000" w:firstRow="0" w:lastRow="0" w:firstColumn="0" w:lastColumn="0" w:oddVBand="0" w:evenVBand="0" w:oddHBand="0" w:evenHBand="0" w:firstRowFirstColumn="0" w:firstRowLastColumn="0" w:lastRowFirstColumn="0" w:lastRowLastColumn="0"/>
            </w:pPr>
            <w:r>
              <w:t>Medium; contracts and trust dependent</w:t>
            </w:r>
          </w:p>
        </w:tc>
      </w:tr>
      <w:tr w:rsidR="00DC181F" w14:paraId="3E548C6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C4D4345" w14:textId="77777777" w:rsidR="00DC181F" w:rsidRDefault="001C4E0A">
            <w:r>
              <w:lastRenderedPageBreak/>
              <w:t>5. AI governance, risk and compliance services</w:t>
            </w:r>
          </w:p>
        </w:tc>
        <w:tc>
          <w:tcPr>
            <w:tcW w:w="1872" w:type="dxa"/>
          </w:tcPr>
          <w:p w14:paraId="1B1AA534" w14:textId="77777777" w:rsidR="00DC181F" w:rsidRDefault="001C4E0A">
            <w:pPr>
              <w:cnfStyle w:val="000000100000" w:firstRow="0" w:lastRow="0" w:firstColumn="0" w:lastColumn="0" w:oddVBand="0" w:evenVBand="0" w:oddHBand="1" w:evenHBand="0" w:firstRowFirstColumn="0" w:firstRowLastColumn="0" w:lastRowFirstColumn="0" w:lastRowLastColumn="0"/>
            </w:pPr>
            <w:r>
              <w:t>Near-term (6–18 months)</w:t>
            </w:r>
          </w:p>
        </w:tc>
        <w:tc>
          <w:tcPr>
            <w:tcW w:w="1872" w:type="dxa"/>
          </w:tcPr>
          <w:p w14:paraId="68408E62" w14:textId="77777777" w:rsidR="00DC181F" w:rsidRDefault="001C4E0A">
            <w:pPr>
              <w:cnfStyle w:val="000000100000" w:firstRow="0" w:lastRow="0" w:firstColumn="0" w:lastColumn="0" w:oddVBand="0" w:evenVBand="0" w:oddHBand="1" w:evenHBand="0" w:firstRowFirstColumn="0" w:firstRowLastColumn="0" w:lastRowFirstColumn="0" w:lastRowLastColumn="0"/>
            </w:pPr>
            <w:r>
              <w:t>Medium-high; regulation-driven</w:t>
            </w:r>
          </w:p>
        </w:tc>
        <w:tc>
          <w:tcPr>
            <w:tcW w:w="1872" w:type="dxa"/>
          </w:tcPr>
          <w:p w14:paraId="0FA34548"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w:t>
            </w:r>
          </w:p>
        </w:tc>
        <w:tc>
          <w:tcPr>
            <w:tcW w:w="1872" w:type="dxa"/>
          </w:tcPr>
          <w:p w14:paraId="05A5A26B"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trust and audit relationships persist</w:t>
            </w:r>
          </w:p>
        </w:tc>
      </w:tr>
      <w:tr w:rsidR="00DC181F" w14:paraId="12B33266" w14:textId="77777777">
        <w:tc>
          <w:tcPr>
            <w:cnfStyle w:val="001000000000" w:firstRow="0" w:lastRow="0" w:firstColumn="1" w:lastColumn="0" w:oddVBand="0" w:evenVBand="0" w:oddHBand="0" w:evenHBand="0" w:firstRowFirstColumn="0" w:firstRowLastColumn="0" w:lastRowFirstColumn="0" w:lastRowLastColumn="0"/>
            <w:tcW w:w="1872" w:type="dxa"/>
          </w:tcPr>
          <w:p w14:paraId="4C9A5734" w14:textId="77777777" w:rsidR="00DC181F" w:rsidRDefault="001C4E0A">
            <w:r>
              <w:t>6. Data readiness and information architecture (Copilot-ready SharePoint)</w:t>
            </w:r>
          </w:p>
        </w:tc>
        <w:tc>
          <w:tcPr>
            <w:tcW w:w="1872" w:type="dxa"/>
          </w:tcPr>
          <w:p w14:paraId="58104A4B" w14:textId="77777777" w:rsidR="00DC181F" w:rsidRDefault="001C4E0A">
            <w:pPr>
              <w:cnfStyle w:val="000000000000" w:firstRow="0" w:lastRow="0" w:firstColumn="0" w:lastColumn="0" w:oddVBand="0" w:evenVBand="0" w:oddHBand="0" w:evenHBand="0" w:firstRowFirstColumn="0" w:firstRowLastColumn="0" w:lastRowFirstColumn="0" w:lastRowLastColumn="0"/>
            </w:pPr>
            <w:r>
              <w:t>Near-term (6–18 months)</w:t>
            </w:r>
          </w:p>
        </w:tc>
        <w:tc>
          <w:tcPr>
            <w:tcW w:w="1872" w:type="dxa"/>
          </w:tcPr>
          <w:p w14:paraId="03FF0860" w14:textId="77777777" w:rsidR="00DC181F" w:rsidRDefault="001C4E0A">
            <w:pPr>
              <w:cnfStyle w:val="000000000000" w:firstRow="0" w:lastRow="0" w:firstColumn="0" w:lastColumn="0" w:oddVBand="0" w:evenVBand="0" w:oddHBand="0" w:evenHBand="0" w:firstRowFirstColumn="0" w:firstRowLastColumn="0" w:lastRowFirstColumn="0" w:lastRowLastColumn="0"/>
            </w:pPr>
            <w:r>
              <w:t>High; prerequisite for client AI</w:t>
            </w:r>
          </w:p>
        </w:tc>
        <w:tc>
          <w:tcPr>
            <w:tcW w:w="1872" w:type="dxa"/>
          </w:tcPr>
          <w:p w14:paraId="69F0F848" w14:textId="77777777" w:rsidR="00DC181F" w:rsidRDefault="001C4E0A">
            <w:pPr>
              <w:cnfStyle w:val="000000000000" w:firstRow="0" w:lastRow="0" w:firstColumn="0" w:lastColumn="0" w:oddVBand="0" w:evenVBand="0" w:oddHBand="0" w:evenHBand="0" w:firstRowFirstColumn="0" w:firstRowLastColumn="0" w:lastRowFirstColumn="0" w:lastRowLastColumn="0"/>
            </w:pPr>
            <w:r>
              <w:t>Medium-high</w:t>
            </w:r>
          </w:p>
        </w:tc>
        <w:tc>
          <w:tcPr>
            <w:tcW w:w="1872" w:type="dxa"/>
          </w:tcPr>
          <w:p w14:paraId="5C71BED7" w14:textId="77777777" w:rsidR="00DC181F" w:rsidRDefault="001C4E0A">
            <w:pPr>
              <w:cnfStyle w:val="000000000000" w:firstRow="0" w:lastRow="0" w:firstColumn="0" w:lastColumn="0" w:oddVBand="0" w:evenVBand="0" w:oddHBand="0" w:evenHBand="0" w:firstRowFirstColumn="0" w:firstRowLastColumn="0" w:lastRowFirstColumn="0" w:lastRowLastColumn="0"/>
            </w:pPr>
            <w:r>
              <w:t>High</w:t>
            </w:r>
          </w:p>
        </w:tc>
      </w:tr>
      <w:tr w:rsidR="00DC181F" w14:paraId="09B49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FA122EE" w14:textId="77777777" w:rsidR="00DC181F" w:rsidRDefault="001C4E0A">
            <w:r>
              <w:t>7. Business-process automation and managed-AI retainers</w:t>
            </w:r>
          </w:p>
        </w:tc>
        <w:tc>
          <w:tcPr>
            <w:tcW w:w="1872" w:type="dxa"/>
          </w:tcPr>
          <w:p w14:paraId="63C60749" w14:textId="77777777" w:rsidR="00DC181F" w:rsidRDefault="001C4E0A">
            <w:pPr>
              <w:cnfStyle w:val="000000100000" w:firstRow="0" w:lastRow="0" w:firstColumn="0" w:lastColumn="0" w:oddVBand="0" w:evenVBand="0" w:oddHBand="1" w:evenHBand="0" w:firstRowFirstColumn="0" w:firstRowLastColumn="0" w:lastRowFirstColumn="0" w:lastRowLastColumn="0"/>
            </w:pPr>
            <w:r>
              <w:t>Near-term (6–24 months)</w:t>
            </w:r>
          </w:p>
        </w:tc>
        <w:tc>
          <w:tcPr>
            <w:tcW w:w="1872" w:type="dxa"/>
          </w:tcPr>
          <w:p w14:paraId="3F125B0E"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(millions of agents built in a year on Copilot Studio)</w:t>
            </w:r>
          </w:p>
        </w:tc>
        <w:tc>
          <w:tcPr>
            <w:tcW w:w="1872" w:type="dxa"/>
          </w:tcPr>
          <w:p w14:paraId="3E3BF244" w14:textId="77777777" w:rsidR="00DC181F" w:rsidRDefault="001C4E0A">
            <w:pPr>
              <w:cnfStyle w:val="000000100000" w:firstRow="0" w:lastRow="0" w:firstColumn="0" w:lastColumn="0" w:oddVBand="0" w:evenVBand="0" w:oddHBand="1" w:evenHBand="0" w:firstRowFirstColumn="0" w:firstRowLastColumn="0" w:lastRowFirstColumn="0" w:lastRowLastColumn="0"/>
            </w:pPr>
            <w:r>
              <w:t>High once productised</w:t>
            </w:r>
          </w:p>
        </w:tc>
        <w:tc>
          <w:tcPr>
            <w:tcW w:w="1872" w:type="dxa"/>
          </w:tcPr>
          <w:p w14:paraId="1CC9EDCD" w14:textId="77777777" w:rsidR="00DC181F" w:rsidRDefault="001C4E0A">
            <w:pPr>
              <w:cnfStyle w:val="000000100000" w:firstRow="0" w:lastRow="0" w:firstColumn="0" w:lastColumn="0" w:oddVBand="0" w:evenVBand="0" w:oddHBand="1" w:evenHBand="0" w:firstRowFirstColumn="0" w:firstRowLastColumn="0" w:lastRowFirstColumn="0" w:lastRowLastColumn="0"/>
            </w:pPr>
            <w:r>
              <w:t>Medium-high; process IP accumulates</w:t>
            </w:r>
          </w:p>
        </w:tc>
      </w:tr>
      <w:tr w:rsidR="00DC181F" w14:paraId="3493B6E0" w14:textId="77777777">
        <w:tc>
          <w:tcPr>
            <w:cnfStyle w:val="001000000000" w:firstRow="0" w:lastRow="0" w:firstColumn="1" w:lastColumn="0" w:oddVBand="0" w:evenVBand="0" w:oddHBand="0" w:evenHBand="0" w:firstRowFirstColumn="0" w:firstRowLastColumn="0" w:lastRowFirstColumn="0" w:lastRowLastColumn="0"/>
            <w:tcW w:w="1872" w:type="dxa"/>
          </w:tcPr>
          <w:p w14:paraId="6FE3F2D9" w14:textId="77777777" w:rsidR="00DC181F" w:rsidRDefault="001C4E0A">
            <w:r>
              <w:t>8. Vertical specialisation with productised IP / subscription platform pricing</w:t>
            </w:r>
          </w:p>
        </w:tc>
        <w:tc>
          <w:tcPr>
            <w:tcW w:w="1872" w:type="dxa"/>
          </w:tcPr>
          <w:p w14:paraId="16E86812" w14:textId="77777777" w:rsidR="00DC181F" w:rsidRDefault="001C4E0A">
            <w:pPr>
              <w:cnfStyle w:val="000000000000" w:firstRow="0" w:lastRow="0" w:firstColumn="0" w:lastColumn="0" w:oddVBand="0" w:evenVBand="0" w:oddHBand="0" w:evenHBand="0" w:firstRowFirstColumn="0" w:firstRowLastColumn="0" w:lastRowFirstColumn="0" w:lastRowLastColumn="0"/>
            </w:pPr>
            <w:r>
              <w:t>12–36 months</w:t>
            </w:r>
          </w:p>
        </w:tc>
        <w:tc>
          <w:tcPr>
            <w:tcW w:w="1872" w:type="dxa"/>
          </w:tcPr>
          <w:p w14:paraId="6CED2A1E" w14:textId="77777777" w:rsidR="00DC181F" w:rsidRDefault="001C4E0A">
            <w:pPr>
              <w:cnfStyle w:val="000000000000" w:firstRow="0" w:lastRow="0" w:firstColumn="0" w:lastColumn="0" w:oddVBand="0" w:evenVBand="0" w:oddHBand="0" w:evenHBand="0" w:firstRowFirstColumn="0" w:firstRowLastColumn="0" w:lastRowFirstColumn="0" w:lastRowLastColumn="0"/>
            </w:pPr>
            <w:r>
              <w:t>Medium-high within niche</w:t>
            </w:r>
          </w:p>
        </w:tc>
        <w:tc>
          <w:tcPr>
            <w:tcW w:w="1872" w:type="dxa"/>
          </w:tcPr>
          <w:p w14:paraId="6175A7D9" w14:textId="77777777" w:rsidR="00DC181F" w:rsidRDefault="001C4E0A">
            <w:pPr>
              <w:cnfStyle w:val="000000000000" w:firstRow="0" w:lastRow="0" w:firstColumn="0" w:lastColumn="0" w:oddVBand="0" w:evenVBand="0" w:oddHBand="0" w:evenHBand="0" w:firstRowFirstColumn="0" w:firstRowLastColumn="0" w:lastRowFirstColumn="0" w:lastRowLastColumn="0"/>
            </w:pPr>
            <w:r>
              <w:t>Very high (15–30% EBITDA band)</w:t>
            </w:r>
          </w:p>
        </w:tc>
        <w:tc>
          <w:tcPr>
            <w:tcW w:w="1872" w:type="dxa"/>
          </w:tcPr>
          <w:p w14:paraId="79B51FD9" w14:textId="77777777" w:rsidR="00DC181F" w:rsidRDefault="001C4E0A">
            <w:pPr>
              <w:cnfStyle w:val="000000000000" w:firstRow="0" w:lastRow="0" w:firstColumn="0" w:lastColumn="0" w:oddVBand="0" w:evenVBand="0" w:oddHBand="0" w:evenHBand="0" w:firstRowFirstColumn="0" w:firstRowLastColumn="0" w:lastRowFirstColumn="0" w:lastRowLastColumn="0"/>
            </w:pPr>
            <w:r>
              <w:t>Very high; compliance depth is sticky</w:t>
            </w:r>
          </w:p>
        </w:tc>
      </w:tr>
    </w:tbl>
    <w:p w14:paraId="21DB90B6" w14:textId="77777777" w:rsidR="00DC181F" w:rsidRDefault="001C4E0A">
      <w:r>
        <w:t>Two notes on sequencing. Security and internal AI adoption rank first because they defend the existing revenue base while everything else is built; an MSP that loses its clients to a breach or its margins to a faster competitor never reaches the later opportunities. Vertical IP ranks last on urgency only because it takes longest to build; its margin and defensibility scores are among the highest, and firms that begin now will own the niches by 2030.</w:t>
      </w:r>
    </w:p>
    <w:p w14:paraId="7F4B47B7" w14:textId="77777777" w:rsidR="00DC181F" w:rsidRDefault="001C4E0A">
      <w:pPr>
        <w:pStyle w:val="Heading2"/>
      </w:pPr>
      <w:bookmarkStart w:id="42" w:name="_Toc236412160"/>
      <w:r>
        <w:t>10.1 Operating-model maturity ladder</w:t>
      </w:r>
      <w:bookmarkEnd w:id="42"/>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5EF8ED75"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060B4121" w14:textId="77777777" w:rsidR="00DC181F" w:rsidRDefault="001C4E0A">
            <w:r>
              <w:t>Level</w:t>
            </w:r>
          </w:p>
        </w:tc>
        <w:tc>
          <w:tcPr>
            <w:tcW w:w="3120" w:type="dxa"/>
          </w:tcPr>
          <w:p w14:paraId="78CE3606" w14:textId="77777777" w:rsidR="00DC181F" w:rsidRDefault="001C4E0A">
            <w:pPr>
              <w:cnfStyle w:val="100000000000" w:firstRow="1" w:lastRow="0" w:firstColumn="0" w:lastColumn="0" w:oddVBand="0" w:evenVBand="0" w:oddHBand="0" w:evenHBand="0" w:firstRowFirstColumn="0" w:firstRowLastColumn="0" w:lastRowFirstColumn="0" w:lastRowLastColumn="0"/>
            </w:pPr>
            <w:r>
              <w:t>Operating model</w:t>
            </w:r>
          </w:p>
        </w:tc>
        <w:tc>
          <w:tcPr>
            <w:tcW w:w="3120" w:type="dxa"/>
          </w:tcPr>
          <w:p w14:paraId="19FB7660" w14:textId="77777777" w:rsidR="00DC181F" w:rsidRDefault="001C4E0A">
            <w:pPr>
              <w:cnfStyle w:val="100000000000" w:firstRow="1" w:lastRow="0" w:firstColumn="0" w:lastColumn="0" w:oddVBand="0" w:evenVBand="0" w:oddHBand="0" w:evenHBand="0" w:firstRowFirstColumn="0" w:firstRowLastColumn="0" w:lastRowFirstColumn="0" w:lastRowLastColumn="0"/>
            </w:pPr>
            <w:r>
              <w:t>Upgrade path</w:t>
            </w:r>
          </w:p>
        </w:tc>
      </w:tr>
      <w:tr w:rsidR="00DC181F" w14:paraId="1A569C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BA7E45" w14:textId="77777777" w:rsidR="00DC181F" w:rsidRDefault="001C4E0A">
            <w:r>
              <w:t>1. Reactive generalist</w:t>
            </w:r>
          </w:p>
        </w:tc>
        <w:tc>
          <w:tcPr>
            <w:tcW w:w="3120" w:type="dxa"/>
          </w:tcPr>
          <w:p w14:paraId="238ACB99" w14:textId="77777777" w:rsidR="00DC181F" w:rsidRDefault="001C4E0A">
            <w:pPr>
              <w:cnfStyle w:val="000000100000" w:firstRow="0" w:lastRow="0" w:firstColumn="0" w:lastColumn="0" w:oddVBand="0" w:evenVBand="0" w:oddHBand="1" w:evenHBand="0" w:firstRowFirstColumn="0" w:firstRowLastColumn="0" w:lastRowFirstColumn="0" w:lastRowLastColumn="0"/>
            </w:pPr>
            <w:r>
              <w:t>Break-fix habits inside a managed contract; weak documentation; high ticket volume; founder-dependent.</w:t>
            </w:r>
          </w:p>
        </w:tc>
        <w:tc>
          <w:tcPr>
            <w:tcW w:w="3120" w:type="dxa"/>
          </w:tcPr>
          <w:p w14:paraId="1EB17EB5" w14:textId="77777777" w:rsidR="00DC181F" w:rsidRDefault="001C4E0A">
            <w:pPr>
              <w:cnfStyle w:val="000000100000" w:firstRow="0" w:lastRow="0" w:firstColumn="0" w:lastColumn="0" w:oddVBand="0" w:evenVBand="0" w:oddHBand="1" w:evenHBand="0" w:firstRowFirstColumn="0" w:firstRowLastColumn="0" w:lastRowFirstColumn="0" w:lastRowLastColumn="0"/>
            </w:pPr>
            <w:r>
              <w:t>Standardise services; clean intake; document.</w:t>
            </w:r>
          </w:p>
        </w:tc>
      </w:tr>
      <w:tr w:rsidR="00DC181F" w14:paraId="4EAFCBA0" w14:textId="77777777">
        <w:tc>
          <w:tcPr>
            <w:cnfStyle w:val="001000000000" w:firstRow="0" w:lastRow="0" w:firstColumn="1" w:lastColumn="0" w:oddVBand="0" w:evenVBand="0" w:oddHBand="0" w:evenHBand="0" w:firstRowFirstColumn="0" w:firstRowLastColumn="0" w:lastRowFirstColumn="0" w:lastRowLastColumn="0"/>
            <w:tcW w:w="3120" w:type="dxa"/>
          </w:tcPr>
          <w:p w14:paraId="07B438F0" w14:textId="77777777" w:rsidR="00DC181F" w:rsidRDefault="001C4E0A">
            <w:r>
              <w:t>2. Managed baseline</w:t>
            </w:r>
          </w:p>
        </w:tc>
        <w:tc>
          <w:tcPr>
            <w:tcW w:w="3120" w:type="dxa"/>
          </w:tcPr>
          <w:p w14:paraId="27F8F6D4" w14:textId="77777777" w:rsidR="00DC181F" w:rsidRDefault="001C4E0A">
            <w:pPr>
              <w:cnfStyle w:val="000000000000" w:firstRow="0" w:lastRow="0" w:firstColumn="0" w:lastColumn="0" w:oddVBand="0" w:evenVBand="0" w:oddHBand="0" w:evenHBand="0" w:firstRowFirstColumn="0" w:firstRowLastColumn="0" w:lastRowFirstColumn="0" w:lastRowLastColumn="0"/>
            </w:pPr>
            <w:r>
              <w:t>Basic RMM/PSA; fixed-fee support; some recurring process. Exposed to platform automation.</w:t>
            </w:r>
          </w:p>
        </w:tc>
        <w:tc>
          <w:tcPr>
            <w:tcW w:w="3120" w:type="dxa"/>
          </w:tcPr>
          <w:p w14:paraId="1521D9DE" w14:textId="77777777" w:rsidR="00DC181F" w:rsidRDefault="001C4E0A">
            <w:pPr>
              <w:cnfStyle w:val="000000000000" w:firstRow="0" w:lastRow="0" w:firstColumn="0" w:lastColumn="0" w:oddVBand="0" w:evenVBand="0" w:oddHBand="0" w:evenHBand="0" w:firstRowFirstColumn="0" w:firstRowLastColumn="0" w:lastRowFirstColumn="0" w:lastRowLastColumn="0"/>
            </w:pPr>
            <w:r>
              <w:t>Automate L1; improve reporting/evidence.</w:t>
            </w:r>
          </w:p>
        </w:tc>
      </w:tr>
      <w:tr w:rsidR="00DC181F" w14:paraId="48D1D2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2398E2" w14:textId="77777777" w:rsidR="00DC181F" w:rsidRDefault="001C4E0A">
            <w:r>
              <w:t>3. Security-led operator</w:t>
            </w:r>
          </w:p>
        </w:tc>
        <w:tc>
          <w:tcPr>
            <w:tcW w:w="3120" w:type="dxa"/>
          </w:tcPr>
          <w:p w14:paraId="75ACF52F" w14:textId="77777777" w:rsidR="00DC181F" w:rsidRDefault="001C4E0A">
            <w:pPr>
              <w:cnfStyle w:val="000000100000" w:firstRow="0" w:lastRow="0" w:firstColumn="0" w:lastColumn="0" w:oddVBand="0" w:evenVBand="0" w:oddHBand="1" w:evenHBand="0" w:firstRowFirstColumn="0" w:firstRowLastColumn="0" w:lastRowFirstColumn="0" w:lastRowLastColumn="0"/>
            </w:pPr>
            <w:r>
              <w:t>Identity, endpoint, backup, partner MDR, incident readiness. Higher trust, recurring risk services.</w:t>
            </w:r>
          </w:p>
        </w:tc>
        <w:tc>
          <w:tcPr>
            <w:tcW w:w="3120" w:type="dxa"/>
          </w:tcPr>
          <w:p w14:paraId="0746F92C" w14:textId="77777777" w:rsidR="00DC181F" w:rsidRDefault="001C4E0A">
            <w:pPr>
              <w:cnfStyle w:val="000000100000" w:firstRow="0" w:lastRow="0" w:firstColumn="0" w:lastColumn="0" w:oddVBand="0" w:evenVBand="0" w:oddHBand="1" w:evenHBand="0" w:firstRowFirstColumn="0" w:firstRowLastColumn="0" w:lastRowFirstColumn="0" w:lastRowLastColumn="0"/>
            </w:pPr>
            <w:r>
              <w:t>Add compliance-evidence automation.</w:t>
            </w:r>
          </w:p>
        </w:tc>
      </w:tr>
      <w:tr w:rsidR="00DC181F" w14:paraId="088BD199" w14:textId="77777777">
        <w:tc>
          <w:tcPr>
            <w:cnfStyle w:val="001000000000" w:firstRow="0" w:lastRow="0" w:firstColumn="1" w:lastColumn="0" w:oddVBand="0" w:evenVBand="0" w:oddHBand="0" w:evenHBand="0" w:firstRowFirstColumn="0" w:firstRowLastColumn="0" w:lastRowFirstColumn="0" w:lastRowLastColumn="0"/>
            <w:tcW w:w="3120" w:type="dxa"/>
          </w:tcPr>
          <w:p w14:paraId="34832180" w14:textId="77777777" w:rsidR="00DC181F" w:rsidRDefault="001C4E0A">
            <w:r>
              <w:t>4. AI / workflow advisor</w:t>
            </w:r>
          </w:p>
        </w:tc>
        <w:tc>
          <w:tcPr>
            <w:tcW w:w="3120" w:type="dxa"/>
          </w:tcPr>
          <w:p w14:paraId="25A90D49" w14:textId="77777777" w:rsidR="00DC181F" w:rsidRDefault="001C4E0A">
            <w:pPr>
              <w:cnfStyle w:val="000000000000" w:firstRow="0" w:lastRow="0" w:firstColumn="0" w:lastColumn="0" w:oddVBand="0" w:evenVBand="0" w:oddHBand="0" w:evenHBand="0" w:firstRowFirstColumn="0" w:firstRowLastColumn="0" w:lastRowFirstColumn="0" w:lastRowLastColumn="0"/>
            </w:pPr>
            <w:r>
              <w:t>AI readiness, data governance, workflow redesign, adoption metrics. Differentiated advisory pull-through.</w:t>
            </w:r>
          </w:p>
        </w:tc>
        <w:tc>
          <w:tcPr>
            <w:tcW w:w="3120" w:type="dxa"/>
          </w:tcPr>
          <w:p w14:paraId="616F5E91" w14:textId="77777777" w:rsidR="00DC181F" w:rsidRDefault="001C4E0A">
            <w:pPr>
              <w:cnfStyle w:val="000000000000" w:firstRow="0" w:lastRow="0" w:firstColumn="0" w:lastColumn="0" w:oddVBand="0" w:evenVBand="0" w:oddHBand="0" w:evenHBand="0" w:firstRowFirstColumn="0" w:firstRowLastColumn="0" w:lastRowFirstColumn="0" w:lastRowLastColumn="0"/>
            </w:pPr>
            <w:r>
              <w:t>Package IP; verticalise.</w:t>
            </w:r>
          </w:p>
        </w:tc>
      </w:tr>
      <w:tr w:rsidR="00DC181F" w14:paraId="3E78AD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F483CA" w14:textId="77777777" w:rsidR="00DC181F" w:rsidRDefault="001C4E0A">
            <w:r>
              <w:t>5. Outcome platform</w:t>
            </w:r>
          </w:p>
        </w:tc>
        <w:tc>
          <w:tcPr>
            <w:tcW w:w="3120" w:type="dxa"/>
          </w:tcPr>
          <w:p w14:paraId="1D70D8D7" w14:textId="77777777" w:rsidR="00DC181F" w:rsidRDefault="001C4E0A">
            <w:pPr>
              <w:cnfStyle w:val="000000100000" w:firstRow="0" w:lastRow="0" w:firstColumn="0" w:lastColumn="0" w:oddVBand="0" w:evenVBand="0" w:oddHBand="1" w:evenHBand="0" w:firstRowFirstColumn="0" w:firstRowLastColumn="0" w:lastRowFirstColumn="0" w:lastRowLastColumn="0"/>
            </w:pPr>
            <w:r>
              <w:t xml:space="preserve">Verticalised, evidence-led, </w:t>
            </w:r>
            <w:r>
              <w:lastRenderedPageBreak/>
              <w:t>automated, low founder dependence. Premium valuation and retention.</w:t>
            </w:r>
          </w:p>
        </w:tc>
        <w:tc>
          <w:tcPr>
            <w:tcW w:w="3120" w:type="dxa"/>
          </w:tcPr>
          <w:p w14:paraId="0D3B7EB5" w14:textId="77777777" w:rsidR="00DC181F" w:rsidRDefault="001C4E0A">
            <w:pPr>
              <w:cnfStyle w:val="000000100000" w:firstRow="0" w:lastRow="0" w:firstColumn="0" w:lastColumn="0" w:oddVBand="0" w:evenVBand="0" w:oddHBand="1" w:evenHBand="0" w:firstRowFirstColumn="0" w:firstRowLastColumn="0" w:lastRowFirstColumn="0" w:lastRowLastColumn="0"/>
            </w:pPr>
            <w:r>
              <w:lastRenderedPageBreak/>
              <w:t xml:space="preserve">Scale via M&amp;A, partnerships or </w:t>
            </w:r>
            <w:r>
              <w:lastRenderedPageBreak/>
              <w:t>productised services.</w:t>
            </w:r>
          </w:p>
        </w:tc>
      </w:tr>
    </w:tbl>
    <w:p w14:paraId="36B77A48" w14:textId="77777777" w:rsidR="00DC181F" w:rsidRDefault="001C4E0A">
      <w:r>
        <w:lastRenderedPageBreak/>
        <w:br w:type="page"/>
      </w:r>
    </w:p>
    <w:p w14:paraId="37DAFEEA" w14:textId="77777777" w:rsidR="00DC181F" w:rsidRDefault="001C4E0A">
      <w:pPr>
        <w:pStyle w:val="Heading1"/>
      </w:pPr>
      <w:bookmarkStart w:id="43" w:name="_Toc236412161"/>
      <w:r>
        <w:lastRenderedPageBreak/>
        <w:t>11. Recommended Actions — A Transformation Roadmap</w:t>
      </w:r>
      <w:bookmarkEnd w:id="43"/>
    </w:p>
    <w:p w14:paraId="677219EB" w14:textId="77777777" w:rsidR="00DC181F" w:rsidRDefault="001C4E0A">
      <w:pPr>
        <w:pStyle w:val="Heading2"/>
      </w:pPr>
      <w:bookmarkStart w:id="44" w:name="_Toc236412162"/>
      <w:r>
        <w:t>11.1 Service evolution (what to sell)</w:t>
      </w:r>
      <w:bookmarkEnd w:id="44"/>
    </w:p>
    <w:p w14:paraId="1F592E14" w14:textId="77777777" w:rsidR="00DC181F" w:rsidRDefault="001C4E0A">
      <w:r>
        <w:t>Lead every client conversation with security and risk rather than device counts. Build or partner for MDR rather than reselling point tools: co-delivery with a specialist platform gives a mid-size MSP credible 24/7 coverage without SOC capital, and the market data shows security specialists growing at twice the generalist rate with premium funding. Stand up an AI advisory practice around the demand that already exists — Copilot readiness, deployment and adoption; agent design in Copilot Studio; and AI gover</w:t>
      </w:r>
      <w:r>
        <w:t>nance, which pairs naturally with existing compliance work. AI governance-as-a-service — managing the data readiness, access control and oversight of clients' AI agents — is the emerging high-margin frontier as non-human identities multiply, and it directly addresses IDC's prediction that 35 per cent of large enterprises will need justification to prefer human talent over agentic resources by 2030. Add data services (tenant hygiene, information architecture, Purview governance) as the prerequisite engagemen</w:t>
      </w:r>
      <w:r>
        <w:t>t for every client AI project — the same redesign work McKinsey finds separates the 39 per cent of firms seeing profit gains from the majority that do not. Retain the help desk, but treat it as an automated product line rather than a labour pool.</w:t>
      </w:r>
    </w:p>
    <w:p w14:paraId="3B4989B6" w14:textId="77777777" w:rsidR="00DC181F" w:rsidRDefault="001C4E0A">
      <w:pPr>
        <w:pStyle w:val="Heading2"/>
      </w:pPr>
      <w:bookmarkStart w:id="45" w:name="_Toc236412163"/>
      <w:r>
        <w:t>11.2 Operational evolution (how to deliver)</w:t>
      </w:r>
      <w:bookmarkEnd w:id="45"/>
    </w:p>
    <w:p w14:paraId="0F34D9CC" w14:textId="77777777" w:rsidR="00DC181F" w:rsidRDefault="001C4E0A">
      <w:r>
        <w:t>Automate your own delivery first. Build an AI work register: for each task, record its trigger, data source, risk level, runbook maturity, approval boundary, rollback path and human owner, and automate L1/L2 triage, documentation, onboarding and alert handling where bounded. Measure deflection honestly against the 10-to-20-per-cent field baseline rather than vendor claims, and instrument endpoints-per-technician and gross margin per service line monthly. Set an agent-boundary policy before deploying autonom</w:t>
      </w:r>
      <w:r>
        <w:t>ous workflows — least-privilege access, human-in-the-loop for high-stakes actions, audit trails and staged rollout; ServiceNow's "role automation" architecture, in which agents inherit permissions rather than reasoning their way into them, is a useful design template. Become "customer zero": dogfood Copilot, Defender and Intune internally to build authentic expertise and credible client narratives — and to earn the certification-validated skilling now required as Microsoft retires assessment-based shortcuts</w:t>
      </w:r>
      <w:r>
        <w:t>. Redesign the delivery pyramid on the assumption that L1 hiring falls toward zero over five years, and create explicit progression paths from L1 into security operations, automation engineering and client advisory. Measure by outcomes, not activity: deflection rate, first-contact resolution, MTTR, tickets per user, exposure-score trend, MDR attach rate, adoption and workflow cycle-time reduction. Track revenue per employee as the primary scale metric, targeting movement from the $100,000-to-$150,000 labour</w:t>
      </w:r>
      <w:r>
        <w:t xml:space="preserve"> band toward software-assisted economics.</w:t>
      </w:r>
    </w:p>
    <w:p w14:paraId="79940FF1" w14:textId="77777777" w:rsidR="00DC181F" w:rsidRDefault="001C4E0A">
      <w:pPr>
        <w:pStyle w:val="Heading2"/>
      </w:pPr>
      <w:bookmarkStart w:id="46" w:name="_Toc236412164"/>
      <w:r>
        <w:t>11.3 Commercial evolution (how to price)</w:t>
      </w:r>
      <w:bookmarkEnd w:id="46"/>
    </w:p>
    <w:p w14:paraId="40349087" w14:textId="77777777" w:rsidR="00DC181F" w:rsidRDefault="001C4E0A">
      <w:r>
        <w:t xml:space="preserve">Move deliberately off per-user, per-device and ticket-denominated value before clients force the issue. The replacement structures are already visible in the market: outcome-based pricing (fees tied to resolution, uptime, risk posture or audit results, as Zendesk now bills per verified resolution); platform pricing (a base subscription for the automated service platform plus consumption for exceptions); subscription intellectual property (vertical compliance packs, </w:t>
      </w:r>
      <w:r>
        <w:lastRenderedPageBreak/>
        <w:t>governance frameworks, reporting products); and managed-AI offerings (agent estates operated for a monthly fee under governance the client can audit).</w:t>
      </w:r>
    </w:p>
    <w:tbl>
      <w:tblPr>
        <w:tblStyle w:val="LightShading-Accent1"/>
        <w:tblW w:w="5000" w:type="pct"/>
        <w:tblLayout w:type="fixed"/>
        <w:tblLook w:val="04A0" w:firstRow="1" w:lastRow="0" w:firstColumn="1" w:lastColumn="0" w:noHBand="0" w:noVBand="1"/>
      </w:tblPr>
      <w:tblGrid>
        <w:gridCol w:w="4788"/>
        <w:gridCol w:w="4788"/>
      </w:tblGrid>
      <w:tr w:rsidR="00DC181F" w14:paraId="7978E6C2"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3B996E2C" w14:textId="77777777" w:rsidR="00DC181F" w:rsidRDefault="001C4E0A">
            <w:r>
              <w:t>Transition away from…</w:t>
            </w:r>
          </w:p>
        </w:tc>
        <w:tc>
          <w:tcPr>
            <w:tcW w:w="4680" w:type="dxa"/>
          </w:tcPr>
          <w:p w14:paraId="082473BE" w14:textId="77777777" w:rsidR="00DC181F" w:rsidRDefault="001C4E0A">
            <w:pPr>
              <w:cnfStyle w:val="100000000000" w:firstRow="1" w:lastRow="0" w:firstColumn="0" w:lastColumn="0" w:oddVBand="0" w:evenVBand="0" w:oddHBand="0" w:evenHBand="0" w:firstRowFirstColumn="0" w:firstRowLastColumn="0" w:lastRowFirstColumn="0" w:lastRowLastColumn="0"/>
            </w:pPr>
            <w:r>
              <w:t>…toward…</w:t>
            </w:r>
          </w:p>
        </w:tc>
      </w:tr>
      <w:tr w:rsidR="00DC181F" w14:paraId="3598BA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399D29" w14:textId="77777777" w:rsidR="00DC181F" w:rsidRDefault="001C4E0A">
            <w:r>
              <w:t>Per-user pricing</w:t>
            </w:r>
          </w:p>
        </w:tc>
        <w:tc>
          <w:tcPr>
            <w:tcW w:w="4680" w:type="dxa"/>
          </w:tcPr>
          <w:p w14:paraId="734EEAF5" w14:textId="77777777" w:rsidR="00DC181F" w:rsidRDefault="001C4E0A">
            <w:pPr>
              <w:cnfStyle w:val="000000100000" w:firstRow="0" w:lastRow="0" w:firstColumn="0" w:lastColumn="0" w:oddVBand="0" w:evenVBand="0" w:oddHBand="1" w:evenHBand="0" w:firstRowFirstColumn="0" w:firstRowLastColumn="0" w:lastRowFirstColumn="0" w:lastRowLastColumn="0"/>
            </w:pPr>
            <w:r>
              <w:t>Outcome-based pricing (uptime, risk reduction, productivity)</w:t>
            </w:r>
          </w:p>
        </w:tc>
      </w:tr>
      <w:tr w:rsidR="00DC181F" w14:paraId="70C00944" w14:textId="77777777">
        <w:tc>
          <w:tcPr>
            <w:cnfStyle w:val="001000000000" w:firstRow="0" w:lastRow="0" w:firstColumn="1" w:lastColumn="0" w:oddVBand="0" w:evenVBand="0" w:oddHBand="0" w:evenHBand="0" w:firstRowFirstColumn="0" w:firstRowLastColumn="0" w:lastRowFirstColumn="0" w:lastRowLastColumn="0"/>
            <w:tcW w:w="4680" w:type="dxa"/>
          </w:tcPr>
          <w:p w14:paraId="3F3C959E" w14:textId="77777777" w:rsidR="00DC181F" w:rsidRDefault="001C4E0A">
            <w:r>
              <w:t>Per-device pricing</w:t>
            </w:r>
          </w:p>
        </w:tc>
        <w:tc>
          <w:tcPr>
            <w:tcW w:w="4680" w:type="dxa"/>
          </w:tcPr>
          <w:p w14:paraId="1244B427" w14:textId="77777777" w:rsidR="00DC181F" w:rsidRDefault="001C4E0A">
            <w:pPr>
              <w:cnfStyle w:val="000000000000" w:firstRow="0" w:lastRow="0" w:firstColumn="0" w:lastColumn="0" w:oddVBand="0" w:evenVBand="0" w:oddHBand="0" w:evenHBand="0" w:firstRowFirstColumn="0" w:firstRowLastColumn="0" w:lastRowFirstColumn="0" w:lastRowLastColumn="0"/>
            </w:pPr>
            <w:r>
              <w:t>Platform pricing / bundled managed AI</w:t>
            </w:r>
          </w:p>
        </w:tc>
      </w:tr>
      <w:tr w:rsidR="00DC181F" w14:paraId="2617F7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307263" w14:textId="77777777" w:rsidR="00DC181F" w:rsidRDefault="001C4E0A">
            <w:r>
              <w:t>Ticket-based value narratives</w:t>
            </w:r>
          </w:p>
        </w:tc>
        <w:tc>
          <w:tcPr>
            <w:tcW w:w="4680" w:type="dxa"/>
          </w:tcPr>
          <w:p w14:paraId="67A0FD08" w14:textId="77777777" w:rsidR="00DC181F" w:rsidRDefault="001C4E0A">
            <w:pPr>
              <w:cnfStyle w:val="000000100000" w:firstRow="0" w:lastRow="0" w:firstColumn="0" w:lastColumn="0" w:oddVBand="0" w:evenVBand="0" w:oddHBand="1" w:evenHBand="0" w:firstRowFirstColumn="0" w:firstRowLastColumn="0" w:lastRowFirstColumn="0" w:lastRowLastColumn="0"/>
            </w:pPr>
            <w:r>
              <w:t>Subscription intellectual property (productised offers)</w:t>
            </w:r>
          </w:p>
        </w:tc>
      </w:tr>
      <w:tr w:rsidR="00DC181F" w14:paraId="0BB93430" w14:textId="77777777">
        <w:tc>
          <w:tcPr>
            <w:cnfStyle w:val="001000000000" w:firstRow="0" w:lastRow="0" w:firstColumn="1" w:lastColumn="0" w:oddVBand="0" w:evenVBand="0" w:oddHBand="0" w:evenHBand="0" w:firstRowFirstColumn="0" w:firstRowLastColumn="0" w:lastRowFirstColumn="0" w:lastRowLastColumn="0"/>
            <w:tcW w:w="4680" w:type="dxa"/>
          </w:tcPr>
          <w:p w14:paraId="00720F9B" w14:textId="77777777" w:rsidR="00DC181F" w:rsidRDefault="001C4E0A">
            <w:r>
              <w:t>"Unlimited support" fixed fees</w:t>
            </w:r>
          </w:p>
        </w:tc>
        <w:tc>
          <w:tcPr>
            <w:tcW w:w="4680" w:type="dxa"/>
          </w:tcPr>
          <w:p w14:paraId="32CD5EC3" w14:textId="77777777" w:rsidR="00DC181F" w:rsidRDefault="001C4E0A">
            <w:pPr>
              <w:cnfStyle w:val="000000000000" w:firstRow="0" w:lastRow="0" w:firstColumn="0" w:lastColumn="0" w:oddVBand="0" w:evenVBand="0" w:oddHBand="0" w:evenHBand="0" w:firstRowFirstColumn="0" w:firstRowLastColumn="0" w:lastRowFirstColumn="0" w:lastRowLastColumn="0"/>
            </w:pPr>
            <w:r>
              <w:t>Managed-AI retainers + paid governance/compliance-evidence packs</w:t>
            </w:r>
          </w:p>
        </w:tc>
      </w:tr>
    </w:tbl>
    <w:p w14:paraId="5B13D024" w14:textId="77777777" w:rsidR="00DC181F" w:rsidRDefault="001C4E0A">
      <w:r>
        <w:t>Reprice at renewal with a value narrative, not a discount: the client keeps faster resolution and better security posture; the MSP keeps the efficiency gain that funds its transformation. Owners should also make a deliberate capital decision within 24 months: commit to building toward the 15-to-30-per-cent EBITDA specialist band, or sell into the consolidation while buyers still outnumber sellers above $1 million of EBITDA.</w:t>
      </w:r>
    </w:p>
    <w:p w14:paraId="2224EE34" w14:textId="77777777" w:rsidR="00DC181F" w:rsidRDefault="001C4E0A">
      <w:pPr>
        <w:pStyle w:val="Heading2"/>
      </w:pPr>
      <w:bookmarkStart w:id="47" w:name="_Toc236412165"/>
      <w:r>
        <w:t>11.4 The 90-day starting sequence</w:t>
      </w:r>
      <w:bookmarkEnd w:id="47"/>
    </w:p>
    <w:p w14:paraId="7DD2F915" w14:textId="77777777" w:rsidR="00DC181F" w:rsidRDefault="001C4E0A">
      <w:r>
        <w:t>Days 0–30: Stop selling "tickets". Reframe core managed services around uptime, security posture, compliance readiness and outcomes. Stand up your AI work register. Days 30–60: Automate the top three repeatable L1/L2 workflows internally; select a partner-led MDR; launch a Copilot-readiness assessment offer. Days 60–90: Convert quarterly business reviews into evidence-led risk and productivity reviews; pilot one outcome-based or platform price with a friendly client; document one packaged, repeatable offer.</w:t>
      </w:r>
    </w:p>
    <w:p w14:paraId="21AAA3AD" w14:textId="77777777" w:rsidR="00DC181F" w:rsidRDefault="001C4E0A">
      <w:r>
        <w:br w:type="page"/>
      </w:r>
    </w:p>
    <w:p w14:paraId="2A55DFDE" w14:textId="77777777" w:rsidR="00DC181F" w:rsidRDefault="001C4E0A">
      <w:pPr>
        <w:pStyle w:val="Heading1"/>
      </w:pPr>
      <w:bookmarkStart w:id="48" w:name="_Toc236412166"/>
      <w:r>
        <w:lastRenderedPageBreak/>
        <w:t>12. Risks and Counterarguments</w:t>
      </w:r>
      <w:bookmarkEnd w:id="48"/>
    </w:p>
    <w:p w14:paraId="3B7A0E15" w14:textId="77777777" w:rsidR="00DC181F" w:rsidRDefault="001C4E0A">
      <w:r>
        <w:t>A balanced thesis must hold both sides. The evidence genuinely supports arguments for survival and for disruption; the outcome for any individual MSP depends on choices, not fate.</w:t>
      </w:r>
    </w:p>
    <w:p w14:paraId="547B0B94" w14:textId="77777777" w:rsidR="00DC181F" w:rsidRDefault="001C4E0A">
      <w:pPr>
        <w:pStyle w:val="Heading2"/>
      </w:pPr>
      <w:bookmarkStart w:id="49" w:name="_Toc236412167"/>
      <w:r>
        <w:t>12.1 Arguments supporting MSP survival</w:t>
      </w:r>
      <w:bookmarkEnd w:id="49"/>
    </w:p>
    <w:p w14:paraId="0F77FF57" w14:textId="77777777" w:rsidR="00DC181F" w:rsidRDefault="001C4E0A">
      <w:r>
        <w:t>The bull case deserves a fair hearing, because parts of it are measurably true. Profitability at the top of the industry is at record highs, with best-in-class TSPs above 19 per cent adjusted EBITDA for five straight years and aggregate MSP EBITDA growing faster than revenue in 2024; enterprise managed-services contract value hit a record $40.7 billion in 2023; and the category is growing faster than most of the technology industry. Managed services are viewed as strategically essential, not optional: KPMG'</w:t>
      </w:r>
      <w:r>
        <w:t>s 2026 survey (research by IDC) finds 99 per cent of organisations call managed services a strategic priority and 87 per cent have embedded them directly in digital-transformation plans — the opposite of a category being bypassed. SMBs demonstrably cannot self-operate their technology estates: the IT skills shortage is valued at $5.5 trillion by 2026, 61 per cent of SMBs use an MSP precisely because they lack internal expertise (Datto), co-managed arrangements are growing rather than shrinking, and even Mic</w:t>
      </w:r>
      <w:r>
        <w:t>rosoft's own SMB economics case for Copilot — a Forrester study finding up to 353 per cent ROI — presumes skilled deployment of the kind partners provide. AI adoption is wide but shallow: 88 per cent use AI somewhere, but only about a third scale it and just 39 per cent see profit gains — a large, durable implementation-partner opportunity. Security demand is structural: a roughly 4.8 million workforce gap and cyber-insurance requirements sustain outsourced security demand for years, and 71 per cent of MSPs</w:t>
      </w:r>
      <w:r>
        <w:t xml:space="preserve"> already report cybersecurity as a growing revenue line. The AI threat may also be slower than forecast: Gartner expects over 40 per cent of agentic projects to be cancelled, MIT found roughly 95 per cent of generative-AI pilots deliver no return, field deflection runs far below advertised rates, and the flagship replace-humans case partially reversed on quality grounds. Finally, MSP client relationships carry real switching costs and trust — the same asset that let specialised travel agents prosper after t</w:t>
      </w:r>
      <w:r>
        <w:t>he platforms took ticketing.</w:t>
      </w:r>
    </w:p>
    <w:p w14:paraId="098B6687" w14:textId="77777777" w:rsidR="00DC181F" w:rsidRDefault="001C4E0A">
      <w:pPr>
        <w:pStyle w:val="Heading2"/>
      </w:pPr>
      <w:bookmarkStart w:id="50" w:name="_Toc236412168"/>
      <w:r>
        <w:t>12.2 Arguments supporting MSP disruption</w:t>
      </w:r>
      <w:bookmarkEnd w:id="50"/>
    </w:p>
    <w:p w14:paraId="43E90C2E" w14:textId="77777777" w:rsidR="00DC181F" w:rsidRDefault="001C4E0A">
      <w:r>
        <w:t>Against that stands a structurally consistent body of evidence. Gartner has now quantified the disruption: its October 2025 research states the obtainable managed-services opportunity for incumbent providers will be roughly half of today's by 2030 — the single strongest piece of evidence in this report for the disruption case. Organic growth at existing MSPs has stalled at 1 per cent with a growing loss-making tail. The core labour pool is being mechanised: agentic AI, native cloud operations, SaaS workflow</w:t>
      </w:r>
      <w:r>
        <w:t xml:space="preserve"> platforms and vendor-managed security absorb exactly the L1/L2, monitoring, triage and admin work MSPs monetise. IDC expects contracts themselves to change structurally: 30 per cent of IT services platformised and 30 per cent of contracts outcome-based by 2029, and 35 per cent of large enterprises needing justification to prefer human talent over agentic AI by 2030. Platform vendors are moving up-stack — Microsoft, AWS, Google and ServiceNow embed automation, troubleshooting, triage and governance directly</w:t>
      </w:r>
      <w:r>
        <w:t xml:space="preserve"> into products — and Microsoft's FY26 Q4 results (30 million-plus Copilot seats, Azure past $100 billion) show this is accelerating, not plateauing. Pricing pressure is structural: per-user/per-device fees are the easiest thing to benchmark and squeeze, and Kaseya's 2026 data shows deal sizes already shrinking (the </w:t>
      </w:r>
      <w:r>
        <w:lastRenderedPageBreak/>
        <w:t>share of $25,000-plus clients fell from 75 per cent to 41 per cent). Microsoft has withdrawn the program economics that subsidised small generalist resellers, while the channel's share of total I</w:t>
      </w:r>
      <w:r>
        <w:t>T spend declines toward two-thirds. Consolidation compounds it all, with record deal volumes and permanent-hold buyers absorbing the long tail, and seven historical platform shifts ended the same way for undifferentiated intermediaries.</w:t>
      </w:r>
    </w:p>
    <w:p w14:paraId="5E8510F5" w14:textId="77777777" w:rsidR="00DC181F" w:rsidRDefault="001C4E0A">
      <w:pPr>
        <w:pStyle w:val="Heading2"/>
      </w:pPr>
      <w:bookmarkStart w:id="51" w:name="_Toc236412169"/>
      <w:r>
        <w:t>12.3 Common owner objections — and the honest rebuttal</w:t>
      </w:r>
      <w:bookmarkEnd w:id="51"/>
    </w:p>
    <w:tbl>
      <w:tblPr>
        <w:tblStyle w:val="LightShading-Accent1"/>
        <w:tblW w:w="5000" w:type="pct"/>
        <w:tblLayout w:type="fixed"/>
        <w:tblLook w:val="04A0" w:firstRow="1" w:lastRow="0" w:firstColumn="1" w:lastColumn="0" w:noHBand="0" w:noVBand="1"/>
      </w:tblPr>
      <w:tblGrid>
        <w:gridCol w:w="3192"/>
        <w:gridCol w:w="3192"/>
        <w:gridCol w:w="3192"/>
      </w:tblGrid>
      <w:tr w:rsidR="00DC181F" w14:paraId="58620794" w14:textId="77777777" w:rsidTr="00DC181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20" w:type="dxa"/>
          </w:tcPr>
          <w:p w14:paraId="31E87573" w14:textId="77777777" w:rsidR="00DC181F" w:rsidRDefault="001C4E0A">
            <w:r>
              <w:t>Objection</w:t>
            </w:r>
          </w:p>
        </w:tc>
        <w:tc>
          <w:tcPr>
            <w:tcW w:w="3120" w:type="dxa"/>
          </w:tcPr>
          <w:p w14:paraId="3DEE8C94" w14:textId="77777777" w:rsidR="00DC181F" w:rsidRDefault="001C4E0A">
            <w:pPr>
              <w:cnfStyle w:val="100000000000" w:firstRow="1" w:lastRow="0" w:firstColumn="0" w:lastColumn="0" w:oddVBand="0" w:evenVBand="0" w:oddHBand="0" w:evenHBand="0" w:firstRowFirstColumn="0" w:firstRowLastColumn="0" w:lastRowFirstColumn="0" w:lastRowLastColumn="0"/>
            </w:pPr>
            <w:r>
              <w:t>Why it feels true</w:t>
            </w:r>
          </w:p>
        </w:tc>
        <w:tc>
          <w:tcPr>
            <w:tcW w:w="3120" w:type="dxa"/>
          </w:tcPr>
          <w:p w14:paraId="0393CE67" w14:textId="77777777" w:rsidR="00DC181F" w:rsidRDefault="001C4E0A">
            <w:pPr>
              <w:cnfStyle w:val="100000000000" w:firstRow="1" w:lastRow="0" w:firstColumn="0" w:lastColumn="0" w:oddVBand="0" w:evenVBand="0" w:oddHBand="0" w:evenHBand="0" w:firstRowFirstColumn="0" w:firstRowLastColumn="0" w:lastRowFirstColumn="0" w:lastRowLastColumn="0"/>
            </w:pPr>
            <w:r>
              <w:t>The rebuttal</w:t>
            </w:r>
          </w:p>
        </w:tc>
      </w:tr>
      <w:tr w:rsidR="00DC181F" w14:paraId="4DB988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C9A184" w14:textId="77777777" w:rsidR="00DC181F" w:rsidRDefault="001C4E0A">
            <w:r>
              <w:t>"We're still growing, so no change is needed."</w:t>
            </w:r>
          </w:p>
        </w:tc>
        <w:tc>
          <w:tcPr>
            <w:tcW w:w="3120" w:type="dxa"/>
          </w:tcPr>
          <w:p w14:paraId="29461C3F" w14:textId="77777777" w:rsidR="00DC181F" w:rsidRDefault="001C4E0A">
            <w:pPr>
              <w:cnfStyle w:val="000000100000" w:firstRow="0" w:lastRow="0" w:firstColumn="0" w:lastColumn="0" w:oddVBand="0" w:evenVBand="0" w:oddHBand="1" w:evenHBand="0" w:firstRowFirstColumn="0" w:firstRowLastColumn="0" w:lastRowFirstColumn="0" w:lastRowLastColumn="0"/>
            </w:pPr>
            <w:r>
              <w:t>Headline market growth is real.</w:t>
            </w:r>
          </w:p>
        </w:tc>
        <w:tc>
          <w:tcPr>
            <w:tcW w:w="3120" w:type="dxa"/>
          </w:tcPr>
          <w:p w14:paraId="01B667D2" w14:textId="77777777" w:rsidR="00DC181F" w:rsidRDefault="001C4E0A">
            <w:pPr>
              <w:cnfStyle w:val="000000100000" w:firstRow="0" w:lastRow="0" w:firstColumn="0" w:lastColumn="0" w:oddVBand="0" w:evenVBand="0" w:oddHBand="1" w:evenHBand="0" w:firstRowFirstColumn="0" w:firstRowLastColumn="0" w:lastRowFirstColumn="0" w:lastRowLastColumn="0"/>
            </w:pPr>
            <w:r>
              <w:t>Headline growth hides margin compression and shrinking deal sizes (Kaseya: 75%→41% for $25k+ clients); track profit by service line and shift investment to defensible services.</w:t>
            </w:r>
          </w:p>
        </w:tc>
      </w:tr>
      <w:tr w:rsidR="00DC181F" w14:paraId="55D77153" w14:textId="77777777">
        <w:tc>
          <w:tcPr>
            <w:cnfStyle w:val="001000000000" w:firstRow="0" w:lastRow="0" w:firstColumn="1" w:lastColumn="0" w:oddVBand="0" w:evenVBand="0" w:oddHBand="0" w:evenHBand="0" w:firstRowFirstColumn="0" w:firstRowLastColumn="0" w:lastRowFirstColumn="0" w:lastRowLastColumn="0"/>
            <w:tcW w:w="3120" w:type="dxa"/>
          </w:tcPr>
          <w:p w14:paraId="61C8C6AC" w14:textId="77777777" w:rsidR="00DC181F" w:rsidRDefault="001C4E0A">
            <w:r>
              <w:t>"AI will never replace what we do."</w:t>
            </w:r>
          </w:p>
        </w:tc>
        <w:tc>
          <w:tcPr>
            <w:tcW w:w="3120" w:type="dxa"/>
          </w:tcPr>
          <w:p w14:paraId="6E7A9BE2" w14:textId="77777777" w:rsidR="00DC181F" w:rsidRDefault="001C4E0A">
            <w:pPr>
              <w:cnfStyle w:val="000000000000" w:firstRow="0" w:lastRow="0" w:firstColumn="0" w:lastColumn="0" w:oddVBand="0" w:evenVBand="0" w:oddHBand="0" w:evenHBand="0" w:firstRowFirstColumn="0" w:firstRowLastColumn="0" w:lastRowFirstColumn="0" w:lastRowLastColumn="0"/>
            </w:pPr>
            <w:r>
              <w:t>Trust and accountability remain human.</w:t>
            </w:r>
          </w:p>
        </w:tc>
        <w:tc>
          <w:tcPr>
            <w:tcW w:w="3120" w:type="dxa"/>
          </w:tcPr>
          <w:p w14:paraId="70BB206A" w14:textId="77777777" w:rsidR="00DC181F" w:rsidRDefault="001C4E0A">
            <w:pPr>
              <w:cnfStyle w:val="000000000000" w:firstRow="0" w:lastRow="0" w:firstColumn="0" w:lastColumn="0" w:oddVBand="0" w:evenVBand="0" w:oddHBand="0" w:evenHBand="0" w:firstRowFirstColumn="0" w:firstRowLastColumn="0" w:lastRowFirstColumn="0" w:lastRowLastColumn="0"/>
            </w:pPr>
            <w:r>
              <w:t>AI doesn't need to replace you — only the repeatable layer you still charge for. Gartner expects that layer to be worth half as much by 2030. Own governance and outcomes instead.</w:t>
            </w:r>
          </w:p>
        </w:tc>
      </w:tr>
      <w:tr w:rsidR="00DC181F" w14:paraId="2E2661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236FDE" w14:textId="77777777" w:rsidR="00DC181F" w:rsidRDefault="001C4E0A">
            <w:r>
              <w:t>"Security will save us."</w:t>
            </w:r>
          </w:p>
        </w:tc>
        <w:tc>
          <w:tcPr>
            <w:tcW w:w="3120" w:type="dxa"/>
          </w:tcPr>
          <w:p w14:paraId="7B877501" w14:textId="77777777" w:rsidR="00DC181F" w:rsidRDefault="001C4E0A">
            <w:pPr>
              <w:cnfStyle w:val="000000100000" w:firstRow="0" w:lastRow="0" w:firstColumn="0" w:lastColumn="0" w:oddVBand="0" w:evenVBand="0" w:oddHBand="1" w:evenHBand="0" w:firstRowFirstColumn="0" w:firstRowLastColumn="0" w:lastRowFirstColumn="0" w:lastRowLastColumn="0"/>
            </w:pPr>
            <w:r>
              <w:t>Security demand is booming.</w:t>
            </w:r>
          </w:p>
        </w:tc>
        <w:tc>
          <w:tcPr>
            <w:tcW w:w="3120" w:type="dxa"/>
          </w:tcPr>
          <w:p w14:paraId="16A0B402" w14:textId="77777777" w:rsidR="00DC181F" w:rsidRDefault="001C4E0A">
            <w:pPr>
              <w:cnfStyle w:val="000000100000" w:firstRow="0" w:lastRow="0" w:firstColumn="0" w:lastColumn="0" w:oddVBand="0" w:evenVBand="0" w:oddHBand="1" w:evenHBand="0" w:firstRowFirstColumn="0" w:firstRowLastColumn="0" w:lastRowFirstColumn="0" w:lastRowLastColumn="0"/>
            </w:pPr>
            <w:r>
              <w:t>MDR is crowded and outcome-tested; alert-forwarding won't cut it. Specialise, partner and sell measurable risk reduction.</w:t>
            </w:r>
          </w:p>
        </w:tc>
      </w:tr>
      <w:tr w:rsidR="00DC181F" w14:paraId="79A3CC14" w14:textId="77777777">
        <w:tc>
          <w:tcPr>
            <w:cnfStyle w:val="001000000000" w:firstRow="0" w:lastRow="0" w:firstColumn="1" w:lastColumn="0" w:oddVBand="0" w:evenVBand="0" w:oddHBand="0" w:evenHBand="0" w:firstRowFirstColumn="0" w:firstRowLastColumn="0" w:lastRowFirstColumn="0" w:lastRowLastColumn="0"/>
            <w:tcW w:w="3120" w:type="dxa"/>
          </w:tcPr>
          <w:p w14:paraId="1188B472" w14:textId="77777777" w:rsidR="00DC181F" w:rsidRDefault="001C4E0A">
            <w:r>
              <w:t>"Microsoft will do it all."</w:t>
            </w:r>
          </w:p>
        </w:tc>
        <w:tc>
          <w:tcPr>
            <w:tcW w:w="3120" w:type="dxa"/>
          </w:tcPr>
          <w:p w14:paraId="447F34FB" w14:textId="77777777" w:rsidR="00DC181F" w:rsidRDefault="001C4E0A">
            <w:pPr>
              <w:cnfStyle w:val="000000000000" w:firstRow="0" w:lastRow="0" w:firstColumn="0" w:lastColumn="0" w:oddVBand="0" w:evenVBand="0" w:oddHBand="0" w:evenHBand="0" w:firstRowFirstColumn="0" w:firstRowLastColumn="0" w:lastRowFirstColumn="0" w:lastRowLastColumn="0"/>
            </w:pPr>
            <w:r>
              <w:t>The native baseline keeps rising, and Copilot just hit 30M seats.</w:t>
            </w:r>
          </w:p>
        </w:tc>
        <w:tc>
          <w:tcPr>
            <w:tcW w:w="3120" w:type="dxa"/>
          </w:tcPr>
          <w:p w14:paraId="5F206A88" w14:textId="77777777" w:rsidR="00DC181F" w:rsidRDefault="001C4E0A">
            <w:pPr>
              <w:cnfStyle w:val="000000000000" w:firstRow="0" w:lastRow="0" w:firstColumn="0" w:lastColumn="0" w:oddVBand="0" w:evenVBand="0" w:oddHBand="0" w:evenHBand="0" w:firstRowFirstColumn="0" w:firstRowLastColumn="0" w:lastRowFirstColumn="0" w:lastRowLastColumn="0"/>
            </w:pPr>
            <w:r>
              <w:t>Customers still need adoption, configuration, governance and integration at scale. Move beyond licence admin.</w:t>
            </w:r>
          </w:p>
        </w:tc>
      </w:tr>
      <w:tr w:rsidR="00DC181F" w14:paraId="1FECBB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BD911F4" w14:textId="77777777" w:rsidR="00DC181F" w:rsidRDefault="001C4E0A">
            <w:r>
              <w:t>"We can't afford to transform."</w:t>
            </w:r>
          </w:p>
        </w:tc>
        <w:tc>
          <w:tcPr>
            <w:tcW w:w="3120" w:type="dxa"/>
          </w:tcPr>
          <w:p w14:paraId="71928CB0" w14:textId="77777777" w:rsidR="00DC181F" w:rsidRDefault="001C4E0A">
            <w:pPr>
              <w:cnfStyle w:val="000000100000" w:firstRow="0" w:lastRow="0" w:firstColumn="0" w:lastColumn="0" w:oddVBand="0" w:evenVBand="0" w:oddHBand="1" w:evenHBand="0" w:firstRowFirstColumn="0" w:firstRowLastColumn="0" w:lastRowFirstColumn="0" w:lastRowLastColumn="0"/>
            </w:pPr>
            <w:r>
              <w:t>Capital and people are tight.</w:t>
            </w:r>
          </w:p>
        </w:tc>
        <w:tc>
          <w:tcPr>
            <w:tcW w:w="3120" w:type="dxa"/>
          </w:tcPr>
          <w:p w14:paraId="1E2C2DFB" w14:textId="77777777" w:rsidR="00DC181F" w:rsidRDefault="001C4E0A">
            <w:pPr>
              <w:cnfStyle w:val="000000100000" w:firstRow="0" w:lastRow="0" w:firstColumn="0" w:lastColumn="0" w:oddVBand="0" w:evenVBand="0" w:oddHBand="1" w:evenHBand="0" w:firstRowFirstColumn="0" w:firstRowLastColumn="0" w:lastRowFirstColumn="0" w:lastRowLastColumn="0"/>
            </w:pPr>
            <w:r>
              <w:t>Standing still increases consolidation and valuation risk. Sequence it: automate core, partner for security, package advisory, verticalise.</w:t>
            </w:r>
          </w:p>
        </w:tc>
      </w:tr>
    </w:tbl>
    <w:p w14:paraId="57DBEB8B" w14:textId="77777777" w:rsidR="00DC181F" w:rsidRDefault="001C4E0A">
      <w:pPr>
        <w:pStyle w:val="Heading2"/>
      </w:pPr>
      <w:bookmarkStart w:id="52" w:name="_Toc236412170"/>
      <w:r>
        <w:t>12.4 What would falsify this report's thesis</w:t>
      </w:r>
      <w:bookmarkEnd w:id="52"/>
    </w:p>
    <w:p w14:paraId="2AE825C3" w14:textId="77777777" w:rsidR="00DC181F" w:rsidRDefault="001C4E0A">
      <w:r>
        <w:t xml:space="preserve">Boards should monitor five indicators that would signal the bear or bull case overtaking the base case: worldwide organic managed-service revenue growth (a sustained return above 5 per cent would weaken the thesis; further decline would strengthen it); the share of MSPs operating at a loss (18 per cent in Q4 2024); independently measured AI deflection rates crossing 40 per cent in SMB service desks; the channel's share of IT spend stabilising rather than falling from above 75 per cent toward 66.7 per cent; </w:t>
      </w:r>
      <w:r>
        <w:t xml:space="preserve">and MSP deal multiples for small generalists, where a narrowing discount would suggest commodity books retain value. One further risk cuts across every scenario: Canalys's leadership has warned that private equity itself may be the next big bust, since roll-up valuations rest on prior purchase prices rather than independent marks. A private-equity freeze would slow </w:t>
      </w:r>
      <w:r>
        <w:lastRenderedPageBreak/>
        <w:t>consolidation, depress exit multiples for everyone, and strand undifferentiated sellers — an argument for optionality sooner rather than later.</w:t>
      </w:r>
    </w:p>
    <w:p w14:paraId="26FD83C1" w14:textId="77777777" w:rsidR="00DC181F" w:rsidRDefault="001C4E0A">
      <w:r>
        <w:br w:type="page"/>
      </w:r>
    </w:p>
    <w:p w14:paraId="66B45BC0" w14:textId="77777777" w:rsidR="00DC181F" w:rsidRDefault="001C4E0A">
      <w:pPr>
        <w:pStyle w:val="Heading1"/>
      </w:pPr>
      <w:bookmarkStart w:id="53" w:name="_Toc236412171"/>
      <w:r>
        <w:lastRenderedPageBreak/>
        <w:t>13. Final Conclusions</w:t>
      </w:r>
      <w:bookmarkEnd w:id="53"/>
    </w:p>
    <w:p w14:paraId="3030D062" w14:textId="77777777" w:rsidR="00DC181F" w:rsidRDefault="001C4E0A">
      <w:r>
        <w:t xml:space="preserve">Is the traditional MSP and TSP business model becoming obsolete? On the evidence assembled here: yes, as an operating model, on a five-to-ten-year horizon; and no, as a business category, for owners who act. Per-user and per-device pricing wrapped around reactive support, monitoring and patching is being squeezed simultaneously from four directions — its economics (labour-bound revenue near $100,000 to $150,000 per employee and a loss-making tail), its technology (AI automating the exact task categories it </w:t>
      </w:r>
      <w:r>
        <w:t>bills for), its platform (Microsoft and the hyperscalers productising the task list and selling the managed layer), and its buyers (who now purchase outcomes, security and AI advice rather than labour). None of these forces is speculative; each is visible in primary data today.</w:t>
      </w:r>
    </w:p>
    <w:p w14:paraId="5BB70E33" w14:textId="77777777" w:rsidR="00DC181F" w:rsidRDefault="001C4E0A">
      <w:r>
        <w:t xml:space="preserve">The sceptical owner's strongest objection — that their own P&amp;L looks healthy — is precisely what the historical record predicts. Blockbuster's peak of 9,100 stores and $6 billion of revenue came in 2004, years after Netflix had launched; sixteen years later, 9,099 of those stores were closed. Kodak's engineers invented the digital camera in 1975 and management buried it to protect film margins. Rackspace built a premium managed-hosting brand and still watched hyperscalers take the compute layer beneath it, </w:t>
      </w:r>
      <w:r>
        <w:t>forcing a wrenching pivot. The channel itself has already lived one full cycle of this pattern, evolving from hardware resellers into today's MSPs as product margin evaporated. Disruption of intermediaries does not announce itself in the incumbents' financials until the repricing arrives; it announces itself in the growth-rate divergence, the valuation discount and the platform roadmap, all of which are already observable. Gartner's own projection — that the obtainable opportunity for incumbents halves by 2</w:t>
      </w:r>
      <w:r>
        <w:t>030 even as the overall market keeps growing — is the clearest single number that reconciles "the market is healthy" with "your current model is at risk".</w:t>
      </w:r>
    </w:p>
    <w:p w14:paraId="18A8A920" w14:textId="77777777" w:rsidR="00DC181F" w:rsidRDefault="001C4E0A">
      <w:r>
        <w:t>The decision, therefore, is not whether the industry changes but which side of its bifurcation each provider lands on. The winning MSP of 2030 will look less like a help desk bolted to an RMM stack and more like a security, automation, AI-governance, compliance, data and business-process transformation platform. The losing MSP will keep selling "unlimited support" while platforms and agents absorb the routine work underneath it. The transformed path is well-lit, and it reduces to three moves, in order:</w:t>
      </w:r>
    </w:p>
    <w:p w14:paraId="196CE800" w14:textId="77777777" w:rsidR="00DC181F" w:rsidRDefault="001C4E0A" w:rsidP="008F7ABA">
      <w:pPr>
        <w:numPr>
          <w:ilvl w:val="0"/>
          <w:numId w:val="12"/>
        </w:numPr>
      </w:pPr>
      <w:r>
        <w:t>Automate your own delivery to protect margin — and reprice around outcomes before the savings leak to clients.</w:t>
      </w:r>
    </w:p>
    <w:p w14:paraId="020D0465" w14:textId="77777777" w:rsidR="00DC181F" w:rsidRDefault="001C4E0A" w:rsidP="008F7ABA">
      <w:pPr>
        <w:numPr>
          <w:ilvl w:val="0"/>
          <w:numId w:val="12"/>
        </w:numPr>
      </w:pPr>
      <w:r>
        <w:t>Go security-first and AI-governance-led — the two most durable, defensible demand pools, and the two areas where KPMG/IDC find buyers actively increasing managed-services investment.</w:t>
      </w:r>
    </w:p>
    <w:p w14:paraId="486E599A" w14:textId="77777777" w:rsidR="00DC181F" w:rsidRDefault="001C4E0A" w:rsidP="008F7ABA">
      <w:pPr>
        <w:numPr>
          <w:ilvl w:val="0"/>
          <w:numId w:val="12"/>
        </w:numPr>
      </w:pPr>
      <w:r>
        <w:t>Turn labour into packaged IP and outcomes — the only reliable route to premium margins and a premium valuation.</w:t>
      </w:r>
    </w:p>
    <w:p w14:paraId="4C704AA7" w14:textId="77777777" w:rsidR="00DC181F" w:rsidRDefault="001C4E0A">
      <w:r>
        <w:t xml:space="preserve">The financial asymmetry is stark even under conservative assumptions: for a representative $5 million MSP, the modelled difference between the status quo and transformation is roughly $1.8 million versus $11.6 million of enterprise value by 2031 — a 6.5-times owner-value gap driven as </w:t>
      </w:r>
      <w:r>
        <w:lastRenderedPageBreak/>
        <w:t>much by multiple re-rating as by earnings. The traditional MSP will not disappear overnight. It will simply become a business that is harder to grow, harder to staff, harder to price and harder to sell, every year, while a different kind of technology partner takes the growth.</w:t>
      </w:r>
    </w:p>
    <w:p w14:paraId="0AECD41E" w14:textId="77777777" w:rsidR="00DC181F" w:rsidRDefault="001C4E0A">
      <w:r>
        <w:t>One sentence for the boardroom: the strategic question is not whether MSPs disappear — it is whether this MSP is still selling the exact layer of work that platforms and AI agents are now designed to absorb; the answer to that question, not the market's growth rate, will decide the next decade. The evidence says: choose deliberately, and choose soon.</w:t>
      </w:r>
    </w:p>
    <w:p w14:paraId="3A924882" w14:textId="77777777" w:rsidR="00DC181F" w:rsidRDefault="001C4E0A">
      <w:r>
        <w:br w:type="page"/>
      </w:r>
    </w:p>
    <w:p w14:paraId="18F47341" w14:textId="77777777" w:rsidR="00DC181F" w:rsidRDefault="001C4E0A">
      <w:pPr>
        <w:pStyle w:val="Heading1"/>
      </w:pPr>
      <w:bookmarkStart w:id="54" w:name="_Toc236412172"/>
      <w:r>
        <w:lastRenderedPageBreak/>
        <w:t>14. Complete Reference List</w:t>
      </w:r>
      <w:bookmarkEnd w:id="54"/>
    </w:p>
    <w:p w14:paraId="74F637C9" w14:textId="77777777" w:rsidR="00DC181F" w:rsidRDefault="001C4E0A">
      <w:r>
        <w:t>Sources are grouped by type. Every material statistic in this report is attributed to a named source in the text; full publication details and URLs appear below. Access dates: July 2026. Scenario probabilities and MSP-fate ranges are analytic judgement, clearly labelled as such, and are not attributed to any published forecast.</w:t>
      </w:r>
    </w:p>
    <w:p w14:paraId="24C71C8C" w14:textId="77777777" w:rsidR="00DC181F" w:rsidRDefault="001C4E0A">
      <w:pPr>
        <w:pStyle w:val="Heading2"/>
      </w:pPr>
      <w:bookmarkStart w:id="55" w:name="_Toc236412173"/>
      <w:r>
        <w:t>MSP profitability, benchmarks and channel data</w:t>
      </w:r>
      <w:bookmarkEnd w:id="55"/>
    </w:p>
    <w:p w14:paraId="059EEA86" w14:textId="77777777" w:rsidR="00DC181F" w:rsidRDefault="001C4E0A">
      <w:r>
        <w:t>Service Leadership, Inc. (ConnectWise). 2025 Annual IT Solution Provider Industry Profitability Report. 8 May 2025. https://www.connectwise.com/company/press/releases/service-leadership-announces-findings-of-its-annual-it-solution-provider-industry-profitability-report</w:t>
      </w:r>
    </w:p>
    <w:p w14:paraId="3C97CAFB" w14:textId="77777777" w:rsidR="00DC181F" w:rsidRDefault="001C4E0A">
      <w:r>
        <w:t>Service Leadership Index (ConnectWise). Q4 2024 Data Report. 13 February 2025. https://www.connectwise.com/company/press/releases/service-leadership-index-q4-data</w:t>
      </w:r>
    </w:p>
    <w:p w14:paraId="2652D0C8" w14:textId="77777777" w:rsidR="00DC181F" w:rsidRDefault="001C4E0A">
      <w:r>
        <w:t>Service Leadership Index (ConnectWise). Q2 2024 Data Report. 6 August 2024. https://www.connectwise.com/company/press/releases/2024-08-06-service-leadership-q2-data-report</w:t>
      </w:r>
    </w:p>
    <w:p w14:paraId="52205B14" w14:textId="77777777" w:rsidR="00DC181F" w:rsidRDefault="001C4E0A">
      <w:r>
        <w:t>Kaseya. 2026 State of the MSP Report (1,000+ MSPs; customer acquisition, deal-size compression, AI adoption). April 2026. https://www.kaseya.com/wp-content/uploads/dlm_uploads/2026/04/Kaseya_2026-State-of-the-MSP_report_2026.pdf</w:t>
      </w:r>
    </w:p>
    <w:p w14:paraId="3E52E09D" w14:textId="77777777" w:rsidR="00DC181F" w:rsidRDefault="001C4E0A">
      <w:r>
        <w:t>Kaseya. Key Findings from Kaseya's 2025 Global MSP Benchmark Report. 4 April 2025. https://www.kaseya.com/blog/key-findings-from-kaseyas-2025-global-msp-benchmark-report/</w:t>
      </w:r>
    </w:p>
    <w:p w14:paraId="0C7FB26B" w14:textId="77777777" w:rsidR="00DC181F" w:rsidRDefault="001C4E0A">
      <w:r>
        <w:t>Kaseya/Datto. 2024 MSP Benchmark Report (cybersecurity a top revenue driver). 5 March 2024. https://www.datto.com/news/press-releases/</w:t>
      </w:r>
    </w:p>
    <w:p w14:paraId="19EC5C02" w14:textId="77777777" w:rsidR="00DC181F" w:rsidRDefault="001C4E0A">
      <w:r>
        <w:t>Datto (Kaseya). Global State of the MSP Report 2025 (1,262 MSPs; 61% of SMBs cite lack of internal expertise). https://www.datto.com/wp-content/uploads/dlm_uploads/DAT-2025-State-of-the-MSP-Report-1.pdf</w:t>
      </w:r>
    </w:p>
    <w:p w14:paraId="1B9287DA" w14:textId="77777777" w:rsidR="00DC181F" w:rsidRDefault="001C4E0A">
      <w:r>
        <w:t>ScalePad. 2026 MSP Trends Report (1,100+ MSPs surveyed November 2025). https://www.scalepad.com/2026-msp-trends-report</w:t>
      </w:r>
    </w:p>
    <w:p w14:paraId="5F7288D7" w14:textId="77777777" w:rsidR="00DC181F" w:rsidRDefault="001C4E0A">
      <w:r>
        <w:t>MSP Global. State of the Industry Report, Winter 2026. https://www.mspglobal.com/</w:t>
      </w:r>
    </w:p>
    <w:p w14:paraId="47F8875B" w14:textId="77777777" w:rsidR="00DC181F" w:rsidRDefault="001C4E0A">
      <w:r>
        <w:t>Alexej Pikovsky. Average MSP Profit Margin: The Honest 2026 Benchmark (regional EBITDA data, aggregating Canalys / Top Down Ventures). https://alexejpikovsky.com/msp-profit-margins-benchmark/</w:t>
      </w:r>
    </w:p>
    <w:p w14:paraId="246D9370" w14:textId="77777777" w:rsidR="00DC181F" w:rsidRDefault="001C4E0A">
      <w:r>
        <w:t>BizTechReports. As MSPs Mature, Consolidation and Operational Discipline Drive the Next Wave of Growth. 13 June 2025. https://www.biztechreports.com/</w:t>
      </w:r>
    </w:p>
    <w:p w14:paraId="1ABE0050" w14:textId="77777777" w:rsidR="00DC181F" w:rsidRDefault="001C4E0A">
      <w:r>
        <w:t>TechPartner. 2025 State of the MSP, reported in Business of Tech. 31 October 2025. https://businessof.tech/</w:t>
      </w:r>
    </w:p>
    <w:p w14:paraId="061EC1A0" w14:textId="77777777" w:rsidR="00DC181F" w:rsidRDefault="001C4E0A">
      <w:r>
        <w:lastRenderedPageBreak/>
        <w:t>MSSP Alert. 2024 MSSP Benchmark Pricing Report (sponsored by LimaCharlie). 13 January 2025. https://www.msspalert.com/</w:t>
      </w:r>
    </w:p>
    <w:p w14:paraId="64F6D251" w14:textId="77777777" w:rsidR="00DC181F" w:rsidRDefault="001C4E0A">
      <w:pPr>
        <w:pStyle w:val="Heading2"/>
      </w:pPr>
      <w:bookmarkStart w:id="56" w:name="_Toc236412174"/>
      <w:r>
        <w:t>Market sizing, M&amp;A and valuation</w:t>
      </w:r>
      <w:bookmarkEnd w:id="56"/>
    </w:p>
    <w:p w14:paraId="6BEF5A4B" w14:textId="77777777" w:rsidR="00DC181F" w:rsidRDefault="001C4E0A">
      <w:r>
        <w:t>Canalys, reported in Business of Tech. MSP Market Expands to $500B as Provider Count Shrinks Amid Rapid Consolidation. 4 September 2025. https://businessof.tech/2025/09/04/msp-market-expands-to-500b-as-provider-count-shrinks-amid-rapid-consolidation/</w:t>
      </w:r>
    </w:p>
    <w:p w14:paraId="5867EC86" w14:textId="77777777" w:rsidR="00DC181F" w:rsidRDefault="001C4E0A">
      <w:r>
        <w:t>Canalys, reported in Business of Tech. MSP Sector Surges to $608B as Platform Wars Reshape PSA-RMM Landscape. 23 June 2025. https://businessof.tech/2025/06/23/msp-sector-surges-to-608b-as-platform-wars-reshape-psa-rmm-landscape/</w:t>
      </w:r>
    </w:p>
    <w:p w14:paraId="25E9C57F" w14:textId="77777777" w:rsidR="00DC181F" w:rsidRDefault="001C4E0A">
      <w:r>
        <w:t>Omdia/Canalys (Robin Ody). MSP Trends and Predictions 2025, Executive Summary. 15 January 2025. https://omdia.tech.informa.com/</w:t>
      </w:r>
    </w:p>
    <w:p w14:paraId="144A536F" w14:textId="77777777" w:rsidR="00DC181F" w:rsidRDefault="001C4E0A">
      <w:r>
        <w:t>Canalys (Jay McBain), via ChannelPartners.net. AI Spending Impact, Channel Share Decline, and MSP Growth Strategies. 10 April 2026. https://channelpartners.net/ai-msp-jay-mcbain/</w:t>
      </w:r>
    </w:p>
    <w:p w14:paraId="026F88F1" w14:textId="77777777" w:rsidR="00DC181F" w:rsidRDefault="001C4E0A">
      <w:r>
        <w:t>Omdia, via Channel Dive. US Channel Pivots to Services, AI Deployment. 11 June 2026. https://www.channeldive.com/</w:t>
      </w:r>
    </w:p>
    <w:p w14:paraId="0BE54132" w14:textId="77777777" w:rsidR="00DC181F" w:rsidRDefault="001C4E0A">
      <w:r>
        <w:t>MarketsandMarkets. Managed Services Market, Global Forecast to 2031 ($705.22B; 8.9% CAGR). https://www.marketsandmarkets.com/Market-Reports/managed-services-market-1141.html</w:t>
      </w:r>
    </w:p>
    <w:p w14:paraId="7502E51E" w14:textId="77777777" w:rsidR="00DC181F" w:rsidRDefault="001C4E0A">
      <w:r>
        <w:t>Grand View Research. Managed Services Market Size &amp; Share Report, 2026–2033 ($847.4B by 2033). https://www.grandviewresearch.com/industry-analysis/managed-services-market</w:t>
      </w:r>
    </w:p>
    <w:p w14:paraId="0B1CAB73" w14:textId="77777777" w:rsidR="00DC181F" w:rsidRDefault="001C4E0A">
      <w:r>
        <w:t>Aventis Advisors. MSP Valuation Multiples (120 disclosed transactions; median ~8.9x; 5.2x sub-$5M to 11.2x $500M+). 22 January 2025. https://aventis-advisors.com/msp-valuation-multiples/</w:t>
      </w:r>
    </w:p>
    <w:p w14:paraId="65EA1332" w14:textId="77777777" w:rsidR="00DC181F" w:rsidRDefault="001C4E0A">
      <w:r>
        <w:t>Aventis Advisors. Who Is Buying MSPs? Top Acquirers of Managed Services. 22 March 2026. https://aventis-advisors.com/who-is-buying-msps/</w:t>
      </w:r>
    </w:p>
    <w:p w14:paraId="5FEF5CBF" w14:textId="77777777" w:rsidR="00DC181F" w:rsidRDefault="001C4E0A">
      <w:r>
        <w:t>Aventis Advisors. IT Services Valuation Multiples: 2015–2026. https://aventis-advisors.com/it-services-valuation-multiples/</w:t>
      </w:r>
    </w:p>
    <w:p w14:paraId="7CC607B0" w14:textId="77777777" w:rsidR="00DC181F" w:rsidRDefault="001C4E0A">
      <w:r>
        <w:t>Drake Star. 2025 MSP M&amp;A Report / Global MSP Market Update Q4 2025 (466 transactions; ~$4.3B disclosed). 27 January 2026. https://www.drakestar.com/news/2025-msp-ma-report-launch</w:t>
      </w:r>
    </w:p>
    <w:p w14:paraId="5421F840" w14:textId="77777777" w:rsidR="00DC181F" w:rsidRDefault="001C4E0A">
      <w:r>
        <w:t>Omdia. MSP M&amp;A 2025: Deals Focus on Cybersecurity, AI (169 deals; PE in 69%). April 2026. https://omdia.tech.informa.com/</w:t>
      </w:r>
    </w:p>
    <w:p w14:paraId="363D9F45" w14:textId="77777777" w:rsidR="00DC181F" w:rsidRDefault="001C4E0A">
      <w:r>
        <w:t>ISG. Global Market for Managed IT, Business Services — Q2 2024 ISG Index. 11 July 2024. https://ir.isg-one.com/news-market-information/press-releases/</w:t>
      </w:r>
    </w:p>
    <w:p w14:paraId="7513E2BE" w14:textId="77777777" w:rsidR="00DC181F" w:rsidRDefault="001C4E0A">
      <w:r>
        <w:t>ISG. Full-Year 2023 ISG Index ($40.7B record ACV). 18 January 2024. https://ir.isg-one.com/news-market-information/press-releases/</w:t>
      </w:r>
    </w:p>
    <w:p w14:paraId="16EE9A92" w14:textId="77777777" w:rsidR="00DC181F" w:rsidRDefault="001C4E0A">
      <w:r>
        <w:lastRenderedPageBreak/>
        <w:t>Canalys, via ChannelE2E. State of the Channel (private-equity caution). 14 November 2023. https://www.channele2e.com/news/canalys-state-of-the-channel-msp-markets</w:t>
      </w:r>
    </w:p>
    <w:p w14:paraId="5AAC9D24" w14:textId="77777777" w:rsidR="00DC181F" w:rsidRDefault="001C4E0A">
      <w:pPr>
        <w:pStyle w:val="Heading2"/>
      </w:pPr>
      <w:bookmarkStart w:id="57" w:name="_Toc236412175"/>
      <w:r>
        <w:t>Analyst forecasts — services disruption, AI and spending</w:t>
      </w:r>
      <w:bookmarkEnd w:id="57"/>
    </w:p>
    <w:p w14:paraId="2B156092" w14:textId="77777777" w:rsidR="00DC181F" w:rsidRDefault="001C4E0A">
      <w:r>
        <w:t>Gartner. Managed Services Disruption: Surviving an AI Agent-Dominated Market (analyst: Fernando Pereiro). 27 October 2025. https://www.gartner.com/en/documents/7101530</w:t>
      </w:r>
    </w:p>
    <w:p w14:paraId="6E26897E" w14:textId="77777777" w:rsidR="00DC181F" w:rsidRDefault="001C4E0A">
      <w:r>
        <w:t>Gartner. Top Predictions for IT Organizations and Users in 2026 and Beyond. 21 October 2025. https://www.gartner.com/en/newsroom/press-releases/2025-10-21-gartner-unveils-top-predictions-for-it-organizations-and-users-in-2026-and-beyond</w:t>
      </w:r>
    </w:p>
    <w:p w14:paraId="5775996A" w14:textId="77777777" w:rsidR="00DC181F" w:rsidRDefault="001C4E0A">
      <w:r>
        <w:t>Gartner. Worldwide IT Spending Forecast to Grow 14.2% in 2026, totalling $6.37 trillion. 27 July 2026. https://www.gartner.com/en/newsroom/press-releases/2026-07-27-gartner-forecasts-worldwide-it-spending-to-grow-14-point-2-percent-in-2026-totaling-6-point-37-trillion</w:t>
      </w:r>
    </w:p>
    <w:p w14:paraId="558B4E0D" w14:textId="77777777" w:rsidR="00DC181F" w:rsidRDefault="001C4E0A">
      <w:r>
        <w:t>Gartner. Worldwide AI Spending to Grow 47% in 2026 to $2.59 trillion. 19 May 2026. https://www.gartner.com/en/newsroom/press-releases/2026-05-19-gartner-forecasts-worldwide-ai-spending-to-grow-47-percent-in-2026</w:t>
      </w:r>
    </w:p>
    <w:p w14:paraId="5C3E1AB1" w14:textId="77777777" w:rsidR="00DC181F" w:rsidRDefault="001C4E0A">
      <w:r>
        <w:t>Gartner. Agentic AI to overtake chatbot spending by 2027; agentic spend ~$202B in 2026 (Forecast: AI Spending, 4Q25). 15 January 2026. https://www.gartner.com/en/newsroom/press-releases/2026-1-15-gartner-says-worldwide-ai-spending-will-total-2-point-5-trillion-dollars-in-2026</w:t>
      </w:r>
    </w:p>
    <w:p w14:paraId="5592ED90" w14:textId="77777777" w:rsidR="00DC181F" w:rsidRDefault="001C4E0A">
      <w:r>
        <w:t>Gartner. Agentic AI Will Autonomously Resolve 80% of Common Customer Service Issues Without Human Intervention by 2029. 5 March 2025. https://www.gartner.com/en/newsroom/press-releases/2025-03-05-gartner-predicts-agentic-ai-will-autonomously-resolve-80-percent-of-common-customer-service-issues-without-human-intervention-by-2029</w:t>
      </w:r>
    </w:p>
    <w:p w14:paraId="00B0916C" w14:textId="77777777" w:rsidR="00DC181F" w:rsidRDefault="001C4E0A">
      <w:r>
        <w:t>Gartner. Over 40% of Agentic AI Projects Will Be Canceled by End of 2027. 25 June 2025. https://www.gartner.com/en/newsroom/press-releases/2025-06-25-gartner-predicts-over-40-percent-of-agentic-ai-projects-will-be-canceled-by-end-of-2027</w:t>
      </w:r>
    </w:p>
    <w:p w14:paraId="10C78320" w14:textId="77777777" w:rsidR="00DC181F" w:rsidRDefault="001C4E0A">
      <w:r>
        <w:t>IDC. FutureScape: Worldwide Services 2026 / Charting the Agentic Future of IT Services: From Projects to Platforms. 30 October 2025. https://www.idc.com/resource-center/blog/charting-the-agentic-future-of-it-services-from-projects-to-platforms/</w:t>
      </w:r>
    </w:p>
    <w:p w14:paraId="50FE2084" w14:textId="77777777" w:rsidR="00DC181F" w:rsidRDefault="001C4E0A">
      <w:r>
        <w:t>IDC. 2026 Services AI Outlook (Linus Lai), via InfoTechLead. December 2025. https://infotechlead.com/artificial-intelligence/idc-2026-services-ai-outlook</w:t>
      </w:r>
    </w:p>
    <w:p w14:paraId="40324EA5" w14:textId="77777777" w:rsidR="00DC181F" w:rsidRDefault="001C4E0A">
      <w:r>
        <w:t>IDC / Business Wire. IDC FutureScape 2026 Predictions Reveal the Rise of Agentic AI. 23 October 2025. https://www.businesswire.com/news/home/20251023490057/en/</w:t>
      </w:r>
    </w:p>
    <w:p w14:paraId="64FFD446" w14:textId="77777777" w:rsidR="00DC181F" w:rsidRDefault="001C4E0A">
      <w:r>
        <w:t>IDC, reported in CIO Dive. What's the Cost of the IT Skills Gap? IDC Says $5.5 Trillion by 2026. 17 May 2024. https://www.ciodive.com/news/tech-talent-skills-gaps-cost-trillions-idc/716523/</w:t>
      </w:r>
    </w:p>
    <w:p w14:paraId="457F7472" w14:textId="77777777" w:rsidR="00DC181F" w:rsidRDefault="001C4E0A">
      <w:r>
        <w:lastRenderedPageBreak/>
        <w:t>IDC (study #US52483124) / Microsoft Partner Blog (Nicole Dezen). AI Value for Partners ($8.45 services multiplier; $10.93 software). 19 September 2024. https://partner.microsoft.com/en-us/blog/article/ai-value-for-partners</w:t>
      </w:r>
    </w:p>
    <w:p w14:paraId="45A30C49" w14:textId="77777777" w:rsidR="00DC181F" w:rsidRDefault="001C4E0A">
      <w:r>
        <w:t>KPMG International (research by IDC). Managed Services Outlook Survey 2026: Accelerating AI with Managed Services (1,224 leaders). 7 April 2026. https://kpmg.com/xx/en/media/press-releases/2026/04/managed-services-recognized-as-strategic-engine-for-ai-acceleration.html</w:t>
      </w:r>
    </w:p>
    <w:p w14:paraId="1B1B2251" w14:textId="77777777" w:rsidR="00DC181F" w:rsidRDefault="001C4E0A">
      <w:r>
        <w:t>KPMG / HFS Research. Accelerating Business Transformations through Managed Services. https://kpmg.com/kpmg-us/content/dam/kpmg/pdf/2024/accelerating-business-transformations.pdf</w:t>
      </w:r>
    </w:p>
    <w:p w14:paraId="7B003013" w14:textId="77777777" w:rsidR="00DC181F" w:rsidRDefault="001C4E0A">
      <w:r>
        <w:t>HFS Research. Shifting from Cost-Cutting to AI-Driven Value in Managed Services. https://www.hfsresearch.com/research/shifting-cost-cutting-ai-driven/</w:t>
      </w:r>
    </w:p>
    <w:p w14:paraId="51414103" w14:textId="77777777" w:rsidR="00DC181F" w:rsidRDefault="001C4E0A">
      <w:r>
        <w:t>McKinsey &amp; Company. The State of AI in 2025: Agents, Innovation, and Transformation. November 2025. https://www.mckinsey.com/capabilities/quantumblack/our-insights/the-state-of-ai</w:t>
      </w:r>
    </w:p>
    <w:p w14:paraId="4F67F086" w14:textId="77777777" w:rsidR="00DC181F" w:rsidRDefault="001C4E0A">
      <w:r>
        <w:t>McKinsey &amp; Company. The Economic Potential of Generative AI: The Next Productivity Frontier. June 2023. https://www.mckinsey.com/capabilities/tech-and-ai/our-insights/the-economic-potential-of-generative-ai-the-next-productivity-frontier</w:t>
      </w:r>
    </w:p>
    <w:p w14:paraId="618315C0" w14:textId="77777777" w:rsidR="00DC181F" w:rsidRDefault="001C4E0A">
      <w:r>
        <w:t>McKinsey Global Institute. Agents, Robots, and Us: Skill Partnerships in the Age of AI. https://www.mckinsey.com/mgi/our-research/agents-robots-and-us-skill-partnerships-in-the-age-of-ai</w:t>
      </w:r>
    </w:p>
    <w:p w14:paraId="7CE6551E" w14:textId="77777777" w:rsidR="00DC181F" w:rsidRDefault="001C4E0A">
      <w:r>
        <w:t>Forrester. The AI-Centric Service Desk: A Blueprint for Modern IT Operations; Early Adopters Share AI-Centric Service Desk Results (Julie Mohr). August 2025. https://www.forrester.com/blogs/early-adopters-share-ai-centric-service-desk-results/</w:t>
      </w:r>
    </w:p>
    <w:p w14:paraId="2B5C4F18" w14:textId="77777777" w:rsidR="00DC181F" w:rsidRDefault="001C4E0A">
      <w:r>
        <w:t>Forrester (commissioned by Microsoft). The Impact of AI on Microsoft Modern Work Partner Revenue: Copilot and Agents (Total Economic Impact study). https://tei.forrester.com/go/Microsoft/ModernWorkPartner/index.html</w:t>
      </w:r>
    </w:p>
    <w:p w14:paraId="0F53147A" w14:textId="77777777" w:rsidR="00DC181F" w:rsidRDefault="001C4E0A">
      <w:r>
        <w:t>GTIA (formerly CompTIA). State of the Channel 2026: A Global Industry in Motion (Carolyn April). https://gtia.org/blog/state-of-the-channel-2026-a-global-industry-in-motion</w:t>
      </w:r>
    </w:p>
    <w:p w14:paraId="01454E1D" w14:textId="77777777" w:rsidR="00DC181F" w:rsidRDefault="001C4E0A">
      <w:r>
        <w:t>CompTIA. IT Industry Outlook 2025 / State of the Tech Workforce 2026. https://www.comptia.org/en-us/resources/research/it-industry-outlook-2025/</w:t>
      </w:r>
    </w:p>
    <w:p w14:paraId="5AD24E14" w14:textId="77777777" w:rsidR="00DC181F" w:rsidRDefault="001C4E0A">
      <w:r>
        <w:t>Goldman Sachs Research. How Will AI Affect the US Labor Market? 2023. https://www.goldmansachs.com/insights/articles/how-will-ai-affect-the-us-labor-market</w:t>
      </w:r>
    </w:p>
    <w:p w14:paraId="510A412A" w14:textId="77777777" w:rsidR="00DC181F" w:rsidRDefault="001C4E0A">
      <w:r>
        <w:t>World Economic Forum. Future of Jobs Report 2025 (170M new jobs; 92M displaced; +78M net by 2030). 8 January 2025. https://www.weforum.org/publications/the-future-of-jobs-report-2025/</w:t>
      </w:r>
    </w:p>
    <w:p w14:paraId="1172BCC8" w14:textId="77777777" w:rsidR="00DC181F" w:rsidRDefault="001C4E0A">
      <w:r>
        <w:lastRenderedPageBreak/>
        <w:t>MIT NANDA. The GenAI Divide: State of AI in Business 2025, reported in Forbes. 26 August 2025. https://www.forbes.com/sites/jasonsnyder/2025/08/26/mit-finds-95-of-genai-pilots-fail-because-companies-avoid-friction/</w:t>
      </w:r>
    </w:p>
    <w:p w14:paraId="79C0F3EF" w14:textId="77777777" w:rsidR="00DC181F" w:rsidRDefault="001C4E0A">
      <w:r>
        <w:t>Anthropic. Anthropic Economic Index, September 2025 report (augmentation vs automation ~57/43). https://www.anthropic.com/economic-index</w:t>
      </w:r>
    </w:p>
    <w:p w14:paraId="7A5B0943" w14:textId="77777777" w:rsidR="00DC181F" w:rsidRDefault="001C4E0A">
      <w:r>
        <w:t>Deloitte. Autonomous Generative AI Agents: Still Under Development (TMT Predictions 2025). November 2024. https://www.deloitte.com/us/en/insights/industry/technology/technology-media-and-telecom-predictions/2025/autonomous-generative-ai-agents-still-under-development.html</w:t>
      </w:r>
    </w:p>
    <w:p w14:paraId="117F4FD8" w14:textId="77777777" w:rsidR="00DC181F" w:rsidRDefault="001C4E0A">
      <w:r>
        <w:t>RSM US. 2025 Middle Market AI Survey (966 decision-makers). 11 June 2025. https://rsmus.com/newsroom/2025/</w:t>
      </w:r>
    </w:p>
    <w:p w14:paraId="5C26D8B9" w14:textId="77777777" w:rsidR="00DC181F" w:rsidRDefault="001C4E0A">
      <w:pPr>
        <w:pStyle w:val="Heading2"/>
      </w:pPr>
      <w:bookmarkStart w:id="58" w:name="_Toc236412176"/>
      <w:r>
        <w:t>Microsoft — strategy, earnings, product and partner program</w:t>
      </w:r>
      <w:bookmarkEnd w:id="58"/>
    </w:p>
    <w:p w14:paraId="59552771" w14:textId="77777777" w:rsidR="00DC181F" w:rsidRDefault="001C4E0A">
      <w:r>
        <w:t>Microsoft. FY2026 Q4 Earnings Release: Microsoft Cloud and AI Strength Fuels Fourth Quarter Results (revenue $90.0B, +18%; net income $35.8B; Azure past $100B annual; Copilot 30M+ seats; capex $41B; RPO $678B). 29 July 2026. https://www.microsoft.com/en-us/Investor/earnings/FY-2026-Q4/press-release-webcast</w:t>
      </w:r>
    </w:p>
    <w:p w14:paraId="32D70C05" w14:textId="77777777" w:rsidR="00DC181F" w:rsidRDefault="001C4E0A">
      <w:r>
        <w:t>Microsoft. FY2026 Q4 Earnings Conference Call transcript and materials. 29 July 2026. https://www.microsoft.com/en-us/investor/events/fy-2026/earnings-fy-2026-q4</w:t>
      </w:r>
    </w:p>
    <w:p w14:paraId="7EF4D9DB" w14:textId="77777777" w:rsidR="00DC181F" w:rsidRDefault="001C4E0A">
      <w:r>
        <w:t>GeekWire (Todd Bishop). Microsoft Azure Tops $100B in Annual Revenue as Record AI Spending Cuts Into Cash Flow. 29 July 2026. https://www.geekwire.com/2026/microsoft-azure-tops-100b-in-annual-revenue-as-record-ai-spending-cuts-into-cash-flow/</w:t>
      </w:r>
    </w:p>
    <w:p w14:paraId="12568FB0" w14:textId="77777777" w:rsidR="00DC181F" w:rsidRDefault="001C4E0A">
      <w:r>
        <w:t>CNBC. Microsoft Jumps 7% as It Boosts Capital Spending Plans, Citing Demand. 29 July 2026. https://www.cnbc.com/2026/07/29/microsoft-msft-q4-earnings-report-2026.html</w:t>
      </w:r>
    </w:p>
    <w:p w14:paraId="1DD3006C" w14:textId="77777777" w:rsidR="00DC181F" w:rsidRDefault="001C4E0A">
      <w:r>
        <w:t>Microsoft. FY2026 Q3 Earnings (AI run-rate $37B; 20M+ Copilot seats; commercial RPO $627B). 29 April 2026. https://www.microsoft.com/en-us/investor/events/fy-2026/earnings-fy-2026-q3</w:t>
      </w:r>
    </w:p>
    <w:p w14:paraId="42C3EC87" w14:textId="77777777" w:rsidR="00DC181F" w:rsidRDefault="001C4E0A">
      <w:r>
        <w:t>UC Today. Microsoft Earnings 2026: AI Hits $37B Run Rate as Copilot Passes 20 Million Seats. 30 April 2026. https://www.uctoday.com/unified-communications/microsoft-earnings-2026-ai-copilot-enterprise/</w:t>
      </w:r>
    </w:p>
    <w:p w14:paraId="7155C0D8" w14:textId="77777777" w:rsidR="00DC181F" w:rsidRDefault="001C4E0A">
      <w:r>
        <w:t>GCN. Microsoft 365 Copilot Added 5 Million Paying Enterprise Seats in a Single Quarter (Accenture 743,000-seat deployment). https://gcn.com/microsoft-365-copilot-added-million-paying/20188/</w:t>
      </w:r>
    </w:p>
    <w:p w14:paraId="01D41B74" w14:textId="77777777" w:rsidR="00DC181F" w:rsidRDefault="001C4E0A">
      <w:r>
        <w:t>Microsoft. FY2025 Q4 Earnings and Annual Report (Microsoft Cloud $168B; Azure $75B; 100M+ Copilot MAU; 3M agents built). 30 July 2025. https://www.microsoft.com/en-us/investor/events/fy-2025/earnings-fy-2025-q4</w:t>
      </w:r>
    </w:p>
    <w:p w14:paraId="412DE3B8" w14:textId="77777777" w:rsidR="00DC181F" w:rsidRDefault="001C4E0A">
      <w:r>
        <w:lastRenderedPageBreak/>
        <w:t>TechCrunch. Microsoft Says It Has Over 20M Paid Copilot Users. 29 April 2026. https://techcrunch.com/2026/04/29/microsoft-says-it-has-over-20m-paid-copilot-users-and-they-really-are-using-it/</w:t>
      </w:r>
    </w:p>
    <w:p w14:paraId="1885D4A1" w14:textId="77777777" w:rsidR="00DC181F" w:rsidRDefault="001C4E0A">
      <w:r>
        <w:t>CX Today. Microsoft Hits 1MN Custom AI Agent Milestone with 230,000 Organizations Using Copilot Studio. January 2025. https://www.cxtoday.com/contact-center/microsoft-hits-1mn-custom-ai-agent-milestone-with-230000-organizations-using-copilot-studio/</w:t>
      </w:r>
    </w:p>
    <w:p w14:paraId="613AD33E" w14:textId="77777777" w:rsidR="00DC181F" w:rsidRDefault="001C4E0A">
      <w:r>
        <w:t>Microsoft 365 Blog. Microsoft Ignite 2025: Copilot and Agents Built to Power the Frontier Firm. 18 November 2025. https://www.microsoft.com/en-us/microsoft-365/blog/2025/11/18/microsoft-ignite-2025-copilot-and-agents-built-to-power-the-frontier-firm/</w:t>
      </w:r>
    </w:p>
    <w:p w14:paraId="28C6D88D" w14:textId="77777777" w:rsidR="00DC181F" w:rsidRDefault="001C4E0A">
      <w:r>
        <w:t>Microsoft WorkLab. Work Trend Index 2024 and 2025 Annual Work Trend Index (The Frontier Firm). https://www.microsoft.com/en-us/worklab/work-trend-index/</w:t>
      </w:r>
    </w:p>
    <w:p w14:paraId="6F6E69B1" w14:textId="77777777" w:rsidR="00DC181F" w:rsidRDefault="001C4E0A">
      <w:r>
        <w:t>Microsoft Research. The Early Impacts of Microsoft 365 Copilot (randomised experiment, 6,000+ workers at 56 firms). arXiv:2504.11443. April 2025. https://arxiv.org/abs/2504.11443</w:t>
      </w:r>
    </w:p>
    <w:p w14:paraId="79D9AEA6" w14:textId="77777777" w:rsidR="00DC181F" w:rsidRDefault="001C4E0A">
      <w:r>
        <w:t>Microsoft/Forrester. Microsoft 365 Copilot Drove Up to 353% ROI for Small and Medium Businesses (TEI study). 17 October 2024. https://www.microsoft.com/en-us/microsoft-365/blog/2024/10/17/microsoft-365-copilot-drove-up-to-353-roi-for-small-and-medium-businesses-new-study/</w:t>
      </w:r>
    </w:p>
    <w:p w14:paraId="2F0E002E" w14:textId="77777777" w:rsidR="00DC181F" w:rsidRDefault="001C4E0A">
      <w:r>
        <w:t>Microsoft Copilot Blog. 6 Core Capabilities to Scale Agent Adoption in 2026. https://www.microsoft.com/en-us/microsoft-copilot/blog/copilot-studio/6-core-capabilities-to-scale-agent-adoption-in-2026/</w:t>
      </w:r>
    </w:p>
    <w:p w14:paraId="4729B183" w14:textId="77777777" w:rsidR="00DC181F" w:rsidRDefault="001C4E0A">
      <w:r>
        <w:t>Microsoft Partner Blog. What's New for Microsoft Partners: July 2026 Edition. https://partner.microsoft.com/en-us/blog/article/whats-new-for-partners-2026-issue-3</w:t>
      </w:r>
    </w:p>
    <w:p w14:paraId="258BCF66" w14:textId="77777777" w:rsidR="00DC181F" w:rsidRDefault="001C4E0A">
      <w:r>
        <w:t>Cloud Factory. Partner University Retires June 15 and Major Program Changes: June 2026 Microsoft AI Cloud Partner Program Update. https://blog.cloudfactorygroup.com/posts/partner-university-retires-june-15-and-major-program-changes-june-2026-microsoft-ai-cloud-partner-program-update</w:t>
      </w:r>
    </w:p>
    <w:p w14:paraId="7FA0499A" w14:textId="77777777" w:rsidR="00DC181F" w:rsidRDefault="001C4E0A">
      <w:r>
        <w:t>Cloud Factory. Microsoft Build 2026 Recap: AI, Agents, and the New Partner Opportunity (Agent 365 framework). https://blog.cloudfactorygroup.com/posts/microsoft-build-2026-recap-ai-agents-and-the-new-partner-opportunity</w:t>
      </w:r>
    </w:p>
    <w:p w14:paraId="43349913" w14:textId="77777777" w:rsidR="00DC181F" w:rsidRDefault="001C4E0A">
      <w:r>
        <w:t>Microsoft Learn. Windows Autopatch documentation. https://learn.microsoft.com/en-us/windows/deployment/windows-autopatch/</w:t>
      </w:r>
    </w:p>
    <w:p w14:paraId="53E138C1" w14:textId="77777777" w:rsidR="00DC181F" w:rsidRDefault="001C4E0A">
      <w:r>
        <w:t>Microsoft Learn. Automatic Attack Disruption in Microsoft Defender XDR. https://learn.microsoft.com/en-us/defender-xdr/automatic-attack-disruption</w:t>
      </w:r>
    </w:p>
    <w:p w14:paraId="024B2F91" w14:textId="77777777" w:rsidR="00DC181F" w:rsidRDefault="001C4E0A">
      <w:r>
        <w:lastRenderedPageBreak/>
        <w:t>Microsoft Security Blog. Microsoft Unveils Microsoft Security Copilot Agents and New Protections for AI. 24 March 2025. https://www.microsoft.com/en-us/security/blog/2025/03/24/microsoft-unveils-microsoft-security-copilot-agents-and-new-protections-for-ai/</w:t>
      </w:r>
    </w:p>
    <w:p w14:paraId="196C6CEC" w14:textId="77777777" w:rsidR="00DC181F" w:rsidRDefault="001C4E0A">
      <w:r>
        <w:t>Microsoft. Microsoft Defender Experts for XDR (managed detection and response). https://www.microsoft.com/en-us/security/business/services/microsoft-defender-experts-mdr</w:t>
      </w:r>
    </w:p>
    <w:p w14:paraId="6F9B69C2" w14:textId="77777777" w:rsidR="00DC181F" w:rsidRDefault="001C4E0A">
      <w:r>
        <w:t>Microsoft Security Blog. Introducing the Microsoft Defender Experts Suite (managed XDR, IR, advisory). 6 January 2026. https://www.microsoft.com/en-us/security/blog/2026/01/06/introducing-the-microsoft-defender-experts-suite-elevate-your-security-with-expert-led-services/</w:t>
      </w:r>
    </w:p>
    <w:p w14:paraId="38352805" w14:textId="77777777" w:rsidR="00DC181F" w:rsidRDefault="001C4E0A">
      <w:r>
        <w:t>Microsoft Learn. Microsoft AI Cloud Partner Program Benefits FAQ (Action Pack retirement 22 Jan 2025; FY26 benefits refresh 13 Feb 2026). https://learn.microsoft.com/en-us/partner-center/benefits/benefits-faq-new</w:t>
      </w:r>
    </w:p>
    <w:p w14:paraId="6A4D1B0F" w14:textId="77777777" w:rsidR="00DC181F" w:rsidRDefault="001C4E0A">
      <w:r>
        <w:t>Microsoft. The New Commerce Experience in CSP: Azure. 19 May 2022. https://www.microsoft.com/en-us/licensing/news/new-azure-experience-in-csp</w:t>
      </w:r>
    </w:p>
    <w:p w14:paraId="2B140716" w14:textId="77777777" w:rsidR="00DC181F" w:rsidRDefault="001C4E0A">
      <w:pPr>
        <w:pStyle w:val="Heading2"/>
      </w:pPr>
      <w:bookmarkStart w:id="59" w:name="_Toc236412177"/>
      <w:r>
        <w:t>Hyperscalers, SaaS platforms and security vendors</w:t>
      </w:r>
      <w:bookmarkEnd w:id="59"/>
    </w:p>
    <w:p w14:paraId="3A609B67" w14:textId="77777777" w:rsidR="00DC181F" w:rsidRDefault="001C4E0A">
      <w:r>
        <w:t>Amazon Web Services. AWS Managed Services (AMS) / AWS Incident Detection and Response. https://aws.amazon.com/managed-services/</w:t>
      </w:r>
    </w:p>
    <w:p w14:paraId="2736920A" w14:textId="77777777" w:rsidR="00DC181F" w:rsidRDefault="001C4E0A">
      <w:r>
        <w:t>Amazon Web Services. Amazon CloudWatch Investigations — generative-AI incident investigation and remediation (GA June 2025). https://aws.amazon.com/blogs/aws/investigate-and-remediate-operational-issues-with-amazon-q-developer/</w:t>
      </w:r>
    </w:p>
    <w:p w14:paraId="738D5861" w14:textId="77777777" w:rsidR="00DC181F" w:rsidRDefault="001C4E0A">
      <w:r>
        <w:t>Google Cloud. Gemini Cloud Assist — Proactive Agentic Partner for Cloud Operations. https://cloud.google.com/products/gemini/cloud-assist</w:t>
      </w:r>
    </w:p>
    <w:p w14:paraId="10847DC6" w14:textId="77777777" w:rsidR="00DC181F" w:rsidRDefault="001C4E0A">
      <w:r>
        <w:t>Google Cloud. Mandiant Managed Defense. https://cloud.google.com/security/products/managed-defense</w:t>
      </w:r>
    </w:p>
    <w:p w14:paraId="45D9C436" w14:textId="77777777" w:rsidR="00DC181F" w:rsidRDefault="001C4E0A">
      <w:r>
        <w:t>ServiceNow. Autonomous Workforce and L1 AI Specialist (Feb 2026; 90%+ of internal IT tickets autonomously; 99% faster than human agents). https://www.servicenow.com/platform/autonomous-workforce.html</w:t>
      </w:r>
    </w:p>
    <w:p w14:paraId="4E4916B2" w14:textId="77777777" w:rsidR="00DC181F" w:rsidRDefault="001C4E0A">
      <w:r>
        <w:t>ServiceNow. Now on Now: Generative AI Use Cases / Q2 2025 Earnings Call Transcript. 23 July 2025. https://www.servicenow.com/workflow/now-on-now/generative-ai-use-cases.html</w:t>
      </w:r>
    </w:p>
    <w:p w14:paraId="64F884A7" w14:textId="77777777" w:rsidR="00DC181F" w:rsidRDefault="001C4E0A">
      <w:r>
        <w:t>VentureBeat. ServiceNow Resolves 90% of Its Own IT Requests Autonomously. 26 February 2026. https://venturebeat.com/orchestration/servicenow-resolves-90-of-its-own-it-requests-autonomously</w:t>
      </w:r>
    </w:p>
    <w:p w14:paraId="2D05DA47" w14:textId="77777777" w:rsidR="00DC181F" w:rsidRDefault="001C4E0A">
      <w:r>
        <w:t>The Register. ServiceNow: AI Bot Is Resolving 90% of Our Help Desk Tickets. 26 February 2026. https://www.theregister.com/software/2026/02/26/servicenow-ai-bot-is-resolving-90-of-our-help-desk-tickets/</w:t>
      </w:r>
    </w:p>
    <w:p w14:paraId="5493A6F0" w14:textId="77777777" w:rsidR="00DC181F" w:rsidRDefault="001C4E0A">
      <w:r>
        <w:lastRenderedPageBreak/>
        <w:t>Palo Alto Networks. Cortex XSIAM — 2025: The Year of the Autonomous SOC; Q4 FY25 results (400+ XSIAM customers; $1M+ ARR/customer). 18 August 2025. https://www.paloaltonetworks.com/company/press/2025/palo-alto-networks-reports-fiscal-fourth-quarter-and-fiscal-year-2025-financial-results</w:t>
      </w:r>
    </w:p>
    <w:p w14:paraId="3F783A87" w14:textId="77777777" w:rsidR="00DC181F" w:rsidRDefault="001C4E0A">
      <w:r>
        <w:t>CrowdStrike. Charlotte AI Detection Triage / Agentic Security Workforce. February 2025. https://www.crowdstrike.com/en-us/blog/agentic-ai-innovation-in-cybersecurity-charlotte-ai-detection-triage/</w:t>
      </w:r>
    </w:p>
    <w:p w14:paraId="026A11C2" w14:textId="77777777" w:rsidR="00DC181F" w:rsidRDefault="001C4E0A">
      <w:r>
        <w:t>SentinelOne. Purple AI Announcement. 9 April 2024. https://www.businesswire.com/news/home/20240409476688/en/</w:t>
      </w:r>
    </w:p>
    <w:p w14:paraId="3A37E23E" w14:textId="77777777" w:rsidR="00DC181F" w:rsidRDefault="001C4E0A">
      <w:r>
        <w:t>Atera. Robin Autonomous Resolution Guarantee (50% ticket resolution) / Zendesk Outcome-Based Pricing. 2026. https://www.zendesk.com/newsroom/articles/zendesk-outcome-based-pricing/</w:t>
      </w:r>
    </w:p>
    <w:p w14:paraId="0CEF4928" w14:textId="77777777" w:rsidR="00DC181F" w:rsidRDefault="001C4E0A">
      <w:r>
        <w:t>OpenAI. Klarna's AI Assistant Does the Work of 700 Full-Time Agents. February 2024. https://openai.com/index/klarna/</w:t>
      </w:r>
    </w:p>
    <w:p w14:paraId="52D64BD6" w14:textId="77777777" w:rsidR="00DC181F" w:rsidRDefault="001C4E0A">
      <w:r>
        <w:t>Forbes (Bernard Marr) / Entrepreneur. How Klarna's AI Agent Strategy Backfired, But Became a Useful Lesson. 2025–2026. https://www.forbes.com/sites/bernardmarr/2026/07/16/how-klarnas-ai-agent-strategy-backfired-but-became-a-useful-lesson/</w:t>
      </w:r>
    </w:p>
    <w:p w14:paraId="02283573" w14:textId="77777777" w:rsidR="00DC181F" w:rsidRDefault="001C4E0A">
      <w:r>
        <w:t>Sophos. Sophos Completes Secureworks Acquisition ($859 million). 3 February 2025. https://www.sophos.com/en-us/press/press-releases/2025/02/sophos-completes-secureworks-acquisition</w:t>
      </w:r>
    </w:p>
    <w:p w14:paraId="5B97350C" w14:textId="77777777" w:rsidR="00DC181F" w:rsidRDefault="001C4E0A">
      <w:r>
        <w:t>Huntress. Series D Funding Announcement ($150M at a $1.55B valuation). https://www.huntress.com/company/series-d</w:t>
      </w:r>
    </w:p>
    <w:p w14:paraId="52DAF703" w14:textId="77777777" w:rsidR="00DC181F" w:rsidRDefault="001C4E0A">
      <w:r>
        <w:t>Business of Tech. Agentic AI Breaks MSP Bundle Economics as Token Pricing Replaces Per-Seat Models. 30 April 2026. https://businessof.tech/2026/04/30/agentic-ai-breaks-msp-bundle-economics-as-token-pricing-replaces-per-seat-models/</w:t>
      </w:r>
    </w:p>
    <w:p w14:paraId="3542FCEA" w14:textId="77777777" w:rsidR="00DC181F" w:rsidRDefault="001C4E0A">
      <w:pPr>
        <w:pStyle w:val="Heading2"/>
      </w:pPr>
      <w:bookmarkStart w:id="60" w:name="_Toc236412178"/>
      <w:r>
        <w:t>Security market, cyber-risk and threat data</w:t>
      </w:r>
      <w:bookmarkEnd w:id="60"/>
    </w:p>
    <w:p w14:paraId="65ED7A24" w14:textId="77777777" w:rsidR="00DC181F" w:rsidRDefault="001C4E0A">
      <w:r>
        <w:t>Grand View Research. Managed Detection and Response Market Report, 2024–2030 ($15.31B by 2030; 23.5% CAGR). https://www.grandviewresearch.com/industry-analysis/managed-detection-response-market-report</w:t>
      </w:r>
    </w:p>
    <w:p w14:paraId="6273AED0" w14:textId="77777777" w:rsidR="00DC181F" w:rsidRDefault="001C4E0A">
      <w:r>
        <w:t>MarketsandMarkets. Managed Detection and Response Market, 2026–2031 ($19.01B; 24.8% CAGR). https://www.marketsandmarkets.com/Market-Reports/managed-detection-response-services-market-6141359.html</w:t>
      </w:r>
    </w:p>
    <w:p w14:paraId="0B064572" w14:textId="77777777" w:rsidR="00DC181F" w:rsidRDefault="001C4E0A">
      <w:r>
        <w:t>Mordor Intelligence. Managed Detection and Response Market (2026–2031); managed XDR ~27.6% CAGR. https://www.mordorintelligence.com/industry-reports/managed-detection-and-response-market</w:t>
      </w:r>
    </w:p>
    <w:p w14:paraId="0AA2DEC4" w14:textId="77777777" w:rsidR="00DC181F" w:rsidRDefault="001C4E0A">
      <w:r>
        <w:lastRenderedPageBreak/>
        <w:t>MarketsandMarkets. Extended Detection and Response (XDR) Market, Global Forecast to 2030 (services ~32.5% CAGR). https://www.marketsandmarkets.com/Market-Reports/extended-detection-response-market-52119574.html</w:t>
      </w:r>
    </w:p>
    <w:p w14:paraId="2548A919" w14:textId="77777777" w:rsidR="00DC181F" w:rsidRDefault="001C4E0A">
      <w:r>
        <w:t>Gartner. Market Guide for Managed Detection and Response Services (50% of organisations using MDR by 2025). https://www.gartner.com/en/documents/</w:t>
      </w:r>
    </w:p>
    <w:p w14:paraId="6F8BD7C8" w14:textId="77777777" w:rsidR="00DC181F" w:rsidRDefault="001C4E0A">
      <w:r>
        <w:t>Sophos. The State of Ransomware 2024. 30 April 2024. https://www.sophos.com/en-us/blog/the-state-of-ransomware-2024</w:t>
      </w:r>
    </w:p>
    <w:p w14:paraId="62E1FA3B" w14:textId="77777777" w:rsidR="00DC181F" w:rsidRDefault="001C4E0A">
      <w:r>
        <w:t>Verizon. 2024 Data Breach Investigations Report. https://www.verizon.com/business/resources/reports/2024-dbir-data-breach-investigations-report.pdf</w:t>
      </w:r>
    </w:p>
    <w:p w14:paraId="12499CE7" w14:textId="77777777" w:rsidR="00DC181F" w:rsidRDefault="001C4E0A">
      <w:r>
        <w:t>Munich Re. Cyber Insurance: Risks and Trends 2025 (~$16.3B market; &gt;2x by 2030). https://www.munichre.com/en/insights/cyber/cyber-insurance-risks-and-trends-2025.html</w:t>
      </w:r>
    </w:p>
    <w:p w14:paraId="2D14F9E0" w14:textId="77777777" w:rsidR="00DC181F" w:rsidRDefault="001C4E0A">
      <w:r>
        <w:t>ISC2. Cybersecurity Workforce Study (workforce ~5.5M; gap ~4.8M). https://www.isc2.org/research</w:t>
      </w:r>
    </w:p>
    <w:p w14:paraId="18C2C372" w14:textId="77777777" w:rsidR="00DC181F" w:rsidRDefault="001C4E0A">
      <w:r>
        <w:t>Australian Signals Directorate / ACSC. Annual Cyber Threat Report 2024–25. https://www.cyber.gov.au/about-us/view-all-content/reports-and-statistics/annual-cyber-threat-report-2024-2025</w:t>
      </w:r>
    </w:p>
    <w:p w14:paraId="02D0A151" w14:textId="77777777" w:rsidR="00DC181F" w:rsidRDefault="001C4E0A">
      <w:pPr>
        <w:pStyle w:val="Heading2"/>
      </w:pPr>
      <w:bookmarkStart w:id="61" w:name="_Toc236412179"/>
      <w:r>
        <w:t>Labour market, historical case studies and analogies</w:t>
      </w:r>
      <w:bookmarkEnd w:id="61"/>
    </w:p>
    <w:p w14:paraId="18C95D0C" w14:textId="77777777" w:rsidR="00DC181F" w:rsidRDefault="001C4E0A">
      <w:r>
        <w:t>US Bureau of Labor Statistics. Occupational Outlook Handbook: Computer Support Specialists (−3% employment 2024–2034). Modified 28 August 2025. https://www.bls.gov/ooh/computer-and-information-technology/computer-support-specialists.htm</w:t>
      </w:r>
    </w:p>
    <w:p w14:paraId="000346D2" w14:textId="77777777" w:rsidR="00DC181F" w:rsidRDefault="001C4E0A">
      <w:r>
        <w:t>US Bureau of Labor Statistics. Occupational Outlook Handbook: Information Security Analysts (+29% employment 2024–2034; 2024 median wage ~$124,910). https://www.bls.gov/ooh/computer-and-information-technology/information-security-analysts.htm</w:t>
      </w:r>
    </w:p>
    <w:p w14:paraId="18C085E9" w14:textId="77777777" w:rsidR="00DC181F" w:rsidRDefault="001C4E0A">
      <w:r>
        <w:t>Brynjolfsson, E., Li, D. and Raymond, L. Generative AI at Work. NBER Working Paper 31161 (2023); Quarterly Journal of Economics 140(2), 2025. https://www.nber.org/papers/w31161</w:t>
      </w:r>
    </w:p>
    <w:p w14:paraId="2CDE0826" w14:textId="77777777" w:rsidR="00DC181F" w:rsidRDefault="001C4E0A">
      <w:r>
        <w:t>Times Now / Business Standard. AI Is Replacing Freshers: India's IT Giants Freeze Entry-Level Hiring; Pyramid Reset. July 2025. https://www.business-standard.com/industry/news/tcs-infosys-lay-off-indian-it-sector-job-cuts-automation-ai-reskilling-125072800505_1.html</w:t>
      </w:r>
    </w:p>
    <w:p w14:paraId="5CEB6C90" w14:textId="77777777" w:rsidR="00DC181F" w:rsidRDefault="001C4E0A">
      <w:r>
        <w:t>Accenture. FY2024 and FY2025 Annual Reports (revenue, headcount, generative-AI revenue and bookings). https://investor.accenture.com/</w:t>
      </w:r>
    </w:p>
    <w:p w14:paraId="4EB0AED5" w14:textId="77777777" w:rsidR="00DC181F" w:rsidRDefault="001C4E0A">
      <w:r>
        <w:t>Accenture Newsroom. Accenture Changes Growth Model to Reinvent Itself for the Age of AI. 20 June 2025. https://newsroom.accenture.com/news/2025/accenture-changes-growth-model-to-reinvent-itself-for-the-age-of-ai</w:t>
      </w:r>
    </w:p>
    <w:p w14:paraId="6B3013B8" w14:textId="77777777" w:rsidR="00DC181F" w:rsidRDefault="001C4E0A">
      <w:r>
        <w:lastRenderedPageBreak/>
        <w:t>KoalaGains (from filings). DXC Technology Past Performance Analysis. 30 October 2025. https://koalagains.com/stocks/NYSE/DXC/past-performance</w:t>
      </w:r>
    </w:p>
    <w:p w14:paraId="2E715ABA" w14:textId="77777777" w:rsidR="00DC181F" w:rsidRDefault="001C4E0A">
      <w:r>
        <w:t>Futurum Research. Cloud Services Power CDW's Q4 Outperformance Amid Hardware Uncertainty. 9 February 2026. https://futurumgroup.com/insights/cloud-services-power-cdws-q4-outperformance-amid-hardware-uncertainty/</w:t>
      </w:r>
    </w:p>
    <w:p w14:paraId="4DB2662A" w14:textId="77777777" w:rsidR="00DC181F" w:rsidRDefault="001C4E0A">
      <w:r>
        <w:t>StockAnalysis.com (from SEC filings) / Rackspace Technology IR. Rackspace Technology (RXT) Revenue 2017–2026; Q4 and Full-Year 2025 Results. 26 February 2026. https://ir.rackspace.com/</w:t>
      </w:r>
    </w:p>
    <w:p w14:paraId="500635DE" w14:textId="77777777" w:rsidR="00DC181F" w:rsidRDefault="001C4E0A">
      <w:r>
        <w:t>Cato Institute / FEE (Dalton and Logan). Lessons from the Rise of Netflix and the Fall of Blockbuster. 26 October 2024. https://www.cato.org/commentary/lessons-rise-netflix-fall-blockbuster</w:t>
      </w:r>
    </w:p>
    <w:p w14:paraId="194D72F9" w14:textId="77777777" w:rsidR="00DC181F" w:rsidRDefault="001C4E0A">
      <w:r>
        <w:t>Quartr (Kasper Karlsson) / PetaPixel. The Dilemma That Brought Down Kodak; Why Kodak Died and Fujifilm Thrived. 2022–2025. https://quartr.com/insights/edge/the-dilemma-that-brought-down-kodak</w:t>
      </w:r>
    </w:p>
    <w:p w14:paraId="4B406E75" w14:textId="77777777" w:rsidR="00DC181F" w:rsidRDefault="001C4E0A">
      <w:r>
        <w:t>Ernie Tedeschi (BLS data), via Macro Roundup. Analysis of the Structural Decline in Demand for Travel Agents. 21 April 2026. https://www.edwardconard.com/macro-roundup/</w:t>
      </w:r>
    </w:p>
    <w:p w14:paraId="01DA5A98" w14:textId="77777777" w:rsidR="00DC181F" w:rsidRDefault="001C4E0A">
      <w:r>
        <w:t>Metrigy. Global UCaaS Market Up 6.1% in 2025 as Businesses Continue to Migrate from On-Premises Solutions. 23 March 2026. https://www.metrigy.com/</w:t>
      </w:r>
    </w:p>
    <w:sectPr w:rsidR="00DC181F"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374D" w14:textId="77777777" w:rsidR="001C4E0A" w:rsidRDefault="001C4E0A">
      <w:pPr>
        <w:spacing w:after="0" w:line="240" w:lineRule="auto"/>
      </w:pPr>
      <w:r>
        <w:separator/>
      </w:r>
    </w:p>
  </w:endnote>
  <w:endnote w:type="continuationSeparator" w:id="0">
    <w:p w14:paraId="4C8EDFD1" w14:textId="77777777" w:rsidR="001C4E0A" w:rsidRDefault="001C4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DDC82" w14:textId="77777777" w:rsidR="00DC181F" w:rsidRDefault="001C4E0A">
    <w:pP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603C5" w14:textId="77777777" w:rsidR="001C4E0A" w:rsidRDefault="001C4E0A">
      <w:pPr>
        <w:spacing w:after="0" w:line="240" w:lineRule="auto"/>
      </w:pPr>
      <w:r>
        <w:separator/>
      </w:r>
    </w:p>
  </w:footnote>
  <w:footnote w:type="continuationSeparator" w:id="0">
    <w:p w14:paraId="4F919109" w14:textId="77777777" w:rsidR="001C4E0A" w:rsidRDefault="001C4E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3D6B" w14:textId="685966B6" w:rsidR="004F723E" w:rsidRPr="004F723E" w:rsidRDefault="004F723E">
    <w:pPr>
      <w:pStyle w:val="Header"/>
      <w:rPr>
        <w:sz w:val="20"/>
        <w:szCs w:val="20"/>
        <w:lang w:val="en-AU"/>
      </w:rPr>
    </w:pPr>
    <w:r w:rsidRPr="004F723E">
      <w:rPr>
        <w:sz w:val="20"/>
        <w:szCs w:val="20"/>
        <w:lang w:val="en-AU"/>
      </w:rPr>
      <w:t xml:space="preserve">© </w:t>
    </w:r>
    <w:hyperlink r:id="rId1" w:history="1">
      <w:r w:rsidRPr="004F723E">
        <w:rPr>
          <w:rStyle w:val="Hyperlink"/>
          <w:sz w:val="20"/>
          <w:szCs w:val="20"/>
          <w:lang w:val="en-AU"/>
        </w:rPr>
        <w:t>www.ciaops.com</w:t>
      </w:r>
    </w:hyperlink>
    <w:r w:rsidRPr="004F723E">
      <w:rPr>
        <w:sz w:val="20"/>
        <w:szCs w:val="20"/>
        <w:lang w:val="en-AU"/>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DD2E66"/>
    <w:multiLevelType w:val="multilevel"/>
    <w:tmpl w:val="22E630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A18470D"/>
    <w:multiLevelType w:val="multilevel"/>
    <w:tmpl w:val="22E630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77490F99"/>
    <w:multiLevelType w:val="multilevel"/>
    <w:tmpl w:val="0BB44538"/>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83711297">
    <w:abstractNumId w:val="8"/>
  </w:num>
  <w:num w:numId="2" w16cid:durableId="1343047110">
    <w:abstractNumId w:val="6"/>
  </w:num>
  <w:num w:numId="3" w16cid:durableId="1618172656">
    <w:abstractNumId w:val="5"/>
  </w:num>
  <w:num w:numId="4" w16cid:durableId="2054496174">
    <w:abstractNumId w:val="4"/>
  </w:num>
  <w:num w:numId="5" w16cid:durableId="90441256">
    <w:abstractNumId w:val="7"/>
  </w:num>
  <w:num w:numId="6" w16cid:durableId="1936746324">
    <w:abstractNumId w:val="3"/>
  </w:num>
  <w:num w:numId="7" w16cid:durableId="1848329842">
    <w:abstractNumId w:val="2"/>
  </w:num>
  <w:num w:numId="8" w16cid:durableId="1826893907">
    <w:abstractNumId w:val="1"/>
  </w:num>
  <w:num w:numId="9" w16cid:durableId="791241734">
    <w:abstractNumId w:val="0"/>
  </w:num>
  <w:num w:numId="10" w16cid:durableId="1155030558">
    <w:abstractNumId w:val="11"/>
  </w:num>
  <w:num w:numId="11" w16cid:durableId="1317955818">
    <w:abstractNumId w:val="10"/>
  </w:num>
  <w:num w:numId="12" w16cid:durableId="1102260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4C9"/>
    <w:rsid w:val="0015074B"/>
    <w:rsid w:val="001C4E0A"/>
    <w:rsid w:val="002873F1"/>
    <w:rsid w:val="0029639D"/>
    <w:rsid w:val="00326F90"/>
    <w:rsid w:val="003D31E8"/>
    <w:rsid w:val="004F723E"/>
    <w:rsid w:val="00735436"/>
    <w:rsid w:val="008F7ABA"/>
    <w:rsid w:val="00AA1D8D"/>
    <w:rsid w:val="00B47730"/>
    <w:rsid w:val="00CB0664"/>
    <w:rsid w:val="00DC18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C99ED"/>
  <w14:defaultImageDpi w14:val="300"/>
  <w15:docId w15:val="{4E951EAA-504B-447A-B78D-C4C613CE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31E8"/>
    <w:pPr>
      <w:spacing w:after="100"/>
    </w:pPr>
  </w:style>
  <w:style w:type="paragraph" w:styleId="TOC2">
    <w:name w:val="toc 2"/>
    <w:basedOn w:val="Normal"/>
    <w:next w:val="Normal"/>
    <w:autoRedefine/>
    <w:uiPriority w:val="39"/>
    <w:unhideWhenUsed/>
    <w:rsid w:val="003D31E8"/>
    <w:pPr>
      <w:spacing w:after="100"/>
      <w:ind w:left="220"/>
    </w:pPr>
  </w:style>
  <w:style w:type="character" w:styleId="Hyperlink">
    <w:name w:val="Hyperlink"/>
    <w:basedOn w:val="DefaultParagraphFont"/>
    <w:uiPriority w:val="99"/>
    <w:unhideWhenUsed/>
    <w:rsid w:val="003D31E8"/>
    <w:rPr>
      <w:color w:val="0000FF" w:themeColor="hyperlink"/>
      <w:u w:val="single"/>
    </w:rPr>
  </w:style>
  <w:style w:type="character" w:styleId="UnresolvedMention">
    <w:name w:val="Unresolved Mention"/>
    <w:basedOn w:val="DefaultParagraphFont"/>
    <w:uiPriority w:val="99"/>
    <w:semiHidden/>
    <w:unhideWhenUsed/>
    <w:rsid w:val="004F7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hyperlink" Target="http://www.ciaop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3E20864-E3C7-4AFD-A760-E0110DE99FCA}"/>
</file>

<file path=customXml/itemProps3.xml><?xml version="1.0" encoding="utf-8"?>
<ds:datastoreItem xmlns:ds="http://schemas.openxmlformats.org/officeDocument/2006/customXml" ds:itemID="{568B1B77-4C20-4088-B273-EF89E3AFC7DC}"/>
</file>

<file path=customXml/itemProps4.xml><?xml version="1.0" encoding="utf-8"?>
<ds:datastoreItem xmlns:ds="http://schemas.openxmlformats.org/officeDocument/2006/customXml" ds:itemID="{9A7EDB31-A65B-44CC-A5AB-2F239868025C}"/>
</file>

<file path=docProps/app.xml><?xml version="1.0" encoding="utf-8"?>
<Properties xmlns="http://schemas.openxmlformats.org/officeDocument/2006/extended-properties" xmlns:vt="http://schemas.openxmlformats.org/officeDocument/2006/docPropsVTypes">
  <Template>Normal.dotm</Template>
  <TotalTime>13</TotalTime>
  <Pages>54</Pages>
  <Words>17084</Words>
  <Characters>108488</Characters>
  <Application>Microsoft Office Word</Application>
  <DocSecurity>0</DocSecurity>
  <Lines>2465</Lines>
  <Paragraphs>944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Traditional MSP and TSP Business Model Becoming Obsolete?</dc:title>
  <dc:subject/>
  <dc:creator>python-docx</dc:creator>
  <cp:keywords/>
  <dc:description>generated by python-docx</dc:description>
  <cp:lastModifiedBy>Robert D. Crane</cp:lastModifiedBy>
  <cp:revision>7</cp:revision>
  <cp:lastPrinted>2026-07-31T07:44:00Z</cp:lastPrinted>
  <dcterms:created xsi:type="dcterms:W3CDTF">2026-07-31T07:40:00Z</dcterms:created>
  <dcterms:modified xsi:type="dcterms:W3CDTF">2026-07-31T07:44:00Z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