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Note: the links and images in this document may point to external sources. Please review them before opening.</w:t>
      </w:r>
    </w:p>
    <w:p>
      <w:pPr>
        <w:pStyle w:val="Heading1"/>
      </w:pPr>
      <w:r>
        <w:t>Strategic Research Report: The Obsolescence of the Traditional MSP and TSP Business Model (2026–2035)</w:t>
      </w:r>
    </w:p>
    <w:p>
      <w:r>
        <w:rPr>
          <w:b/>
        </w:rPr>
        <w:t>An Evidence-Based Analysis of Margin Compression, Agentic AI Disintermediation, Hyperscaler Convergence, and Valuation Bifurcation</w:t>
      </w:r>
    </w:p>
    <w:p>
      <w:pPr>
        <w:pBdr>
          <w:bottom w:val="single" w:sz="6" w:space="1" w:color="808080"/>
        </w:pBdr>
      </w:pPr>
    </w:p>
    <w:p>
      <w:pPr>
        <w:pStyle w:val="Heading2"/>
      </w:pPr>
      <w:r>
        <w:t>1. Executive Summary</w:t>
      </w:r>
    </w:p>
    <w:p>
      <w:pPr>
        <w:pStyle w:val="Heading3"/>
      </w:pPr>
      <w:r>
        <w:t>1.1 The Core Thesis Put to the Test</w:t>
      </w:r>
    </w:p>
    <w:p>
      <w:r>
        <w:t xml:space="preserve">For the past two decades, the conventional Managed Service Provider (MSP) and Technology Service Provider (TSP) business model has operated on a remarkably resilient economic equation: </w:t>
      </w:r>
      <w:r>
        <w:rPr>
          <w:b/>
        </w:rPr>
        <w:t>bundle reactive help desk support, remote monitoring and management (RMM), basic endpoint security, and license resale into a predictable per-user or per-device Monthly Recurring Revenue (MRR) contract.</w:t>
      </w:r>
      <w:r>
        <w:t xml:space="preserve"> To a successful MSP owner generating $3 million to $15 million in annual revenue with 12% to 18% EBITDA margins, the suggestion that this operating model is approaching structural obsolescence often sounds like vendor hype. After all, Canalys (now part of Omdia) projects global managed services revenue to grow approximately 13% annually, surpassing $595 billion out of a $610 billion total addressable market (TAM).</w:t>
      </w:r>
    </w:p>
    <w:p>
      <w:r>
        <w:t xml:space="preserve">However, an objective examination of empirical market data, vendor architecture shifts, labor economics, and private equity (PE) valuation cohorts reveals a critical paradox: </w:t>
      </w:r>
      <w:r>
        <w:rPr>
          <w:b/>
        </w:rPr>
        <w:t>while the aggregate demand for managed technology outcomes is expanding rapidly, the traditional mechanism for delivering and monetizing those services—human-led reactive support, manual tenant administration, and per-seat infrastructure maintenance—is becoming economically and strategically unsustainable over a 3- to 10-year horizon.</w:t>
      </w:r>
    </w:p>
    <w:p>
      <w:pPr>
        <w:pStyle w:val="Heading3"/>
      </w:pPr>
      <w:r>
        <w:t>1.2 Summary Verdict</w:t>
      </w:r>
    </w:p>
    <w:p>
      <w:r>
        <w:t xml:space="preserve">The evidence does </w:t>
      </w:r>
      <w:r>
        <w:rPr>
          <w:b/>
        </w:rPr>
        <w:t>not</w:t>
      </w:r>
      <w:r>
        <w:t xml:space="preserve"> support the conclusion that the MSP </w:t>
      </w:r>
      <w:r>
        <w:rPr>
          <w:i/>
        </w:rPr>
        <w:t>category</w:t>
      </w:r>
      <w:r>
        <w:t xml:space="preserve"> will disappear. Rather, the evidence proves that the </w:t>
      </w:r>
      <w:r>
        <w:rPr>
          <w:b/>
        </w:rPr>
        <w:t>Traditional Infrastructure &amp; Help Desk MSP Model</w:t>
      </w:r>
      <w:r>
        <w:t xml:space="preserve"> is undergoing terminal commoditization and revenue cannibalization. Specifically:</w:t>
      </w:r>
    </w:p>
    <w:p>
      <w:pPr>
        <w:pStyle w:val="ListNumber"/>
      </w:pPr>
      <w:r>
        <w:rPr>
          <w:b/>
        </w:rPr>
        <w:t>The Shrinking Indirect Channel Slice:</w:t>
      </w:r>
      <w:r>
        <w:t xml:space="preserve"> While global IT spending is projected to climb 10.2% to $6.07 trillion in 2026, the share of IT spending flowing through the traditional indirect channel has fallen from over 75% historically to roughly 70% recently, and is projected by Canalys to drop to approximately 66.7% as hyperscaler AI infrastructure capital expenditures bypass traditional resale models.</w:t>
      </w:r>
    </w:p>
    <w:p>
      <w:pPr>
        <w:pStyle w:val="ListNumber"/>
      </w:pPr>
      <w:r>
        <w:rPr>
          <w:b/>
        </w:rPr>
        <w:t>Autonomous Resolution of Core MSP Workloads:</w:t>
      </w:r>
      <w:r>
        <w:t xml:space="preserve"> Gartner predicts that by 2029, agentic AI will autonomously resolve 80% of common service issues without human intervention, driving a 30% reduction in operational delivery costs. Early adopters of AI-centric service desks tracked by Forrester and Omdia are already reporting 50% to 90% automated triage and resolution of Level 1 and Level 2 ticket volumes.</w:t>
      </w:r>
    </w:p>
    <w:p>
      <w:pPr>
        <w:pStyle w:val="ListNumber"/>
      </w:pPr>
      <w:r>
        <w:rPr>
          <w:b/>
        </w:rPr>
        <w:t>Hyperscaler Self-Healing and Control Planes:</w:t>
      </w:r>
      <w:r>
        <w:t xml:space="preserve"> With the introduction of unified agentic control planes—such as Microsoft Agent 365, Entra Agent ID, Security Copilot embedded directly into Microsoft Intune/Defender/Purview, and Azure Copilot for agentic cloud operations—vendors are systematically eliminating the manual configuration, license provisioning, and basic troubleshooting tasks that previously justified $100 to $175 per-user monthly support retainers.</w:t>
      </w:r>
    </w:p>
    <w:p>
      <w:pPr>
        <w:pStyle w:val="ListNumber"/>
      </w:pPr>
      <w:r>
        <w:rPr>
          <w:b/>
        </w:rPr>
        <w:t>Valuation Bifurcation:</w:t>
      </w:r>
      <w:r>
        <w:t xml:space="preserve"> Private equity and M&amp;A transaction benchmarks from Service Leadership Inc., Peak Technology Partners, and ConnectWise reveal a stark K-shaped split. Sub-scale or low-maturity MSPs reliant on reactive support, low MRR ratios, or commodity resale trade at compressed multiples of 3.5x to 6.0x adjusted EBITDA, whereas platform-scale MSPs (</w:t>
      </w:r>
      <m:oMath>
        <m:box>
          <m:boxPr/>
          <m:e>
            <m:r>
              <m:rPr>
                <m:sty m:val="p"/>
              </m:rPr>
              <m:t>10</m:t>
            </m:r>
            <m:r>
              <m:rPr>
                <m:sty m:val="i"/>
              </m:rPr>
              <m:t>M</m:t>
            </m:r>
            <m:r>
              <m:rPr>
                <m:sty m:val="i"/>
              </m:rPr>
              <m:t>–</m:t>
            </m:r>
          </m:e>
        </m:box>
      </m:oMath>
      <w:r>
        <w:t>25M revenue) with &gt;80% MRR, deep Managed Detection and Response (MDR)/cybersecurity integration, and high Operational Maturity Levels (OML) command 10.0x to 13.5x adjusted EBITDA and generate roughly 3x the absolute EBITDA dollars of median peers.</w:t>
      </w:r>
    </w:p>
    <w:p>
      <w:r>
        <w:rPr>
          <w:b/>
        </w:rPr>
        <w:t>Executive Conclusion:</w:t>
      </w:r>
      <w:r>
        <w:t xml:space="preserve"> An MSP owner who maintains a conventional operating model through 2030 will face severe price deflation on per-user contracts, client-driven demands for AI efficiency rebates, rising cybersecurity liability, and a shrinking pool of acquirers willing to underwrite legacy labor-arbitrage cash flows. Survival and enterprise value creation require a deliberate transition from </w:t>
      </w:r>
      <w:r>
        <w:rPr>
          <w:b/>
        </w:rPr>
        <w:t>Labor-Arbitrage IT Support</w:t>
      </w:r>
      <w:r>
        <w:t xml:space="preserve"> to </w:t>
      </w:r>
      <w:r>
        <w:rPr>
          <w:b/>
        </w:rPr>
        <w:t>AI-Augmented Business Transformation, Autonomous Governance, and Outcome-Driven Security (MXDR/CTEM).</w:t>
      </w:r>
    </w:p>
    <w:p>
      <w:pPr>
        <w:pBdr>
          <w:bottom w:val="single" w:sz="6" w:space="1" w:color="808080"/>
        </w:pBdr>
      </w:pPr>
    </w:p>
    <w:p>
      <w:pPr>
        <w:pStyle w:val="Heading2"/>
      </w:pPr>
      <w:r>
        <w:t>2. Research Methodology</w:t>
      </w:r>
    </w:p>
    <w:p>
      <w:pPr>
        <w:pStyle w:val="Heading3"/>
      </w:pPr>
      <w:r>
        <w:t>2.1 Analytical Framework and Objectivity Standard</w:t>
      </w:r>
    </w:p>
    <w:p>
      <w:r>
        <w:t xml:space="preserve">To avoid confirmation bias, this study was structured around a null hypothesis: </w:t>
      </w:r>
      <w:r>
        <w:rPr>
          <w:i/>
        </w:rPr>
        <w:t>that the traditional MSP business model remains durable and that AI/cloud advancements merely represent incremental tool upgrades similar to the transition from on-premises servers to cloud hosting.</w:t>
      </w:r>
    </w:p>
    <w:p>
      <w:r>
        <w:t>To test this hypothesis rigorously, we evaluated five structural pillars across a 3- to 10-year timeframe (2026–2035):</w:t>
      </w:r>
    </w:p>
    <w:p>
      <w:pPr>
        <w:pStyle w:val="ListNumber"/>
      </w:pPr>
      <w:r>
        <w:rPr>
          <w:b/>
        </w:rPr>
        <w:t>Unit Economics &amp; Pricing Elasticity:</w:t>
      </w:r>
      <w:r>
        <w:t xml:space="preserve"> Analyzing whether per-user/per-device pricing survives when ticket volumes and human intervention drop by 50%–80%.</w:t>
      </w:r>
    </w:p>
    <w:p>
      <w:pPr>
        <w:pStyle w:val="ListNumber"/>
      </w:pPr>
      <w:r>
        <w:rPr>
          <w:b/>
        </w:rPr>
        <w:t>Technological Substitution (Agentic AI vs. Human Labor):</w:t>
      </w:r>
      <w:r>
        <w:t xml:space="preserve"> Distinguishing between "agent washing" (basic chatbots) and genuine autonomous execution engines across Level 1–3 engineering tiers.</w:t>
      </w:r>
    </w:p>
    <w:p>
      <w:pPr>
        <w:pStyle w:val="ListNumber"/>
      </w:pPr>
      <w:r>
        <w:rPr>
          <w:b/>
        </w:rPr>
        <w:t>Vendor Platform Architecture:</w:t>
      </w:r>
      <w:r>
        <w:t xml:space="preserve"> Auditing Microsoft, AWS, Google Cloud, and SaaS roadmaps to determine whether native control planes disintermediate partner administration.</w:t>
      </w:r>
    </w:p>
    <w:p>
      <w:pPr>
        <w:pStyle w:val="ListNumber"/>
      </w:pPr>
      <w:r>
        <w:rPr>
          <w:b/>
        </w:rPr>
        <w:t>Risk &amp; Security Asymmetric Liability:</w:t>
      </w:r>
      <w:r>
        <w:t xml:space="preserve"> Evaluating the divergence between generalist MSP security bundles and true 24/7 human-led, AI-augmented MDR/MXDR requirements.</w:t>
      </w:r>
    </w:p>
    <w:p>
      <w:pPr>
        <w:pStyle w:val="ListNumber"/>
      </w:pPr>
      <w:r>
        <w:rPr>
          <w:b/>
        </w:rPr>
        <w:t>Capital Markets &amp; M&amp;A Underwriting:</w:t>
      </w:r>
      <w:r>
        <w:t xml:space="preserve"> Assessing how institutional investors and strategic consolidators price different cohorts of MSP earnings.</w:t>
      </w:r>
    </w:p>
    <w:p>
      <w:pPr>
        <w:pStyle w:val="Heading3"/>
      </w:pPr>
      <w:r>
        <w:t>2.2 Source Hierarchy</w:t>
      </w:r>
    </w:p>
    <w:p>
      <w:r>
        <w:t>Data and citations in this report are drawn from verifiable industry benchmarks and primary research:</w:t>
      </w:r>
    </w:p>
    <w:p>
      <w:pPr>
        <w:pStyle w:val="ListBullet"/>
      </w:pPr>
      <w:r>
        <w:rPr>
          <w:b/>
        </w:rPr>
        <w:t>Industry Analysts:</w:t>
      </w:r>
      <w:r>
        <w:t xml:space="preserve"> Gartner (Customer Service &amp; Support, Enterprise Software, and MDR Market Guides), Forrester Research (Total Economic Impact™ [TEI] studies for Microsoft Modern Work and AI Business Solutions, AI-Centric Service Desk blueprints), Canalys / Omdia (Global MSP Landscape and Channel Forum data), and ISG.</w:t>
      </w:r>
    </w:p>
    <w:p>
      <w:pPr>
        <w:pStyle w:val="ListBullet"/>
      </w:pPr>
      <w:r>
        <w:rPr>
          <w:b/>
        </w:rPr>
        <w:t>Financial &amp; M&amp;A Benchmarks:</w:t>
      </w:r>
      <w:r>
        <w:t xml:space="preserve"> Service Leadership Index® (ConnectWise), Peak Technology Partners, Corum Group, Aventis Advisors, GF Data, and Federal Reserve H.15 statistical releases.</w:t>
      </w:r>
    </w:p>
    <w:p>
      <w:pPr>
        <w:pStyle w:val="ListBullet"/>
      </w:pPr>
      <w:r>
        <w:rPr>
          <w:b/>
        </w:rPr>
        <w:t>Technology Vendor Roadmaps:</w:t>
      </w:r>
      <w:r>
        <w:t xml:space="preserve"> Microsoft Ignite and Build architectural disclosures (Agent 365, Copilot Studio, Security Copilot, Microsoft Foundry, Purview, Entra, Intune).</w:t>
      </w:r>
    </w:p>
    <w:p>
      <w:pPr>
        <w:pStyle w:val="ListBullet"/>
      </w:pPr>
      <w:r>
        <w:rPr>
          <w:b/>
        </w:rPr>
        <w:t>Macro-Labor &amp; Economic Institutions:</w:t>
      </w:r>
      <w:r>
        <w:t xml:space="preserve"> World Economic Forum (</w:t>
      </w:r>
      <w:r>
        <w:rPr>
          <w:i/>
        </w:rPr>
        <w:t>Future of Jobs Report 2025</w:t>
      </w:r>
      <w:r>
        <w:t>), Deloitte (</w:t>
      </w:r>
      <w:r>
        <w:rPr>
          <w:i/>
        </w:rPr>
        <w:t>Human Capital Trends</w:t>
      </w:r>
      <w:r>
        <w:t>), and CompTIA industry benchmarks.</w:t>
      </w:r>
    </w:p>
    <w:p>
      <w:pPr>
        <w:pBdr>
          <w:bottom w:val="single" w:sz="6" w:space="1" w:color="808080"/>
        </w:pBdr>
      </w:pPr>
    </w:p>
    <w:p>
      <w:pPr>
        <w:pStyle w:val="Heading2"/>
      </w:pPr>
      <w:r>
        <w:t>3. Key Findings</w:t>
      </w:r>
    </w:p>
    <w:p>
      <w:pPr>
        <w:pStyle w:val="ListNumber"/>
      </w:pPr>
      <w:r>
        <w:rPr>
          <w:b/>
        </w:rPr>
        <w:t>The "Insurance Policy" Trap Is Breaking:</w:t>
      </w:r>
      <w:r>
        <w:t xml:space="preserve"> Traditional managed services operate like an actuarial insurance policy—clients pay a fixed monthly fee per user/device, and the MSP bets that recurring revenue will exceed the labor cost of reactive incident resolution. As native cloud stability and self-service AI agents eliminate routine break/fix incidents, clients increasingly question the ROI of static per-seat support retainers.</w:t>
      </w:r>
    </w:p>
    <w:p>
      <w:pPr>
        <w:pStyle w:val="ListNumber"/>
      </w:pPr>
      <w:r>
        <w:rPr>
          <w:b/>
        </w:rPr>
        <w:t>Channel Disintermediation in the AI Era:</w:t>
      </w:r>
      <w:r>
        <w:t xml:space="preserve"> Global IT spending is growing at 8% to 10.2% annually ($5.44T in 2025 to $6.07T in 2026), yet the indirect channel share of total IT spend is contracting toward 66.7%. Hyperscalers capture the bulk of AI infrastructure CapEx directly, leaving partners to compete solely on client-facing advisory, integration, governance, and managed outcomes.</w:t>
      </w:r>
    </w:p>
    <w:p>
      <w:pPr>
        <w:pStyle w:val="ListNumber"/>
      </w:pPr>
      <w:r>
        <w:rPr>
          <w:b/>
        </w:rPr>
        <w:t>Massive Deflection of Frontline Support:</w:t>
      </w:r>
      <w:r>
        <w:t xml:space="preserve"> Agent orchestration systems and AI service desks are cutting resolution times by 40% to 90% and deflecting 50% to 67% of incoming requests today, scaling toward 80% autonomous resolution of common issues by 2029.</w:t>
      </w:r>
    </w:p>
    <w:p>
      <w:pPr>
        <w:pStyle w:val="ListNumber"/>
      </w:pPr>
      <w:r>
        <w:rPr>
          <w:b/>
        </w:rPr>
        <w:t>Procurement Pushback and Revenue Cannibalization:</w:t>
      </w:r>
      <w:r>
        <w:t xml:space="preserve"> Enterprise and midmarket procurement leaders are actively restructuring managed service contracts—demanding shared efficiency savings, pricing corridors that flex downward as AI absorbs ticket volume, and explicit IP ownership clauses.</w:t>
      </w:r>
    </w:p>
    <w:p>
      <w:pPr>
        <w:pStyle w:val="ListNumber"/>
      </w:pPr>
      <w:r>
        <w:rPr>
          <w:b/>
        </w:rPr>
        <w:t>The $103.75 to $124.85 Per-User AI Opportunity Requires New DNA:</w:t>
      </w:r>
      <w:r>
        <w:t xml:space="preserve"> Forrester Total Economic Impact™ (TEI) studies show that while legacy support margins are compressing, Microsoft partners moving into AI Business Solutions (Copilot, Copilot Studio agents, Power Platform, security/governance, and Dynamics 365) unlock $103.75 per user per month in SMB expected services revenue and $124.85 per user per month in enterprise cohorts.</w:t>
      </w:r>
    </w:p>
    <w:p>
      <w:pPr>
        <w:pStyle w:val="ListNumber"/>
      </w:pPr>
      <w:r>
        <w:rPr>
          <w:b/>
        </w:rPr>
        <w:t>Generalist MSP Security Is a Liability, Not a Differentiator:</w:t>
      </w:r>
      <w:r>
        <w:t xml:space="preserve"> With over 600 vendors claiming MDR capabilities, Gartner notes that tool-centric alerting fails buyer requirements. By 2028, 50% of MDR findings will encompass proactive threat exposure management (CTEM), up from ~20% recently, requiring deep visibility across IaaS, SaaS, and identity fabrics that generalist MSPs cannot maintain in-house.</w:t>
      </w:r>
    </w:p>
    <w:p>
      <w:pPr>
        <w:pStyle w:val="ListNumber"/>
      </w:pPr>
      <w:r>
        <w:rPr>
          <w:b/>
        </w:rPr>
        <w:t>Operational Maturity Dictates Enterprise Value:</w:t>
      </w:r>
      <w:r>
        <w:t xml:space="preserve"> High-Operational Maturity Level (OML) MSPs generate ~3x the EBITDA of median MSPs at identical revenue levels and command an 8.5x to 13.5x EBITDA multiple, compared to 3.5x to 6.0x for low-maturity, owner-dependent firms.</w:t>
      </w:r>
    </w:p>
    <w:p>
      <w:pPr>
        <w:pBdr>
          <w:bottom w:val="single" w:sz="6" w:space="1" w:color="808080"/>
        </w:pBdr>
      </w:pPr>
    </w:p>
    <w:p>
      <w:pPr>
        <w:pStyle w:val="Heading2"/>
      </w:pPr>
      <w:r>
        <w:t>4. Evidence and Source Citations Matrix</w:t>
      </w:r>
    </w:p>
    <w:p>
      <w:r>
        <w:t>The following table synthesizes the foundational empirical evidence supporting the report's analysis across our primary research domains.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160"/>
        <w:gridCol w:w="2160"/>
        <w:gridCol w:w="2160"/>
        <w:gridCol w:w="2160"/>
      </w:tblGrid>
      <w:tr>
        <w:tc>
          <w:tcPr>
            <w:tcW w:type="dxa" w:w="2160"/>
            <w:shd w:val="clear" w:color="auto" w:fill="F1F3F4"/>
          </w:tcPr>
          <w:p>
            <w:r>
              <w:rPr>
                <w:b/>
              </w:rPr>
              <w:t>Research Domain</w:t>
            </w:r>
          </w:p>
        </w:tc>
        <w:tc>
          <w:tcPr>
            <w:tcW w:type="dxa" w:w="2160"/>
            <w:shd w:val="clear" w:color="auto" w:fill="F1F3F4"/>
          </w:tcPr>
          <w:p>
            <w:r>
              <w:rPr>
                <w:b/>
              </w:rPr>
              <w:t>Key Metric / Forecast</w:t>
            </w:r>
          </w:p>
        </w:tc>
        <w:tc>
          <w:tcPr>
            <w:tcW w:type="dxa" w:w="2160"/>
            <w:shd w:val="clear" w:color="auto" w:fill="F1F3F4"/>
          </w:tcPr>
          <w:p>
            <w:r>
              <w:rPr>
                <w:b/>
              </w:rPr>
              <w:t>Empirical Finding &amp; Strategic Implication</w:t>
            </w:r>
          </w:p>
        </w:tc>
        <w:tc>
          <w:tcPr>
            <w:tcW w:type="dxa" w:w="2160"/>
            <w:shd w:val="clear" w:color="auto" w:fill="F1F3F4"/>
          </w:tcPr>
          <w:p>
            <w:r>
              <w:rPr>
                <w:b/>
              </w:rPr>
              <w:t>Primary Authority / Source</w:t>
            </w:r>
          </w:p>
        </w:tc>
      </w:tr>
      <w:tr>
        <w:tc>
          <w:tcPr>
            <w:tcW w:type="dxa" w:w="2160"/>
          </w:tcPr>
          <w:p>
            <w:r>
              <w:rPr>
                <w:b/>
              </w:rPr>
              <w:t>Global IT &amp; Channel Share</w:t>
            </w:r>
          </w:p>
        </w:tc>
        <w:tc>
          <w:tcPr>
            <w:tcW w:type="dxa" w:w="2160"/>
          </w:tcPr>
          <w:p>
            <w:r>
              <w:t>$6.07T Global IT Spend (10.2% YoY growth); Channel share dropping from &gt;75% to ~66.7%</w:t>
            </w:r>
          </w:p>
        </w:tc>
        <w:tc>
          <w:tcPr>
            <w:tcW w:type="dxa" w:w="2160"/>
          </w:tcPr>
          <w:p>
            <w:r>
              <w:t>Record AI-driven IT spending is bypassing traditional hardware/software resale; value shifts to high-margin services.</w:t>
            </w:r>
          </w:p>
        </w:tc>
        <w:tc>
          <w:tcPr>
            <w:tcW w:type="dxa" w:w="2160"/>
          </w:tcPr>
          <w:p>
            <w:r>
              <w:t>Canalys / Omdia Global IT Outlook</w:t>
            </w:r>
          </w:p>
        </w:tc>
      </w:tr>
      <w:tr>
        <w:tc>
          <w:tcPr>
            <w:tcW w:type="dxa" w:w="2160"/>
            <w:shd w:val="clear" w:color="auto" w:fill="FAFAFA"/>
          </w:tcPr>
          <w:p>
            <w:r>
              <w:rPr>
                <w:b/>
              </w:rPr>
              <w:t>Global Managed Services TAM</w:t>
            </w:r>
          </w:p>
        </w:tc>
        <w:tc>
          <w:tcPr>
            <w:tcW w:type="dxa" w:w="2160"/>
            <w:shd w:val="clear" w:color="auto" w:fill="FAFAFA"/>
          </w:tcPr>
          <w:p>
            <w:r>
              <w:t>$595B MSP-delivered market (~13% YoY growth); $610B total TAM (1.5x SaaS market)</w:t>
            </w:r>
          </w:p>
        </w:tc>
        <w:tc>
          <w:tcPr>
            <w:tcW w:type="dxa" w:w="2160"/>
            <w:shd w:val="clear" w:color="auto" w:fill="FAFAFA"/>
          </w:tcPr>
          <w:p>
            <w:r>
              <w:t>82% of end clients are increasing outsourcing spend, but demand is shifting toward AI, compliance, and cyber complexity.</w:t>
            </w:r>
          </w:p>
        </w:tc>
        <w:tc>
          <w:tcPr>
            <w:tcW w:type="dxa" w:w="2160"/>
            <w:shd w:val="clear" w:color="auto" w:fill="FAFAFA"/>
          </w:tcPr>
          <w:p>
            <w:r>
              <w:t>Canalys Managed Services Forecast</w:t>
            </w:r>
          </w:p>
        </w:tc>
      </w:tr>
      <w:tr>
        <w:tc>
          <w:tcPr>
            <w:tcW w:type="dxa" w:w="2160"/>
          </w:tcPr>
          <w:p>
            <w:r>
              <w:rPr>
                <w:b/>
              </w:rPr>
              <w:t>Autonomous Service Desk</w:t>
            </w:r>
          </w:p>
        </w:tc>
        <w:tc>
          <w:tcPr>
            <w:tcW w:type="dxa" w:w="2160"/>
          </w:tcPr>
          <w:p>
            <w:r>
              <w:t>80% autonomous resolution of common issues by 2029; 30% operational cost reduction</w:t>
            </w:r>
          </w:p>
        </w:tc>
        <w:tc>
          <w:tcPr>
            <w:tcW w:type="dxa" w:w="2160"/>
          </w:tcPr>
          <w:p>
            <w:r>
              <w:t>Routine L1/L2 ticket handling will be commoditized by agentic AI, destroying ticket-volume value justification.</w:t>
            </w:r>
          </w:p>
        </w:tc>
        <w:tc>
          <w:tcPr>
            <w:tcW w:type="dxa" w:w="2160"/>
          </w:tcPr>
          <w:p>
            <w:r>
              <w:t>Gartner Customer Service &amp; Support Forecast</w:t>
            </w:r>
          </w:p>
        </w:tc>
      </w:tr>
      <w:tr>
        <w:tc>
          <w:tcPr>
            <w:tcW w:type="dxa" w:w="2160"/>
            <w:shd w:val="clear" w:color="auto" w:fill="FAFAFA"/>
          </w:tcPr>
          <w:p>
            <w:r>
              <w:rPr>
                <w:b/>
              </w:rPr>
              <w:t>Enterprise Agentic AI Adoption</w:t>
            </w:r>
          </w:p>
        </w:tc>
        <w:tc>
          <w:tcPr>
            <w:tcW w:type="dxa" w:w="2160"/>
            <w:shd w:val="clear" w:color="auto" w:fill="FAFAFA"/>
          </w:tcPr>
          <w:p>
            <w:r>
              <w:t>33% of enterprise software apps will embed agentic AI by 2028 (up from &lt;1% in 2024); 15% of daily decisions autonomous</w:t>
            </w:r>
          </w:p>
        </w:tc>
        <w:tc>
          <w:tcPr>
            <w:tcW w:type="dxa" w:w="2160"/>
            <w:shd w:val="clear" w:color="auto" w:fill="FAFAFA"/>
          </w:tcPr>
          <w:p>
            <w:r>
              <w:t>Autonomous execution arrives natively inside tools employees already use (CRM, HR, IT service desks), bypassing third-party tools.</w:t>
            </w:r>
          </w:p>
        </w:tc>
        <w:tc>
          <w:tcPr>
            <w:tcW w:type="dxa" w:w="2160"/>
            <w:shd w:val="clear" w:color="auto" w:fill="FAFAFA"/>
          </w:tcPr>
          <w:p>
            <w:r>
              <w:t>Gartner Enterprise Software Predictions</w:t>
            </w:r>
          </w:p>
        </w:tc>
      </w:tr>
      <w:tr>
        <w:tc>
          <w:tcPr>
            <w:tcW w:type="dxa" w:w="2160"/>
          </w:tcPr>
          <w:p>
            <w:r>
              <w:rPr>
                <w:b/>
              </w:rPr>
              <w:t>Agentic Project Failure Risk</w:t>
            </w:r>
          </w:p>
        </w:tc>
        <w:tc>
          <w:tcPr>
            <w:tcW w:type="dxa" w:w="2160"/>
          </w:tcPr>
          <w:p>
            <w:r>
              <w:t>&gt;40% of agentic AI projects cancelled by end of 2027 due to cost, unclear ROI, or weak risk controls</w:t>
            </w:r>
          </w:p>
        </w:tc>
        <w:tc>
          <w:tcPr>
            <w:tcW w:type="dxa" w:w="2160"/>
          </w:tcPr>
          <w:p>
            <w:r>
              <w:t>Creates massive demand for MSP AI Governance, data readiness, and FinOps advisory—only ~130 vendors offer true agentic AI vs. "agent washing."</w:t>
            </w:r>
          </w:p>
        </w:tc>
        <w:tc>
          <w:tcPr>
            <w:tcW w:type="dxa" w:w="2160"/>
          </w:tcPr>
          <w:p>
            <w:r>
              <w:t>Gartner Agentic AI Research</w:t>
            </w:r>
          </w:p>
        </w:tc>
      </w:tr>
      <w:tr>
        <w:tc>
          <w:tcPr>
            <w:tcW w:type="dxa" w:w="2160"/>
            <w:shd w:val="clear" w:color="auto" w:fill="FAFAFA"/>
          </w:tcPr>
          <w:p>
            <w:r>
              <w:rPr>
                <w:b/>
              </w:rPr>
              <w:t>Microsoft Partner Revenue Shift</w:t>
            </w:r>
          </w:p>
        </w:tc>
        <w:tc>
          <w:tcPr>
            <w:tcW w:type="dxa" w:w="2160"/>
            <w:shd w:val="clear" w:color="auto" w:fill="FAFAFA"/>
          </w:tcPr>
          <w:p>
            <w:r>
              <w:t>$124.85 PUPM (Enterprise) &amp; $103.75 PUPM (SMB CSP) services opportunity; AI deployments +51% YoY</w:t>
            </w:r>
          </w:p>
        </w:tc>
        <w:tc>
          <w:tcPr>
            <w:tcW w:type="dxa" w:w="2160"/>
            <w:shd w:val="clear" w:color="auto" w:fill="FAFAFA"/>
          </w:tcPr>
          <w:p>
            <w:r>
              <w:t>Growth is concentrated in Copilot Studio agents, Purview governance, Power Platform, and Modern Work transformation—not basic administration.</w:t>
            </w:r>
          </w:p>
        </w:tc>
        <w:tc>
          <w:tcPr>
            <w:tcW w:type="dxa" w:w="2160"/>
            <w:shd w:val="clear" w:color="auto" w:fill="FAFAFA"/>
          </w:tcPr>
          <w:p>
            <w:r>
              <w:t>Forrester TEI™ Studies for Microsoft Partners</w:t>
            </w:r>
          </w:p>
        </w:tc>
      </w:tr>
      <w:tr>
        <w:tc>
          <w:tcPr>
            <w:tcW w:type="dxa" w:w="2160"/>
          </w:tcPr>
          <w:p>
            <w:r>
              <w:rPr>
                <w:b/>
              </w:rPr>
              <w:t>Microsoft Security ROI</w:t>
            </w:r>
          </w:p>
        </w:tc>
        <w:tc>
          <w:tcPr>
            <w:tcW w:type="dxa" w:w="2160"/>
          </w:tcPr>
          <w:p>
            <w:r>
              <w:t>124% overall Security ROI (&lt;6 mo payback); 242% Defender ROI; 131% Entra Suite ROI; 30% breach reduction via Purview</w:t>
            </w:r>
          </w:p>
        </w:tc>
        <w:tc>
          <w:tcPr>
            <w:tcW w:type="dxa" w:w="2160"/>
          </w:tcPr>
          <w:p>
            <w:r>
              <w:t>Customers consolidating onto Microsoft's security stack expect integrated, AI-driven posture management rather than piecemeal third-party Point tools.</w:t>
            </w:r>
          </w:p>
        </w:tc>
        <w:tc>
          <w:tcPr>
            <w:tcW w:type="dxa" w:w="2160"/>
          </w:tcPr>
          <w:p>
            <w:r>
              <w:t>Forrester TEI™ Studies for Microsoft Security</w:t>
            </w:r>
          </w:p>
        </w:tc>
      </w:tr>
      <w:tr>
        <w:tc>
          <w:tcPr>
            <w:tcW w:type="dxa" w:w="2160"/>
            <w:shd w:val="clear" w:color="auto" w:fill="FAFAFA"/>
          </w:tcPr>
          <w:p>
            <w:r>
              <w:rPr>
                <w:b/>
              </w:rPr>
              <w:t>MDR &amp; Cybersecurity Market</w:t>
            </w:r>
          </w:p>
        </w:tc>
        <w:tc>
          <w:tcPr>
            <w:tcW w:type="dxa" w:w="2160"/>
            <w:shd w:val="clear" w:color="auto" w:fill="FAFAFA"/>
          </w:tcPr>
          <w:p>
            <w:r>
              <w:t>MDR market growing at 17.2% CAGR ($9.6B in 2025 to $46.9B by 2035); 50% of findings to include exposures by 2028</w:t>
            </w:r>
          </w:p>
        </w:tc>
        <w:tc>
          <w:tcPr>
            <w:tcW w:type="dxa" w:w="2160"/>
            <w:shd w:val="clear" w:color="auto" w:fill="FAFAFA"/>
          </w:tcPr>
          <w:p>
            <w:r>
              <w:t>Buyers reject alert-forwarding MSPs; demand human-led, AI-augmented turnkey TDIR across Identity, SaaS, and Cloud plus CTEM.</w:t>
            </w:r>
          </w:p>
        </w:tc>
        <w:tc>
          <w:tcPr>
            <w:tcW w:type="dxa" w:w="2160"/>
            <w:shd w:val="clear" w:color="auto" w:fill="FAFAFA"/>
          </w:tcPr>
          <w:p>
            <w:r>
              <w:t>Gartner MDR Market Guide &amp; Research Nester</w:t>
            </w:r>
          </w:p>
        </w:tc>
      </w:tr>
      <w:tr>
        <w:tc>
          <w:tcPr>
            <w:tcW w:type="dxa" w:w="2160"/>
          </w:tcPr>
          <w:p>
            <w:r>
              <w:rPr>
                <w:b/>
              </w:rPr>
              <w:t>Workforce &amp; Skill Disruption</w:t>
            </w:r>
          </w:p>
        </w:tc>
        <w:tc>
          <w:tcPr>
            <w:tcW w:type="dxa" w:w="2160"/>
          </w:tcPr>
          <w:p>
            <w:r>
              <w:t>39% of core job skills changing by 2030; 92M jobs displaced vs. 170M created (+78M net); 40% of employers cutting automated roles</w:t>
            </w:r>
          </w:p>
        </w:tc>
        <w:tc>
          <w:tcPr>
            <w:tcW w:type="dxa" w:w="2160"/>
          </w:tcPr>
          <w:p>
            <w:r>
              <w:t>Routine administrative and data/support roles decline rapidly; AI/Big Data and Cybersecurity rank as the top fastest-growing skills.</w:t>
            </w:r>
          </w:p>
        </w:tc>
        <w:tc>
          <w:tcPr>
            <w:tcW w:type="dxa" w:w="2160"/>
          </w:tcPr>
          <w:p>
            <w:r>
              <w:t xml:space="preserve">World Economic Forum </w:t>
            </w:r>
            <w:r>
              <w:rPr>
                <w:i/>
              </w:rPr>
              <w:t>Future of Jobs Report 2025</w:t>
            </w:r>
          </w:p>
        </w:tc>
      </w:tr>
      <w:tr>
        <w:tc>
          <w:tcPr>
            <w:tcW w:type="dxa" w:w="2160"/>
            <w:shd w:val="clear" w:color="auto" w:fill="FAFAFA"/>
          </w:tcPr>
          <w:p>
            <w:r>
              <w:rPr>
                <w:b/>
              </w:rPr>
              <w:t>M&amp;A Valuation Multiples</w:t>
            </w:r>
          </w:p>
        </w:tc>
        <w:tc>
          <w:tcPr>
            <w:tcW w:type="dxa" w:w="2160"/>
            <w:shd w:val="clear" w:color="auto" w:fill="FAFAFA"/>
          </w:tcPr>
          <w:p>
            <m:oMath>
              <m:box>
                <m:boxPr/>
                <m:e>
                  <m:r>
                    <m:rPr>
                      <m:sty m:val="p"/>
                    </m:rPr>
                    <m:t>3</m:t>
                  </m:r>
                  <m:r>
                    <m:rPr>
                      <m:sty m:val="i"/>
                    </m:rPr>
                    <m:t>M</m:t>
                  </m:r>
                  <m:r>
                    <m:rPr>
                      <m:sty m:val="i"/>
                    </m:rPr>
                    <m:t>–</m:t>
                  </m:r>
                </m:e>
              </m:box>
            </m:oMath>
            <w:r>
              <w:t xml:space="preserve">10M MSPs: 6.0x–8.0x (low MRR) vs. 8.5x–11.0x (high MRR); </w:t>
            </w:r>
            <m:oMath>
              <m:box>
                <m:boxPr/>
                <m:e>
                  <m:r>
                    <m:rPr>
                      <m:sty m:val="p"/>
                    </m:rPr>
                    <m:t>10</m:t>
                  </m:r>
                  <m:r>
                    <m:rPr>
                      <m:sty m:val="i"/>
                    </m:rPr>
                    <m:t>M</m:t>
                  </m:r>
                  <m:r>
                    <m:rPr>
                      <m:sty m:val="i"/>
                    </m:rPr>
                    <m:t>–</m:t>
                  </m:r>
                </m:e>
              </m:box>
            </m:oMath>
            <w:r>
              <w:t>25M cyber-integrated platforms: 10.0x–13.5x EBITDA</w:t>
            </w:r>
          </w:p>
        </w:tc>
        <w:tc>
          <w:tcPr>
            <w:tcW w:type="dxa" w:w="2160"/>
            <w:shd w:val="clear" w:color="auto" w:fill="FAFAFA"/>
          </w:tcPr>
          <w:p>
            <w:r>
              <w:t>Private equity heavily penalizes project-heavy, low-maturity, non-cyber MSPs by 3.0 to 5.0 turns of EBITDA.</w:t>
            </w:r>
          </w:p>
        </w:tc>
        <w:tc>
          <w:tcPr>
            <w:tcW w:type="dxa" w:w="2160"/>
            <w:shd w:val="clear" w:color="auto" w:fill="FAFAFA"/>
          </w:tcPr>
          <w:p>
            <w:r>
              <w:t>Service Leadership Inc., Peak Technology Partners, ConnectWise</w:t>
            </w:r>
          </w:p>
        </w:tc>
      </w:tr>
    </w:tbl>
    <w:p>
      <w:pPr>
        <w:pBdr>
          <w:bottom w:val="single" w:sz="6" w:space="1" w:color="808080"/>
        </w:pBdr>
      </w:pPr>
    </w:p>
    <w:p>
      <w:pPr>
        <w:pStyle w:val="Heading2"/>
      </w:pPr>
      <w:r>
        <w:t>5. Market Analysis: Deconstructing the Traditional MSP Model</w:t>
      </w:r>
    </w:p>
    <w:p>
      <w:pPr>
        <w:pStyle w:val="Heading3"/>
      </w:pPr>
      <w:r>
        <w:t>5.1 Core Research Question 1: Is the Traditional MSP Model Fundamentally Broken?</w:t>
      </w:r>
    </w:p>
    <w:p>
      <w:r>
        <w:t>To evaluate whether the traditional MSP model is broken, we must examine its six core operational pillars and test their resilience against current market forces:</w:t>
      </w:r>
    </w:p>
    <w:p>
      <w:pPr>
        <w:pStyle w:val="Heading4"/>
      </w:pPr>
      <w:r>
        <w:t>1. Per-User and Per-Device Pricing Vulnerability</w:t>
      </w:r>
    </w:p>
    <w:p>
      <w:r>
        <w:t>Historically, per-user (</w:t>
      </w:r>
      <m:oMath>
        <m:box>
          <m:boxPr/>
          <m:e>
            <m:r>
              <m:rPr>
                <m:sty m:val="p"/>
              </m:rPr>
              <m:t>100</m:t>
            </m:r>
            <m:r>
              <m:rPr>
                <m:sty m:val="i"/>
              </m:rPr>
              <m:t>–</m:t>
            </m:r>
          </m:e>
        </m:box>
      </m:oMath>
      <w:r>
        <w:t>175/month) and per-device (</w:t>
      </w:r>
      <m:oMath>
        <m:box>
          <m:boxPr/>
          <m:e>
            <m:r>
              <m:rPr>
                <m:sty m:val="p"/>
              </m:rPr>
              <m:t>35</m:t>
            </m:r>
            <m:r>
              <m:rPr>
                <m:sty m:val="i"/>
              </m:rPr>
              <m:t>–</m:t>
            </m:r>
          </m:e>
        </m:box>
      </m:oMath>
      <w:r>
        <w:t>75/month) pricing aligned well with customer value perception because every human employee generated predictable IT friction (forgotten passwords, laptop provisioning, Outlook profile corruption, VPN drops, printer mappings). Today, three forces are breaking this correlation:</w:t>
      </w:r>
    </w:p>
    <w:p>
      <w:pPr>
        <w:pStyle w:val="ListBullet"/>
      </w:pPr>
      <w:r>
        <w:rPr>
          <w:b/>
        </w:rPr>
        <w:t>Zero-Touch Provisioning &amp; Cloud Endpoints:</w:t>
      </w:r>
      <w:r>
        <w:t xml:space="preserve"> Windows Autopilot, Microsoft Intune, and Windows 365 Cloud PCs reduce device setup and reimaging from hours of billable bench labor to automated policy assignments.</w:t>
      </w:r>
    </w:p>
    <w:p>
      <w:pPr>
        <w:pStyle w:val="ListBullet"/>
      </w:pPr>
      <w:r>
        <w:rPr>
          <w:b/>
        </w:rPr>
        <w:t>The Rise of Non-Human "Digital Workers":</w:t>
      </w:r>
      <w:r>
        <w:t xml:space="preserve"> As organizations deploy autonomous agents (managed via control planes like Microsoft Agent 365 and Entra Agent ID), businesses are scaling output without scaling human headcount. As Gartner notes, 85% of support leaders are expanding the scope of existing human workers while holding headcount flat, and WEF data shows 40% of global employers expect to reduce headcount in roles where AI automates tasks. When an SMB customer reduces human staff from 100 to 75 using AI agents, a per-user MSP suffers an immediate </w:t>
      </w:r>
      <w:r>
        <w:rPr>
          <w:b/>
        </w:rPr>
        <w:t>25% top-line revenue contraction</w:t>
      </w:r>
      <w:r>
        <w:t xml:space="preserve"> even though the customer's data complexity and governance risk have increased.</w:t>
      </w:r>
    </w:p>
    <w:p>
      <w:pPr>
        <w:pStyle w:val="Heading4"/>
      </w:pPr>
      <w:r>
        <w:t>2. Help Desk–Centric and Reactive Support Obsolescence</w:t>
      </w:r>
    </w:p>
    <w:p>
      <w:r>
        <w:t xml:space="preserve">Most conventional MSPs operate as ticket factories. Their monthly executive business reviews (QBRs) prominently feature metrics such as "Total Tickets Closed" and "Average First Response Time." In an AI-native era, </w:t>
      </w:r>
      <w:r>
        <w:rPr>
          <w:b/>
        </w:rPr>
        <w:t>high ticket volume is no longer proof of value; it is evidence of architectural failure.</w:t>
      </w:r>
    </w:p>
    <w:p>
      <w:pPr>
        <w:pStyle w:val="ListBullet"/>
      </w:pPr>
      <w:r>
        <w:t>When Microsoft 365 Copilot, Windows 11, and enterprise SaaS apps operate natively in the cloud, they do not "break" in the way on-premises Exchange or Small Business Server did.</w:t>
      </w:r>
    </w:p>
    <w:p>
      <w:pPr>
        <w:pStyle w:val="ListBullet"/>
      </w:pPr>
      <w:r>
        <w:t>Furthermore, embedded self-help ecosystems—such as Microsoft Copilot Prompt Coach, Copilot Academy, and native in-app troubleshooting assistants—empower end users to resolve application friction without contacting a service desk.</w:t>
      </w:r>
    </w:p>
    <w:p>
      <w:pPr>
        <w:pStyle w:val="Heading4"/>
      </w:pPr>
      <w:r>
        <w:t>3. Infrastructure Monitoring and Management (RMM) Commoditization</w:t>
      </w:r>
    </w:p>
    <w:p>
      <w:r>
        <w:t>Traditional RMM tools were designed to monitor CPU spikes, disk space, Windows Server patch statuses, and SNMP traps across local area networks. In a serverless, SaaS-first, and cloud-native environment, infrastructure monitoring is abstracted into the hyperscaler fabric. Patching and endpoint configuration are increasingly consolidated into unified endpoint management (UEM) platforms like Microsoft Intune, where Security Copilot is already being embedded to evaluate policy conflicts, troubleshoot configurations, and recommend remediation automatically.</w:t>
      </w:r>
    </w:p>
    <w:p>
      <w:pPr>
        <w:pStyle w:val="Heading4"/>
      </w:pPr>
      <w:r>
        <w:t>4. Fixed-Fee ("All-You-Can-Eat") Contract Asymmetry</w:t>
      </w:r>
    </w:p>
    <w:p>
      <w:r>
        <w:t>Fixed-fee support contracts worked when scope creep was bounded by predictable desktop and server maintenance. Today, fixed-fee contracts expose traditional MSPs to severe asymmetric downside:</w:t>
      </w:r>
    </w:p>
    <w:p>
      <w:pPr>
        <w:pStyle w:val="ListBullet"/>
      </w:pPr>
      <w:r>
        <w:rPr>
          <w:b/>
        </w:rPr>
        <w:t>Downside 1 (Deflation):</w:t>
      </w:r>
      <w:r>
        <w:t xml:space="preserve"> If AI lowers visible support tickets by 60%, procurement teams demand a 25%–40% fee reduction at renewal, arguing the MSP is doing less work.</w:t>
      </w:r>
    </w:p>
    <w:p>
      <w:pPr>
        <w:pStyle w:val="ListBullet"/>
      </w:pPr>
      <w:r>
        <w:rPr>
          <w:b/>
        </w:rPr>
        <w:t>Downside 2 (Unfunded Complexity):</w:t>
      </w:r>
      <w:r>
        <w:t xml:space="preserve"> Conversely, clients expect their "All-You-Can-Eat" MSP to handle complex regulatory compliance requests (cyber insurance questionnaires, NIS2, CMMC, Essential Eight, DORA), Shadow AI data leakage, and multi-cloud identity federation inside the legacy per-user fee, crushing service gross margins.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TRADITIONAL MSP VALUE SQUEEZE (2026–2030)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[Hyperscaler Native Automation &amp; Self-Service AI]</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(Microsoft Agent 365, Intune Copilot, Self-Healing SaaS)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(Eliminates L1/L2 Admin &amp; Routine Tickets)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TRADITIONAL INFRASTRUCTURE / HELP DESK MSP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Per-User / Per-Device Pricing Under Pressure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Declining Channel Resale Share (75% -&gt; 66.7%)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Escalating Cyber &amp; Compliance Liability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(Demands Outcome Pricing &amp; Shared AI Savings)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[Midmarket &amp; SMB Customer Buying Behavior Shift]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(Flat Headcount, Demand for AI ROI, Turnkey MXDR/CTEM)</w:t>
      </w:r>
    </w:p>
    <w:p>
      <w:pPr>
        <w:pBdr>
          <w:bottom w:val="single" w:sz="6" w:space="1" w:color="808080"/>
        </w:pBdr>
      </w:pPr>
    </w:p>
    <w:p>
      <w:pPr>
        <w:pStyle w:val="Heading3"/>
      </w:pPr>
      <w:r>
        <w:t>5.2 Core Research Question 3: The Decline of Traditional Labor-Based Revenue</w:t>
      </w:r>
    </w:p>
    <w:p>
      <w:r>
        <w:t xml:space="preserve">Despite decades of recurring revenue rhetoric, the traditional MSP remains a </w:t>
      </w:r>
      <w:r>
        <w:rPr>
          <w:b/>
        </w:rPr>
        <w:t>labor-intensive business disguised as a recurring revenue model.</w:t>
      </w:r>
    </w:p>
    <w:p>
      <w:pPr>
        <w:pStyle w:val="ListBullet"/>
      </w:pPr>
      <w:r>
        <w:rPr>
          <w:b/>
        </w:rPr>
        <w:t>Revenue Per Employee &amp; Gross Margin Ceilings:</w:t>
      </w:r>
      <w:r>
        <w:t xml:space="preserve"> In conventional MSPs, Revenue Per Employee (RPE) typically stagnates between $150,000 and $210,000, with Service Gross Margins hovering between 42% and 48% (falling short of the 50%+ Service Leadership benchmark required for top-quartile health). Because every $1 million in new managed services revenue historically required hiring 4 to 6 additional service desk technicians and systems engineers, scaling a traditional MSP scales human overhead linearly.</w:t>
      </w:r>
    </w:p>
    <w:p>
      <w:pPr>
        <w:pStyle w:val="ListBullet"/>
      </w:pPr>
      <w:r>
        <w:rPr>
          <w:b/>
        </w:rPr>
        <w:t>Wage Inflation vs. Pricing Power:</w:t>
      </w:r>
      <w:r>
        <w:t xml:space="preserve"> According to the World Economic Forum </w:t>
      </w:r>
      <w:r>
        <w:rPr>
          <w:i/>
        </w:rPr>
        <w:t>Future of Jobs Report 2025</w:t>
      </w:r>
      <w:r>
        <w:t>, 52% of employers globally anticipate allocating a greater share of their revenue to wages by 2030 (with only 7% expecting a decline) as they compete fiercely for AI, data, and cybersecurity talent. Meanwhile, 63% of employers identify skill gaps as the single largest barrier to business transformation. Traditional MSPs cannot outbid banks, hyperscalers, or large enterprises for elite AI and cybersecurity architects if their revenue model is capped by commoditized $125/user help desk fees.</w:t>
      </w:r>
    </w:p>
    <w:p>
      <w:pPr>
        <w:pStyle w:val="ListBullet"/>
      </w:pPr>
      <w:r>
        <w:rPr>
          <w:b/>
        </w:rPr>
        <w:t>The Death of Labor Arbitrage:</w:t>
      </w:r>
      <w:r>
        <w:t xml:space="preserve"> Historically, larger MSPs protected margins through geographic labor arbitrage—offshoring Level 1 and Level 2 NOC/help desk functions to lower-cost regions. Agentic AI eliminates the economic advantage of offshore human labor arbitrage because an autonomous agent executing password resets, user onboarding, license assignments, and initial triage operates at near-zero marginal cost ($0.10 to $1.50 per resolved interaction) with zero latency and 24/7 availability.</w:t>
      </w:r>
    </w:p>
    <w:p>
      <w:pPr>
        <w:pBdr>
          <w:bottom w:val="single" w:sz="6" w:space="1" w:color="808080"/>
        </w:pBdr>
      </w:pPr>
    </w:p>
    <w:p>
      <w:pPr>
        <w:pStyle w:val="Heading3"/>
      </w:pPr>
      <w:r>
        <w:t>5.3 Core Research Question 5: Hyperscaler and SaaS Vendor Disintermediation</w:t>
      </w:r>
    </w:p>
    <w:p>
      <w:r>
        <w:t xml:space="preserve">Are Microsoft, AWS, Google Cloud, and major SaaS vendors systematically reducing customer dependence on traditional MSPs? The empirical data confirms </w:t>
      </w:r>
      <w:r>
        <w:rPr>
          <w:b/>
        </w:rPr>
        <w:t>structural disintermediation in commodity resale and basic administration, paired with re-intermediation in complex AI and data transformation.</w:t>
      </w:r>
    </w:p>
    <w:p>
      <w:pPr>
        <w:pStyle w:val="ListNumber"/>
      </w:pPr>
      <w:r>
        <w:rPr>
          <w:b/>
        </w:rPr>
        <w:t>Contraction of Indirect Channel Share:</w:t>
      </w:r>
      <w:r>
        <w:t xml:space="preserve"> As documented by Canalys Chief Analyst Jay McBain, while global IT spending is accelerating toward $6.07 trillion, the percentage of IT spending flowing through the indirect channel has contracted from &gt;75% historically to ~70% recently and is projected to fall to </w:t>
      </w:r>
      <w:r>
        <w:rPr>
          <w:b/>
        </w:rPr>
        <w:t>66.7% by 2026</w:t>
      </w:r>
      <w:r>
        <w:t>. Hyperscaler capital expenditures on AI data centers, GPUs, and foundation models bypass traditional distribution and resale entirely.</w:t>
      </w:r>
    </w:p>
    <w:p>
      <w:pPr>
        <w:pStyle w:val="ListNumber"/>
      </w:pPr>
      <w:r>
        <w:rPr>
          <w:b/>
        </w:rPr>
        <w:t>Cloud Marketplaces Bypassing Traditional Procurement:</w:t>
      </w:r>
      <w:r>
        <w:t xml:space="preserve"> Enterprise and midmarket buyers are increasingly procuring software and cloud services directly through hyperscaler marketplaces (Microsoft Commercial Marketplace, AWS Marketplace, Google Cloud Marketplace) to burn down committed cloud spend (e.g., Microsoft Azure Consumption Commitments [MACC]), compressing traditional CSP/reseller transactional margins into single-digit agency rebates.</w:t>
      </w:r>
    </w:p>
    <w:p>
      <w:pPr>
        <w:pStyle w:val="ListNumber"/>
      </w:pPr>
      <w:r>
        <w:rPr>
          <w:b/>
        </w:rPr>
        <w:t>Self-Service Administration &amp; Native Automation:</w:t>
      </w:r>
      <w:r>
        <w:t xml:space="preserve"> </w:t>
      </w:r>
      <w:r/>
    </w:p>
    <w:p>
      <w:pPr>
        <w:pStyle w:val="ListBullet"/>
        <w:ind w:left="720"/>
      </w:pPr>
      <w:r>
        <w:t>Historically, the Microsoft 365 and Azure admin portals were too esoteric for an SMB office manager or midmarket IT generalist to navigate safely, guaranteeing MSP lock-in.</w:t>
      </w:r>
    </w:p>
    <w:p>
      <w:pPr>
        <w:pStyle w:val="ListBullet"/>
        <w:ind w:left="720"/>
      </w:pPr>
      <w:r>
        <w:t xml:space="preserve">Today, conversational administrative copilots allow a non-specialist IT manager to type: </w:t>
      </w:r>
      <w:r>
        <w:rPr>
          <w:i/>
        </w:rPr>
        <w:t>"Show me why Jane Doe cannot access the Finance SharePoint site and fix her conditional access policy if it violates our baseline,"</w:t>
      </w:r>
      <w:r>
        <w:t xml:space="preserve"> or </w:t>
      </w:r>
      <w:r>
        <w:rPr>
          <w:i/>
        </w:rPr>
        <w:t>"Identify all inactive Microsoft 365 E5 licenses over the past 60 days and downgrade them."</w:t>
      </w:r>
    </w:p>
    <w:p>
      <w:pPr>
        <w:pStyle w:val="ListBullet"/>
        <w:ind w:left="720"/>
      </w:pPr>
      <w:r>
        <w:t>When the vendor platform translates natural language intent directly into PowerShell/Graph API execution with built-in guardrails, the technical moat of routine sysadmin work evaporates.</w:t>
      </w:r>
    </w:p>
    <w:p>
      <w:pPr>
        <w:pBdr>
          <w:bottom w:val="single" w:sz="6" w:space="1" w:color="808080"/>
        </w:pBdr>
      </w:pPr>
    </w:p>
    <w:p>
      <w:pPr>
        <w:pStyle w:val="Heading3"/>
      </w:pPr>
      <w:r>
        <w:t>5.4 Core Research Question 6: Security as a Managed Service (MSP vs. MSSP/MDR)</w:t>
      </w:r>
    </w:p>
    <w:p>
      <w:r>
        <w:t xml:space="preserve">Can a generalist MSP survive by simply bundling an Endpoint Detection and Response (EDR) agent, spam filtering, and multi-factor authentication (MFA) into a "Secure MSP" tier? The analyst consensus from Gartner, Forrester, and ISG is an emphatic </w:t>
      </w:r>
      <w:r>
        <w:rPr>
          <w:b/>
        </w:rPr>
        <w:t>no</w:t>
      </w:r>
      <w:r>
        <w:t>.</w:t>
      </w:r>
    </w:p>
    <w:p>
      <w:pPr>
        <w:pStyle w:val="ListBullet"/>
      </w:pPr>
      <w:r>
        <w:rPr>
          <w:b/>
        </w:rPr>
        <w:t>The Alert-Forwarding Fallacy:</w:t>
      </w:r>
      <w:r>
        <w:t xml:space="preserve"> In its </w:t>
      </w:r>
      <w:r>
        <w:rPr>
          <w:i/>
        </w:rPr>
        <w:t>Market Guide for Managed Detection and Response (MDR)</w:t>
      </w:r>
      <w:r>
        <w:t xml:space="preserve">, Gartner estimates that over 600 providers claim to offer MDR, yet warns that providers offering tool-centric monitoring or reciting technology outputs without human-led analysis and active containment fail buyer requirements. True MDR requires </w:t>
      </w:r>
      <w:r>
        <w:rPr>
          <w:b/>
        </w:rPr>
        <w:t>24/7, remotely delivered, AI-augmented, human-led turnkey SOC functions</w:t>
      </w:r>
      <w:r>
        <w:t xml:space="preserve"> capable of Threat Detection, Investigation, and Response (TDIR).</w:t>
      </w:r>
    </w:p>
    <w:p>
      <w:pPr>
        <w:pStyle w:val="ListBullet"/>
      </w:pPr>
      <w:r>
        <w:rPr>
          <w:b/>
        </w:rPr>
        <w:t>Shift From Endpoint to Identity, Cloud, and SaaS:</w:t>
      </w:r>
      <w:r>
        <w:t xml:space="preserve"> Gartner emphasizes that the primary cyber battleground has shifted beyond endpoints to </w:t>
      </w:r>
      <w:r>
        <w:rPr>
          <w:b/>
        </w:rPr>
        <w:t>IaaS (Azure, AWS), SaaS (Microsoft 365, Google Workspace), and Identity fabrics (Entra ID, Okta)</w:t>
      </w:r>
      <w:r>
        <w:t>—including non-human agent identities. A generalist MSP monitoring laptop antivirus agents is blind to token theft, OAuth consent phishing, and malicious agent prompt injection.</w:t>
      </w:r>
    </w:p>
    <w:p>
      <w:pPr>
        <w:pStyle w:val="ListBullet"/>
      </w:pPr>
      <w:r>
        <w:rPr>
          <w:b/>
        </w:rPr>
        <w:t>The Rise of CTEM (Continuous Threat Exposure Management):</w:t>
      </w:r>
      <w:r>
        <w:t xml:space="preserve"> Gartner projects that by </w:t>
      </w:r>
      <w:r>
        <w:rPr>
          <w:b/>
        </w:rPr>
        <w:t>2028, 50% of MDR findings will include threat exposures, up from ~20% recently</w:t>
      </w:r>
      <w:r>
        <w:t>. Buyers no longer pay merely to respond after a breach occurs; they require continuous, proactive discovery of misconfigurations, over-privileged identities, and unpatched attack paths across hybrid estates.</w:t>
      </w:r>
    </w:p>
    <w:p>
      <w:pPr>
        <w:pStyle w:val="ListBullet"/>
      </w:pPr>
      <w:r>
        <w:rPr>
          <w:b/>
        </w:rPr>
        <w:t>Explosive Market Growth for Specialists:</w:t>
      </w:r>
      <w:r>
        <w:t xml:space="preserve"> The global MDR market was valued at </w:t>
      </w:r>
      <m:oMath>
        <m:box>
          <m:boxPr/>
          <m:e>
            <m:r>
              <m:rPr>
                <m:sty m:val="p"/>
              </m:rPr>
              <m:t>9.6</m:t>
            </m:r>
            <m:r>
              <m:rPr>
                <m:sty m:val="i"/>
              </m:rPr>
              <m:t>b</m:t>
            </m:r>
            <m:r>
              <m:rPr>
                <m:sty m:val="i"/>
              </m:rPr>
              <m:t>i</m:t>
            </m:r>
            <m:r>
              <m:rPr>
                <m:sty m:val="i"/>
              </m:rPr>
              <m:t>l</m:t>
            </m:r>
            <m:r>
              <m:rPr>
                <m:sty m:val="i"/>
              </m:rPr>
              <m:t>l</m:t>
            </m:r>
            <m:r>
              <m:rPr>
                <m:sty m:val="i"/>
              </m:rPr>
              <m:t>i</m:t>
            </m:r>
            <m:r>
              <m:rPr>
                <m:sty m:val="i"/>
              </m:rPr>
              <m:t>o</m:t>
            </m:r>
            <m:r>
              <m:rPr>
                <m:sty m:val="i"/>
              </m:rPr>
              <m:t>n</m:t>
            </m:r>
            <m:r>
              <m:rPr>
                <m:sty m:val="i"/>
              </m:rPr>
              <m:t>i</m:t>
            </m:r>
            <m:r>
              <m:rPr>
                <m:sty m:val="i"/>
              </m:rPr>
              <m:t>n</m:t>
            </m:r>
            <m:r>
              <m:rPr>
                <m:sty m:val="p"/>
              </m:rPr>
              <m:t>2025</m:t>
            </m:r>
            <m:r>
              <m:rPr>
                <m:sty m:val="p"/>
              </m:rPr>
              <m:t>(</m:t>
            </m:r>
          </m:e>
        </m:box>
      </m:oMath>
      <w:r>
        <w:rPr>
          <w:b/>
        </w:rPr>
        <w:t>11.2 billion in 2026)</w:t>
      </w:r>
      <w:r>
        <w:t xml:space="preserve"> and is projected to surge to </w:t>
      </w:r>
      <w:r>
        <w:rPr>
          <w:b/>
        </w:rPr>
        <w:t>$46.9 billion by 2035 at a 17.2% CAGR</w:t>
      </w:r>
      <w:r>
        <w:t xml:space="preserve">, with fully managed security services holding 75.6% market share. Furthermore, in M&amp;A markets, </w:t>
      </w:r>
      <w:r>
        <w:rPr>
          <w:b/>
        </w:rPr>
        <w:t>cybersecurity practice depth is the single largest non-MRR driver of valuation premiums</w:t>
      </w:r>
      <w:r>
        <w:t xml:space="preserve"> in 2025–2026 transactions. Generalist MSPs that do not either build a genuine MXDR/CTEM capability or partner with a dedicated upstream SOC face catastrophic client churn and legal liability following a client ransomware event.</w:t>
      </w:r>
    </w:p>
    <w:p>
      <w:pPr>
        <w:pBdr>
          <w:bottom w:val="single" w:sz="6" w:space="1" w:color="808080"/>
        </w:pBdr>
      </w:pPr>
    </w:p>
    <w:p>
      <w:pPr>
        <w:pStyle w:val="Heading3"/>
      </w:pPr>
      <w:r>
        <w:t>5.5 Core Research Question 8: Customer Buying Behavior Shift</w:t>
      </w:r>
    </w:p>
    <w:p>
      <w:r>
        <w:t>Midmarket and SMB buying behavior has undergone a permanent generational and financial shift:</w:t>
      </w:r>
    </w:p>
    <w:p>
      <w:pPr>
        <w:pStyle w:val="ListNumber"/>
      </w:pPr>
      <w:r>
        <w:rPr>
          <w:b/>
        </w:rPr>
        <w:t>Refusal to Pay for "AI-Washed" Support:</w:t>
      </w:r>
      <w:r>
        <w:t xml:space="preserve"> Recent midmarket surveys cited by MES Computing and Azafran Partners show that while </w:t>
      </w:r>
      <w:r>
        <w:rPr>
          <w:b/>
        </w:rPr>
        <w:t>85% of midmarket companies depend on MSPs for critical IT operations</w:t>
      </w:r>
      <w:r>
        <w:t xml:space="preserve">, buyers are </w:t>
      </w:r>
      <w:r>
        <w:rPr>
          <w:b/>
        </w:rPr>
        <w:t>not willing to pay higher fees simply because an MSP layers AI onto existing support offerings</w:t>
      </w:r>
      <w:r>
        <w:t xml:space="preserve">. Worse, if customers experience the same reactive service with </w:t>
      </w:r>
      <w:r>
        <w:rPr>
          <w:i/>
        </w:rPr>
        <w:t>less human engagement</w:t>
      </w:r>
      <w:r>
        <w:t xml:space="preserve"> because the MSP replaced engineers with bots behind the scenes, customers question the value of the contract and demand price concessions.</w:t>
      </w:r>
    </w:p>
    <w:p>
      <w:pPr>
        <w:pStyle w:val="ListNumber"/>
      </w:pPr>
      <w:r>
        <w:rPr>
          <w:b/>
        </w:rPr>
        <w:t>Procurement Mandates for Shared Savings:</w:t>
      </w:r>
      <w:r>
        <w:t xml:space="preserve"> Analysis of managed services contracts and earnings calls by UpperEdge reveals that enterprise and midmarket procurement teams are dismantling FTE-based and ticket-based contracts. Buyers are enforcing </w:t>
      </w:r>
      <w:r>
        <w:rPr>
          <w:b/>
        </w:rPr>
        <w:t>hybrid commercial structures with pricing corridors</w:t>
      </w:r>
      <w:r>
        <w:t xml:space="preserve"> that automatically step down base fees as AI deflection rates rise, alongside strict contractual protections over </w:t>
      </w:r>
      <w:r>
        <w:rPr>
          <w:b/>
        </w:rPr>
        <w:t>client data portability, training data rights, and derived AI insights</w:t>
      </w:r>
      <w:r>
        <w:t>.</w:t>
      </w:r>
    </w:p>
    <w:p>
      <w:pPr>
        <w:pStyle w:val="ListNumber"/>
      </w:pPr>
      <w:r>
        <w:rPr>
          <w:b/>
        </w:rPr>
        <w:t>Shift from IT Maintenance to Business Line Outcomes:</w:t>
      </w:r>
      <w:r>
        <w:t xml:space="preserve"> Line-of-business (LOB) executives—CFOs, COOs, CMOs, and Heads of HR—now control or heavily influence technology budgets. They view infrastructure uptime as table stakes (expected from Microsoft or AWS) and allocate discretionary budget only to initiatives that measurably accelerate revenue, compress cycle times, or mitigate board-level regulatory risk.</w:t>
      </w:r>
    </w:p>
    <w:p>
      <w:pPr>
        <w:pBdr>
          <w:bottom w:val="single" w:sz="6" w:space="1" w:color="808080"/>
        </w:pBdr>
      </w:pPr>
    </w:p>
    <w:p>
      <w:pPr>
        <w:pStyle w:val="Heading3"/>
      </w:pPr>
      <w:r>
        <w:t>5.6 Core Research Question 9: Historical Lessons From Adjacent Industries</w:t>
      </w:r>
    </w:p>
    <w:p>
      <w:r>
        <w:t xml:space="preserve">Skeptical MSP owners often argue that </w:t>
      </w:r>
      <w:r>
        <w:rPr>
          <w:i/>
        </w:rPr>
        <w:t>"SMBs will always need someone to call when technology gets confusing."</w:t>
      </w:r>
      <w:r>
        <w:t xml:space="preserve"> History demonstrates that every intermediary service sector that relied on vendor complexity and manual labor arbitrage was decimated when the underlying platform abstracted that complexity away:</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728"/>
        <w:gridCol w:w="1728"/>
        <w:gridCol w:w="1728"/>
        <w:gridCol w:w="1728"/>
        <w:gridCol w:w="1728"/>
      </w:tblGrid>
      <w:tr>
        <w:tc>
          <w:tcPr>
            <w:tcW w:type="dxa" w:w="1728"/>
            <w:shd w:val="clear" w:color="auto" w:fill="F1F3F4"/>
          </w:tcPr>
          <w:p>
            <w:r>
              <w:rPr>
                <w:b/>
              </w:rPr>
              <w:t>Industry Sector</w:t>
            </w:r>
          </w:p>
        </w:tc>
        <w:tc>
          <w:tcPr>
            <w:tcW w:type="dxa" w:w="1728"/>
            <w:shd w:val="clear" w:color="auto" w:fill="F1F3F4"/>
          </w:tcPr>
          <w:p>
            <w:r>
              <w:rPr>
                <w:b/>
              </w:rPr>
              <w:t>Pre-Disruption Model</w:t>
            </w:r>
          </w:p>
        </w:tc>
        <w:tc>
          <w:tcPr>
            <w:tcW w:type="dxa" w:w="1728"/>
            <w:shd w:val="clear" w:color="auto" w:fill="F1F3F4"/>
          </w:tcPr>
          <w:p>
            <w:r>
              <w:rPr>
                <w:b/>
              </w:rPr>
              <w:t>Platform Shift / Catalyst</w:t>
            </w:r>
          </w:p>
        </w:tc>
        <w:tc>
          <w:tcPr>
            <w:tcW w:type="dxa" w:w="1728"/>
            <w:shd w:val="clear" w:color="auto" w:fill="F1F3F4"/>
          </w:tcPr>
          <w:p>
            <w:r>
              <w:rPr>
                <w:b/>
              </w:rPr>
              <w:t>Fate of Traditional Incumbents</w:t>
            </w:r>
          </w:p>
        </w:tc>
        <w:tc>
          <w:tcPr>
            <w:tcW w:type="dxa" w:w="1728"/>
            <w:shd w:val="clear" w:color="auto" w:fill="F1F3F4"/>
          </w:tcPr>
          <w:p>
            <w:r>
              <w:rPr>
                <w:b/>
              </w:rPr>
              <w:t>Parallel to Today's Traditional MSP</w:t>
            </w:r>
          </w:p>
        </w:tc>
      </w:tr>
      <w:tr>
        <w:tc>
          <w:tcPr>
            <w:tcW w:type="dxa" w:w="1728"/>
          </w:tcPr>
          <w:p>
            <w:r>
              <w:rPr>
                <w:b/>
              </w:rPr>
              <w:t>Telecommunications Resellers &amp; PBX Installers (2000–2015)</w:t>
            </w:r>
          </w:p>
        </w:tc>
        <w:tc>
          <w:tcPr>
            <w:tcW w:type="dxa" w:w="1728"/>
          </w:tcPr>
          <w:p>
            <w:r>
              <w:t>High-margin hardware installation, T1/PRI circuit brokerage, and onsite PBX maintenance contracts.</w:t>
            </w:r>
          </w:p>
        </w:tc>
        <w:tc>
          <w:tcPr>
            <w:tcW w:type="dxa" w:w="1728"/>
          </w:tcPr>
          <w:p>
            <w:r>
              <w:t>Shift to VoIP, SIP trunking, and UCaaS (Microsoft Teams Phone, Zoom, RingCentral).</w:t>
            </w:r>
          </w:p>
        </w:tc>
        <w:tc>
          <w:tcPr>
            <w:tcW w:type="dxa" w:w="1728"/>
          </w:tcPr>
          <w:p>
            <w:r>
              <w:t>&gt;70% consolidated or exited; voice administration became a checkbox inside M365 licensing.</w:t>
            </w:r>
          </w:p>
        </w:tc>
        <w:tc>
          <w:tcPr>
            <w:tcW w:type="dxa" w:w="1728"/>
          </w:tcPr>
          <w:p>
            <w:r>
              <w:t>Server/network maintenance being absorbed into cloud-native SaaS and Intune/Autopilot policies.</w:t>
            </w:r>
          </w:p>
        </w:tc>
      </w:tr>
      <w:tr>
        <w:tc>
          <w:tcPr>
            <w:tcW w:type="dxa" w:w="1728"/>
            <w:shd w:val="clear" w:color="auto" w:fill="FAFAFA"/>
          </w:tcPr>
          <w:p>
            <w:r>
              <w:rPr>
                <w:b/>
              </w:rPr>
              <w:t>Dedicated Web &amp; Exchange Hosting Providers (2008–2018)</w:t>
            </w:r>
          </w:p>
        </w:tc>
        <w:tc>
          <w:tcPr>
            <w:tcW w:type="dxa" w:w="1728"/>
            <w:shd w:val="clear" w:color="auto" w:fill="FAFAFA"/>
          </w:tcPr>
          <w:p>
            <w:r>
              <w:t>Owning regional data center cages, managing Exchange/SQL servers, charging per-mailbox/per-VM hosting fees.</w:t>
            </w:r>
          </w:p>
        </w:tc>
        <w:tc>
          <w:tcPr>
            <w:tcW w:type="dxa" w:w="1728"/>
            <w:shd w:val="clear" w:color="auto" w:fill="FAFAFA"/>
          </w:tcPr>
          <w:p>
            <w:r>
              <w:t>Hyperscale public cloud (AWS, Azure) and SaaS (Office 365, Google Workspace).</w:t>
            </w:r>
          </w:p>
        </w:tc>
        <w:tc>
          <w:tcPr>
            <w:tcW w:type="dxa" w:w="1728"/>
            <w:shd w:val="clear" w:color="auto" w:fill="FAFAFA"/>
          </w:tcPr>
          <w:p>
            <w:r>
              <w:t>Massive consolidation and margin collapse; survivors pivoted to cloud migration and DevOps consulting.</w:t>
            </w:r>
          </w:p>
        </w:tc>
        <w:tc>
          <w:tcPr>
            <w:tcW w:type="dxa" w:w="1728"/>
            <w:shd w:val="clear" w:color="auto" w:fill="FAFAFA"/>
          </w:tcPr>
          <w:p>
            <w:r>
              <w:t>MSPs relying on private cloud hosting or manual VM management instead of cloud-native serverless/PaaS architectures.</w:t>
            </w:r>
          </w:p>
        </w:tc>
      </w:tr>
      <w:tr>
        <w:tc>
          <w:tcPr>
            <w:tcW w:type="dxa" w:w="1728"/>
          </w:tcPr>
          <w:p>
            <w:r>
              <w:rPr>
                <w:b/>
              </w:rPr>
              <w:t>Traditional VARs (Value-Added Resellers) (1995–2012)</w:t>
            </w:r>
          </w:p>
        </w:tc>
        <w:tc>
          <w:tcPr>
            <w:tcW w:type="dxa" w:w="1728"/>
          </w:tcPr>
          <w:p>
            <w:r>
              <w:t>Capturing 15%–25% gross margins on hardware/software box resale and transactional licensing.</w:t>
            </w:r>
          </w:p>
        </w:tc>
        <w:tc>
          <w:tcPr>
            <w:tcW w:type="dxa" w:w="1728"/>
          </w:tcPr>
          <w:p>
            <w:r>
              <w:t>Direct e-commerce, transparent web pricing, and subscription SaaS licensing with low partner rebates.</w:t>
            </w:r>
          </w:p>
        </w:tc>
        <w:tc>
          <w:tcPr>
            <w:tcW w:type="dxa" w:w="1728"/>
          </w:tcPr>
          <w:p>
            <w:r>
              <w:t>Hardware margins compressed to 3%–6%; forced transformation into the first-generation MSP model.</w:t>
            </w:r>
          </w:p>
        </w:tc>
        <w:tc>
          <w:tcPr>
            <w:tcW w:type="dxa" w:w="1728"/>
          </w:tcPr>
          <w:p>
            <w:r>
              <w:t>CSP license margins compressing and indirect channel share falling from 75% to 66.7%.</w:t>
            </w:r>
          </w:p>
        </w:tc>
      </w:tr>
      <w:tr>
        <w:tc>
          <w:tcPr>
            <w:tcW w:type="dxa" w:w="1728"/>
            <w:shd w:val="clear" w:color="auto" w:fill="FAFAFA"/>
          </w:tcPr>
          <w:p>
            <w:r>
              <w:rPr>
                <w:b/>
              </w:rPr>
              <w:t>Managed Print Services (MPS) (2010–2022)</w:t>
            </w:r>
          </w:p>
        </w:tc>
        <w:tc>
          <w:tcPr>
            <w:tcW w:type="dxa" w:w="1728"/>
            <w:shd w:val="clear" w:color="auto" w:fill="FAFAFA"/>
          </w:tcPr>
          <w:p>
            <w:r>
              <w:t>Charging per-page click charges and maintaining fleets of physical office copiers/printers.</w:t>
            </w:r>
          </w:p>
        </w:tc>
        <w:tc>
          <w:tcPr>
            <w:tcW w:type="dxa" w:w="1728"/>
            <w:shd w:val="clear" w:color="auto" w:fill="FAFAFA"/>
          </w:tcPr>
          <w:p>
            <w:r>
              <w:t>Cloud document workflows, e-signatures (DocuSign), tablet/mobile collaboration, and hybrid remote work.</w:t>
            </w:r>
          </w:p>
        </w:tc>
        <w:tc>
          <w:tcPr>
            <w:tcW w:type="dxa" w:w="1728"/>
            <w:shd w:val="clear" w:color="auto" w:fill="FAFAFA"/>
          </w:tcPr>
          <w:p>
            <w:r>
              <w:t>Secular volume decline; trapped in depreciating hardware leases and shrinking print volumes.</w:t>
            </w:r>
          </w:p>
        </w:tc>
        <w:tc>
          <w:tcPr>
            <w:tcW w:type="dxa" w:w="1728"/>
            <w:shd w:val="clear" w:color="auto" w:fill="FAFAFA"/>
          </w:tcPr>
          <w:p>
            <w:r>
              <w:t>Charging per-ticket or per-device fees when human ticket volumes and physical server footprints are shrinking.</w:t>
            </w:r>
          </w:p>
        </w:tc>
      </w:tr>
      <w:tr>
        <w:tc>
          <w:tcPr>
            <w:tcW w:type="dxa" w:w="1728"/>
          </w:tcPr>
          <w:p>
            <w:r>
              <w:rPr>
                <w:b/>
              </w:rPr>
              <w:t>Corporate Travel Agencies (1995–2010)</w:t>
            </w:r>
          </w:p>
        </w:tc>
        <w:tc>
          <w:tcPr>
            <w:tcW w:type="dxa" w:w="1728"/>
          </w:tcPr>
          <w:p>
            <w:r>
              <w:t>Human agents booking flights/hotels via cryptic GDS terminals (Sabre/Apollo) and collecting airline commissions.</w:t>
            </w:r>
          </w:p>
        </w:tc>
        <w:tc>
          <w:tcPr>
            <w:tcW w:type="dxa" w:w="1728"/>
          </w:tcPr>
          <w:p>
            <w:r>
              <w:t>Airlines cut commissions to 0%; self-service portals (Concur, Expedia) gave users direct booking access.</w:t>
            </w:r>
          </w:p>
        </w:tc>
        <w:tc>
          <w:tcPr>
            <w:tcW w:type="dxa" w:w="1728"/>
          </w:tcPr>
          <w:p>
            <w:r>
              <w:t>Retail agencies vanished; survivors became high-end corporate travel risk, policy, and expense governance platforms.</w:t>
            </w:r>
          </w:p>
        </w:tc>
        <w:tc>
          <w:tcPr>
            <w:tcW w:type="dxa" w:w="1728"/>
          </w:tcPr>
          <w:p>
            <w:r>
              <w:t>Admin portals (M365/Azure) gaining natural-language AI copilots, eliminating the need for an MSP to "drive the portal."</w:t>
            </w:r>
          </w:p>
        </w:tc>
      </w:tr>
    </w:tbl>
    <w:p>
      <w:pPr>
        <w:pBdr>
          <w:bottom w:val="single" w:sz="6" w:space="1" w:color="808080"/>
        </w:pBdr>
      </w:pPr>
    </w:p>
    <w:p>
      <w:pPr>
        <w:pStyle w:val="Heading2"/>
      </w:pPr>
      <w:r>
        <w:t>6. Microsoft Strategy Analysis: Enabling the "Frontier Firm"</w:t>
      </w:r>
    </w:p>
    <w:p>
      <w:pPr>
        <w:pStyle w:val="Heading3"/>
      </w:pPr>
      <w:r>
        <w:t>6.1 Core Research Question 4: Microsoft's Strategic Direction</w:t>
      </w:r>
    </w:p>
    <w:p>
      <w:r>
        <w:t xml:space="preserve">For the vast majority of SMB and midmarket MSPs, Microsoft is the foundational ecosystem. Understanding where the MSP business model is heading requires an unvarnished analysis of Microsoft's architectural and commercial trajectory as articulated in recent annual filings, earnings calls, and flagship engineering disclosures at </w:t>
      </w:r>
      <w:r>
        <w:rPr>
          <w:b/>
        </w:rPr>
        <w:t>Microsoft Ignite</w:t>
      </w:r>
      <w:r>
        <w:t xml:space="preserve"> and </w:t>
      </w:r>
      <w:r>
        <w:rPr>
          <w:b/>
        </w:rPr>
        <w:t>Microsoft Build</w:t>
      </w:r>
      <w:r>
        <w:t>.</w:t>
      </w:r>
    </w:p>
    <w:p>
      <w:r>
        <w:t xml:space="preserve">Microsoft's overarching thesis is the creation of the </w:t>
      </w:r>
      <w:r>
        <w:rPr>
          <w:b/>
        </w:rPr>
        <w:t>"Frontier Firm"</w:t>
      </w:r>
      <w:r>
        <w:t>—an organization where human employees and autonomous AI agents operate in a hybrid model of work, governed by an ambient, autonomous security fabric.</w:t>
      </w:r>
    </w:p>
    <w:p>
      <w:pPr>
        <w:pStyle w:val="Heading4"/>
      </w:pPr>
      <w:r>
        <w:t>1. Agent 365 and Entra Agent ID: The Control Plane for Digital Labor</w:t>
      </w:r>
    </w:p>
    <w:p>
      <w:r>
        <w:t xml:space="preserve">At Microsoft Ignite 2025, Commercial CEO Judson Althoff and engineering leadership unveiled </w:t>
      </w:r>
      <w:r>
        <w:rPr>
          <w:b/>
        </w:rPr>
        <w:t>Microsoft Agent 365</w:t>
      </w:r>
      <w:r>
        <w:t>, described as the unified control plane for AI agents.</w:t>
      </w:r>
    </w:p>
    <w:p>
      <w:pPr>
        <w:pStyle w:val="ListBullet"/>
      </w:pPr>
      <w:r>
        <w:rPr>
          <w:b/>
        </w:rPr>
        <w:t>Architectural Shift:</w:t>
      </w:r>
      <w:r>
        <w:t xml:space="preserve"> Agent 365 treats autonomous agents similarly to human user accounts. Through </w:t>
      </w:r>
      <w:r>
        <w:rPr>
          <w:b/>
        </w:rPr>
        <w:t>Microsoft Entra Agent ID</w:t>
      </w:r>
      <w:r>
        <w:t xml:space="preserve"> (integrated directly into the Microsoft 365 Admin Center), organizations can onboard, assign permissions, monitor, and govern autonomous agents built via </w:t>
      </w:r>
      <w:r>
        <w:rPr>
          <w:b/>
        </w:rPr>
        <w:t>Copilot Studio</w:t>
      </w:r>
      <w:r>
        <w:t xml:space="preserve">, the </w:t>
      </w:r>
      <w:r>
        <w:rPr>
          <w:b/>
        </w:rPr>
        <w:t>Agent SDK</w:t>
      </w:r>
      <w:r>
        <w:t>, or third-party platforms published to the Agent Store.</w:t>
      </w:r>
    </w:p>
    <w:p>
      <w:pPr>
        <w:pStyle w:val="ListBullet"/>
      </w:pPr>
      <w:r>
        <w:rPr>
          <w:b/>
        </w:rPr>
        <w:t>Multi-Model Flexibility (Microsoft Foundry):</w:t>
      </w:r>
      <w:r>
        <w:t xml:space="preserve"> By integrating Anthropic's Claude frontier models alongside OpenAI's GPT models inside </w:t>
      </w:r>
      <w:r>
        <w:rPr>
          <w:b/>
        </w:rPr>
        <w:t>Microsoft Foundry</w:t>
      </w:r>
      <w:r>
        <w:t xml:space="preserve"> (formerly Azure AI Foundry)—backed by a $5 billion investment commitment and $30 billion Azure compute partnership with Anthropic—Microsoft has positioned its cloud as a multi-model agentic runtime.</w:t>
      </w:r>
    </w:p>
    <w:p>
      <w:pPr>
        <w:pStyle w:val="ListBullet"/>
      </w:pPr>
      <w:r>
        <w:rPr>
          <w:b/>
        </w:rPr>
        <w:t>Implication for MSPs:</w:t>
      </w:r>
      <w:r>
        <w:t xml:space="preserve"> Microsoft is standardizing agent deployment so that agents automatically inherit existing Microsoft Purview compliance policies, Entra conditional access rules, and Defender security posture without custom code. While this creates an initial wave of setup and governance consulting, it purposefully standardizes ongoing agent administration inside native Microsoft portals.</w:t>
      </w:r>
    </w:p>
    <w:p>
      <w:pPr>
        <w:pStyle w:val="Heading4"/>
      </w:pPr>
      <w:r>
        <w:t>2. Autonomous Cloud and Endpoint Operations (Azure Copilot &amp; Intune Integration)</w:t>
      </w:r>
    </w:p>
    <w:p>
      <w:pPr>
        <w:pStyle w:val="ListBullet"/>
      </w:pPr>
      <w:r>
        <w:rPr>
          <w:b/>
        </w:rPr>
        <w:t>Security Copilot in Intune:</w:t>
      </w:r>
      <w:r>
        <w:t xml:space="preserve"> Microsoft has moved Security Copilot from a standalone chat console directly into operational admin centers, including Microsoft Intune, Defender, Purview, and Entra (serving over 1.5 million security customers). Administrators can now use natural language to analyze policy conflicts, simulate the impact of configuration changes, and execute remediation across endpoints.</w:t>
      </w:r>
    </w:p>
    <w:p>
      <w:pPr>
        <w:pStyle w:val="ListBullet"/>
      </w:pPr>
      <w:r>
        <w:rPr>
          <w:b/>
        </w:rPr>
        <w:t>Agentic Cloud Operations with Azure Copilot:</w:t>
      </w:r>
      <w:r>
        <w:t xml:space="preserve"> Microsoft is embedding autonomous operational agents directly into Azure to handle workload optimization, anomaly detection, FinOps cost right-sizing, and automated failover.</w:t>
      </w:r>
    </w:p>
    <w:p>
      <w:pPr>
        <w:pStyle w:val="ListBullet"/>
      </w:pPr>
      <w:r>
        <w:rPr>
          <w:b/>
        </w:rPr>
        <w:t>Zero-Maintenance Productivity:</w:t>
      </w:r>
      <w:r>
        <w:t xml:space="preserve"> Unlike legacy Exchange servers or complex VPN concentrators, </w:t>
      </w:r>
      <w:r>
        <w:rPr>
          <w:b/>
        </w:rPr>
        <w:t>Microsoft 365 Copilot and Work IQ</w:t>
      </w:r>
      <w:r>
        <w:t xml:space="preserve"> require zero ongoing infrastructure maintenance once deployed. They do not require patch windows, database defragmentation, or backup restores. Furthermore, Microsoft provides free, embedded end-user enablement tools—including </w:t>
      </w:r>
      <w:r>
        <w:rPr>
          <w:b/>
        </w:rPr>
        <w:t>Copilot Prompt Coach, Copilot Prompt Gallery, and Microsoft Copilot Academy</w:t>
      </w:r>
      <w:r>
        <w:t>—directly inside the user interface, undermining the ability of traditional MSPs to charge recurring fees for basic end-user training or Copilot "maintenance."</w:t>
      </w:r>
    </w:p>
    <w:p>
      <w:pPr>
        <w:pStyle w:val="Heading4"/>
      </w:pPr>
      <w:r>
        <w:t>3. Does Microsoft's Strategy Increase or Decrease Traditional MSP Value?</w:t>
      </w:r>
    </w:p>
    <w:p>
      <w:r>
        <w:t xml:space="preserve">The evidence reveals a deliberate </w:t>
      </w:r>
      <w:r>
        <w:rPr>
          <w:b/>
        </w:rPr>
        <w:t>bifurcation in partner value</w:t>
      </w:r>
      <w:r>
        <w:t>:</w:t>
      </w:r>
    </w:p>
    <w:p>
      <w:pPr>
        <w:pStyle w:val="ListBullet"/>
      </w:pPr>
      <w:r>
        <w:rPr>
          <w:b/>
        </w:rPr>
        <w:t>Decreased Value (Commodity Administration &amp; License Resale):</w:t>
      </w:r>
      <w:r>
        <w:t xml:space="preserve"> Microsoft's product engineering is systematically eliminating the friction of routine tenant administration, basic troubleshooting, and simple license management. For an MSP whose value proposition is </w:t>
      </w:r>
      <w:r>
        <w:rPr>
          <w:i/>
        </w:rPr>
        <w:t>"we manage your Office 365 admin portal, reset passwords, and configure laptops,"</w:t>
      </w:r>
      <w:r>
        <w:t xml:space="preserve"> Microsoft's roadmap is an existential threat that empowers customers to self-manage with significantly smaller internal teams.</w:t>
      </w:r>
    </w:p>
    <w:p>
      <w:pPr>
        <w:pStyle w:val="ListBullet"/>
      </w:pPr>
      <w:r>
        <w:rPr>
          <w:b/>
        </w:rPr>
        <w:t>Increased Value (AI Business Solutions, Data Estate Readiness &amp; Security Governance):</w:t>
      </w:r>
      <w:r>
        <w:t xml:space="preserve"> Conversely, Microsoft's commissioned </w:t>
      </w:r>
      <w:r>
        <w:rPr>
          <w:b/>
        </w:rPr>
        <w:t>Forrester Total Economic Impact™ (TEI)</w:t>
      </w:r>
      <w:r>
        <w:t xml:space="preserve"> studies demonstrate massive revenue expansion for partners that pivot up the stack: </w:t>
      </w:r>
      <w:r/>
    </w:p>
    <w:p>
      <w:pPr>
        <w:pStyle w:val="ListBullet"/>
        <w:ind w:left="720"/>
      </w:pPr>
      <w:r>
        <w:rPr>
          <w:b/>
        </w:rPr>
        <w:t>Enterprise Modern Work &amp; AI Business Solutions:</w:t>
      </w:r>
      <w:r>
        <w:t xml:space="preserve"> Forrester identifies an expected partner services revenue opportunity of </w:t>
      </w:r>
      <w:r>
        <w:rPr>
          <w:b/>
        </w:rPr>
        <w:t>$124.85 per user per month</w:t>
      </w:r>
      <w:r>
        <w:t xml:space="preserve">, with AI-driven deployment opportunities growing </w:t>
      </w:r>
      <w:r>
        <w:rPr>
          <w:b/>
        </w:rPr>
        <w:t>51% year-over-year</w:t>
      </w:r>
      <w:r>
        <w:t xml:space="preserve"> and Direct Microsoft 365 Copilot opportunities growing </w:t>
      </w:r>
      <w:r>
        <w:rPr>
          <w:b/>
        </w:rPr>
        <w:t>36% year-over-year</w:t>
      </w:r>
      <w:r>
        <w:t>.</w:t>
      </w:r>
    </w:p>
    <w:p>
      <w:pPr>
        <w:pStyle w:val="ListBullet"/>
        <w:ind w:left="720"/>
      </w:pPr>
      <w:r>
        <w:rPr>
          <w:b/>
        </w:rPr>
        <w:t>SMB / CSP Partner Opportunity:</w:t>
      </w:r>
      <w:r>
        <w:t xml:space="preserve"> Forrester quantifies an expected services revenue opportunity of </w:t>
      </w:r>
      <m:oMath>
        <m:box>
          <m:boxPr/>
          <m:e>
            <m:r>
              <m:rPr>
                <m:sty m:val="p"/>
              </m:rPr>
              <m:t>103.75</m:t>
            </m:r>
            <m:r>
              <m:rPr>
                <m:sty m:val="i"/>
              </m:rPr>
              <m:t>p</m:t>
            </m:r>
            <m:r>
              <m:rPr>
                <m:sty m:val="i"/>
              </m:rPr>
              <m:t>e</m:t>
            </m:r>
            <m:r>
              <m:rPr>
                <m:sty m:val="i"/>
              </m:rPr>
              <m:t>r</m:t>
            </m:r>
            <m:r>
              <m:rPr>
                <m:sty m:val="i"/>
              </m:rPr>
              <m:t>u</m:t>
            </m:r>
            <m:r>
              <m:rPr>
                <m:sty m:val="i"/>
              </m:rPr>
              <m:t>s</m:t>
            </m:r>
            <m:r>
              <m:rPr>
                <m:sty m:val="i"/>
              </m:rPr>
              <m:t>e</m:t>
            </m:r>
            <m:r>
              <m:rPr>
                <m:sty m:val="i"/>
              </m:rPr>
              <m:t>r</m:t>
            </m:r>
            <m:r>
              <m:rPr>
                <m:sty m:val="i"/>
              </m:rPr>
              <m:t>p</m:t>
            </m:r>
            <m:r>
              <m:rPr>
                <m:sty m:val="i"/>
              </m:rPr>
              <m:t>e</m:t>
            </m:r>
            <m:r>
              <m:rPr>
                <m:sty m:val="i"/>
              </m:rPr>
              <m:t>r</m:t>
            </m:r>
            <m:r>
              <m:rPr>
                <m:sty m:val="i"/>
              </m:rPr>
              <m:t>m</m:t>
            </m:r>
            <m:r>
              <m:rPr>
                <m:sty m:val="i"/>
              </m:rPr>
              <m:t>o</m:t>
            </m:r>
            <m:r>
              <m:rPr>
                <m:sty m:val="i"/>
              </m:rPr>
              <m:t>n</m:t>
            </m:r>
            <m:r>
              <m:rPr>
                <m:sty m:val="i"/>
              </m:rPr>
              <m:t>t</m:t>
            </m:r>
            <m:r>
              <m:rPr>
                <m:sty m:val="i"/>
              </m:rPr>
              <m:t>h</m:t>
            </m:r>
            <m:r>
              <m:rPr>
                <m:sty m:val="p"/>
              </m:rPr>
              <m:t>*</m:t>
            </m:r>
            <m:r>
              <m:rPr>
                <m:sty m:val="p"/>
              </m:rPr>
              <m:t>*</m:t>
            </m:r>
            <m:r>
              <m:rPr>
                <m:sty m:val="i"/>
              </m:rPr>
              <m:t>f</m:t>
            </m:r>
            <m:r>
              <m:rPr>
                <m:sty m:val="i"/>
              </m:rPr>
              <m:t>o</m:t>
            </m:r>
            <m:r>
              <m:rPr>
                <m:sty m:val="i"/>
              </m:rPr>
              <m:t>r</m:t>
            </m:r>
            <m:r>
              <m:rPr>
                <m:sty m:val="i"/>
              </m:rPr>
              <m:t>C</m:t>
            </m:r>
            <m:r>
              <m:rPr>
                <m:sty m:val="i"/>
              </m:rPr>
              <m:t>S</m:t>
            </m:r>
            <m:r>
              <m:rPr>
                <m:sty m:val="i"/>
              </m:rPr>
              <m:t>P</m:t>
            </m:r>
            <m:r>
              <m:rPr>
                <m:sty m:val="i"/>
              </m:rPr>
              <m:t>p</m:t>
            </m:r>
            <m:r>
              <m:rPr>
                <m:sty m:val="i"/>
              </m:rPr>
              <m:t>a</m:t>
            </m:r>
            <m:r>
              <m:rPr>
                <m:sty m:val="i"/>
              </m:rPr>
              <m:t>r</m:t>
            </m:r>
            <m:r>
              <m:rPr>
                <m:sty m:val="i"/>
              </m:rPr>
              <m:t>t</m:t>
            </m:r>
            <m:r>
              <m:rPr>
                <m:sty m:val="i"/>
              </m:rPr>
              <m:t>n</m:t>
            </m:r>
            <m:r>
              <m:rPr>
                <m:sty m:val="i"/>
              </m:rPr>
              <m:t>e</m:t>
            </m:r>
            <m:r>
              <m:rPr>
                <m:sty m:val="i"/>
              </m:rPr>
              <m:t>r</m:t>
            </m:r>
            <m:r>
              <m:rPr>
                <m:sty m:val="i"/>
              </m:rPr>
              <m:t>s</m:t>
            </m:r>
            <m:r>
              <m:rPr>
                <m:sty m:val="i"/>
              </m:rPr>
              <m:t>d</m:t>
            </m:r>
            <m:r>
              <m:rPr>
                <m:sty m:val="i"/>
              </m:rPr>
              <m:t>e</m:t>
            </m:r>
            <m:r>
              <m:rPr>
                <m:sty m:val="i"/>
              </m:rPr>
              <m:t>l</m:t>
            </m:r>
            <m:r>
              <m:rPr>
                <m:sty m:val="i"/>
              </m:rPr>
              <m:t>i</m:t>
            </m:r>
            <m:r>
              <m:rPr>
                <m:sty m:val="i"/>
              </m:rPr>
              <m:t>v</m:t>
            </m:r>
            <m:r>
              <m:rPr>
                <m:sty m:val="i"/>
              </m:rPr>
              <m:t>e</m:t>
            </m:r>
            <m:r>
              <m:rPr>
                <m:sty m:val="i"/>
              </m:rPr>
              <m:t>r</m:t>
            </m:r>
            <m:r>
              <m:rPr>
                <m:sty m:val="i"/>
              </m:rPr>
              <m:t>i</m:t>
            </m:r>
            <m:r>
              <m:rPr>
                <m:sty m:val="i"/>
              </m:rPr>
              <m:t>n</m:t>
            </m:r>
            <m:r>
              <m:rPr>
                <m:sty m:val="i"/>
              </m:rPr>
              <m:t>g</m:t>
            </m:r>
            <m:r>
              <m:rPr>
                <m:sty m:val="i"/>
              </m:rPr>
              <m:t>M</m:t>
            </m:r>
            <m:r>
              <m:rPr>
                <m:sty m:val="i"/>
              </m:rPr>
              <m:t>i</m:t>
            </m:r>
            <m:r>
              <m:rPr>
                <m:sty m:val="i"/>
              </m:rPr>
              <m:t>c</m:t>
            </m:r>
            <m:r>
              <m:rPr>
                <m:sty m:val="i"/>
              </m:rPr>
              <m:t>r</m:t>
            </m:r>
            <m:r>
              <m:rPr>
                <m:sty m:val="i"/>
              </m:rPr>
              <m:t>o</m:t>
            </m:r>
            <m:r>
              <m:rPr>
                <m:sty m:val="i"/>
              </m:rPr>
              <m:t>s</m:t>
            </m:r>
            <m:r>
              <m:rPr>
                <m:sty m:val="i"/>
              </m:rPr>
              <m:t>o</m:t>
            </m:r>
            <m:r>
              <m:rPr>
                <m:sty m:val="i"/>
              </m:rPr>
              <m:t>f</m:t>
            </m:r>
            <m:r>
              <m:rPr>
                <m:sty m:val="i"/>
              </m:rPr>
              <m:t>t</m:t>
            </m:r>
            <m:r>
              <m:rPr>
                <m:sty m:val="p"/>
              </m:rPr>
              <m:t>365</m:t>
            </m:r>
            <m:r>
              <m:rPr>
                <m:sty m:val="i"/>
              </m:rPr>
              <m:t>C</m:t>
            </m:r>
            <m:r>
              <m:rPr>
                <m:sty m:val="i"/>
              </m:rPr>
              <m:t>o</m:t>
            </m:r>
            <m:r>
              <m:rPr>
                <m:sty m:val="i"/>
              </m:rPr>
              <m:t>p</m:t>
            </m:r>
            <m:r>
              <m:rPr>
                <m:sty m:val="i"/>
              </m:rPr>
              <m:t>i</m:t>
            </m:r>
            <m:r>
              <m:rPr>
                <m:sty m:val="i"/>
              </m:rPr>
              <m:t>l</m:t>
            </m:r>
            <m:r>
              <m:rPr>
                <m:sty m:val="i"/>
              </m:rPr>
              <m:t>o</m:t>
            </m:r>
            <m:r>
              <m:rPr>
                <m:sty m:val="i"/>
              </m:rPr>
              <m:t>t</m:t>
            </m:r>
            <m:r>
              <m:rPr>
                <m:sty m:val="p"/>
              </m:rPr>
              <m:t>,</m:t>
            </m:r>
            <m:r>
              <m:rPr>
                <m:sty m:val="i"/>
              </m:rPr>
              <m:t>C</m:t>
            </m:r>
            <m:r>
              <m:rPr>
                <m:sty m:val="i"/>
              </m:rPr>
              <m:t>o</m:t>
            </m:r>
            <m:r>
              <m:rPr>
                <m:sty m:val="i"/>
              </m:rPr>
              <m:t>p</m:t>
            </m:r>
            <m:r>
              <m:rPr>
                <m:sty m:val="i"/>
              </m:rPr>
              <m:t>i</m:t>
            </m:r>
            <m:r>
              <m:rPr>
                <m:sty m:val="i"/>
              </m:rPr>
              <m:t>l</m:t>
            </m:r>
            <m:r>
              <m:rPr>
                <m:sty m:val="i"/>
              </m:rPr>
              <m:t>o</m:t>
            </m:r>
            <m:r>
              <m:rPr>
                <m:sty m:val="i"/>
              </m:rPr>
              <m:t>t</m:t>
            </m:r>
            <m:r>
              <m:rPr>
                <m:sty m:val="i"/>
              </m:rPr>
              <m:t>S</m:t>
            </m:r>
            <m:r>
              <m:rPr>
                <m:sty m:val="i"/>
              </m:rPr>
              <m:t>t</m:t>
            </m:r>
            <m:r>
              <m:rPr>
                <m:sty m:val="i"/>
              </m:rPr>
              <m:t>u</m:t>
            </m:r>
            <m:r>
              <m:rPr>
                <m:sty m:val="i"/>
              </m:rPr>
              <m:t>d</m:t>
            </m:r>
            <m:r>
              <m:rPr>
                <m:sty m:val="i"/>
              </m:rPr>
              <m:t>i</m:t>
            </m:r>
            <m:r>
              <m:rPr>
                <m:sty m:val="i"/>
              </m:rPr>
              <m:t>o</m:t>
            </m:r>
            <m:r>
              <m:rPr>
                <m:sty m:val="i"/>
              </m:rPr>
              <m:t>a</m:t>
            </m:r>
            <m:r>
              <m:rPr>
                <m:sty m:val="i"/>
              </m:rPr>
              <m:t>g</m:t>
            </m:r>
            <m:r>
              <m:rPr>
                <m:sty m:val="i"/>
              </m:rPr>
              <m:t>e</m:t>
            </m:r>
            <m:r>
              <m:rPr>
                <m:sty m:val="i"/>
              </m:rPr>
              <m:t>n</m:t>
            </m:r>
            <m:r>
              <m:rPr>
                <m:sty m:val="i"/>
              </m:rPr>
              <m:t>t</m:t>
            </m:r>
            <m:r>
              <m:rPr>
                <m:sty m:val="i"/>
              </m:rPr>
              <m:t>s</m:t>
            </m:r>
            <m:r>
              <m:rPr>
                <m:sty m:val="p"/>
              </m:rPr>
              <m:t>,</m:t>
            </m:r>
            <m:r>
              <m:rPr>
                <m:sty m:val="i"/>
              </m:rPr>
              <m:t>P</m:t>
            </m:r>
            <m:r>
              <m:rPr>
                <m:sty m:val="i"/>
              </m:rPr>
              <m:t>o</m:t>
            </m:r>
            <m:r>
              <m:rPr>
                <m:sty m:val="i"/>
              </m:rPr>
              <m:t>w</m:t>
            </m:r>
            <m:r>
              <m:rPr>
                <m:sty m:val="i"/>
              </m:rPr>
              <m:t>e</m:t>
            </m:r>
            <m:r>
              <m:rPr>
                <m:sty m:val="i"/>
              </m:rPr>
              <m:t>r</m:t>
            </m:r>
            <m:r>
              <m:rPr>
                <m:sty m:val="i"/>
              </m:rPr>
              <m:t>P</m:t>
            </m:r>
            <m:r>
              <m:rPr>
                <m:sty m:val="i"/>
              </m:rPr>
              <m:t>l</m:t>
            </m:r>
            <m:r>
              <m:rPr>
                <m:sty m:val="i"/>
              </m:rPr>
              <m:t>a</m:t>
            </m:r>
            <m:r>
              <m:rPr>
                <m:sty m:val="i"/>
              </m:rPr>
              <m:t>t</m:t>
            </m:r>
            <m:r>
              <m:rPr>
                <m:sty m:val="i"/>
              </m:rPr>
              <m:t>f</m:t>
            </m:r>
            <m:r>
              <m:rPr>
                <m:sty m:val="i"/>
              </m:rPr>
              <m:t>o</m:t>
            </m:r>
            <m:r>
              <m:rPr>
                <m:sty m:val="i"/>
              </m:rPr>
              <m:t>r</m:t>
            </m:r>
            <m:r>
              <m:rPr>
                <m:sty m:val="i"/>
              </m:rPr>
              <m:t>m</m:t>
            </m:r>
            <m:r>
              <m:rPr>
                <m:sty m:val="i"/>
              </m:rPr>
              <m:t>l</m:t>
            </m:r>
            <m:r>
              <m:rPr>
                <m:sty m:val="i"/>
              </m:rPr>
              <m:t>o</m:t>
            </m:r>
            <m:r>
              <m:rPr>
                <m:sty m:val="i"/>
              </m:rPr>
              <m:t>w</m:t>
            </m:r>
            <m:r>
              <m:rPr>
                <m:sty m:val="p"/>
              </m:rPr>
              <m:t>−</m:t>
            </m:r>
            <m:r>
              <m:rPr>
                <m:sty m:val="i"/>
              </m:rPr>
              <m:t>c</m:t>
            </m:r>
            <m:r>
              <m:rPr>
                <m:sty m:val="i"/>
              </m:rPr>
              <m:t>o</m:t>
            </m:r>
            <m:r>
              <m:rPr>
                <m:sty m:val="i"/>
              </m:rPr>
              <m:t>d</m:t>
            </m:r>
            <m:r>
              <m:rPr>
                <m:sty m:val="i"/>
              </m:rPr>
              <m:t>e</m:t>
            </m:r>
            <m:r>
              <m:rPr>
                <m:sty m:val="i"/>
              </m:rPr>
              <m:t>a</m:t>
            </m:r>
            <m:r>
              <m:rPr>
                <m:sty m:val="i"/>
              </m:rPr>
              <m:t>u</m:t>
            </m:r>
            <m:r>
              <m:rPr>
                <m:sty m:val="i"/>
              </m:rPr>
              <m:t>t</m:t>
            </m:r>
            <m:r>
              <m:rPr>
                <m:sty m:val="i"/>
              </m:rPr>
              <m:t>o</m:t>
            </m:r>
            <m:r>
              <m:rPr>
                <m:sty m:val="i"/>
              </m:rPr>
              <m:t>m</m:t>
            </m:r>
            <m:r>
              <m:rPr>
                <m:sty m:val="i"/>
              </m:rPr>
              <m:t>a</m:t>
            </m:r>
            <m:r>
              <m:rPr>
                <m:sty m:val="i"/>
              </m:rPr>
              <m:t>t</m:t>
            </m:r>
            <m:r>
              <m:rPr>
                <m:sty m:val="i"/>
              </m:rPr>
              <m:t>i</m:t>
            </m:r>
            <m:r>
              <m:rPr>
                <m:sty m:val="i"/>
              </m:rPr>
              <m:t>o</m:t>
            </m:r>
            <m:r>
              <m:rPr>
                <m:sty m:val="i"/>
              </m:rPr>
              <m:t>n</m:t>
            </m:r>
            <m:r>
              <m:rPr>
                <m:sty m:val="p"/>
              </m:rPr>
              <m:t>,</m:t>
            </m:r>
            <m:r>
              <m:rPr>
                <m:sty m:val="i"/>
              </m:rPr>
              <m:t>a</m:t>
            </m:r>
            <m:r>
              <m:rPr>
                <m:sty m:val="i"/>
              </m:rPr>
              <m:t>n</m:t>
            </m:r>
            <m:r>
              <m:rPr>
                <m:sty m:val="i"/>
              </m:rPr>
              <m:t>d</m:t>
            </m:r>
            <m:r>
              <m:rPr>
                <m:sty m:val="i"/>
              </m:rPr>
              <m:t>D</m:t>
            </m:r>
            <m:r>
              <m:rPr>
                <m:sty m:val="i"/>
              </m:rPr>
              <m:t>y</m:t>
            </m:r>
            <m:r>
              <m:rPr>
                <m:sty m:val="i"/>
              </m:rPr>
              <m:t>n</m:t>
            </m:r>
            <m:r>
              <m:rPr>
                <m:sty m:val="i"/>
              </m:rPr>
              <m:t>a</m:t>
            </m:r>
            <m:r>
              <m:rPr>
                <m:sty m:val="i"/>
              </m:rPr>
              <m:t>m</m:t>
            </m:r>
            <m:r>
              <m:rPr>
                <m:sty m:val="i"/>
              </m:rPr>
              <m:t>i</m:t>
            </m:r>
            <m:r>
              <m:rPr>
                <m:sty m:val="i"/>
              </m:rPr>
              <m:t>c</m:t>
            </m:r>
            <m:r>
              <m:rPr>
                <m:sty m:val="i"/>
              </m:rPr>
              <m:t>s</m:t>
            </m:r>
            <m:r>
              <m:rPr>
                <m:sty m:val="p"/>
              </m:rPr>
              <m:t>365</m:t>
            </m:r>
            <m:r>
              <m:rPr>
                <m:sty m:val="i"/>
              </m:rPr>
              <m:t>s</m:t>
            </m:r>
            <m:r>
              <m:rPr>
                <m:sty m:val="i"/>
              </m:rPr>
              <m:t>o</m:t>
            </m:r>
            <m:r>
              <m:rPr>
                <m:sty m:val="i"/>
              </m:rPr>
              <m:t>l</m:t>
            </m:r>
            <m:r>
              <m:rPr>
                <m:sty m:val="i"/>
              </m:rPr>
              <m:t>u</m:t>
            </m:r>
            <m:r>
              <m:rPr>
                <m:sty m:val="i"/>
              </m:rPr>
              <m:t>t</m:t>
            </m:r>
            <m:r>
              <m:rPr>
                <m:sty m:val="i"/>
              </m:rPr>
              <m:t>i</m:t>
            </m:r>
            <m:r>
              <m:rPr>
                <m:sty m:val="i"/>
              </m:rPr>
              <m:t>o</m:t>
            </m:r>
            <m:r>
              <m:rPr>
                <m:sty m:val="i"/>
              </m:rPr>
              <m:t>n</m:t>
            </m:r>
            <m:r>
              <m:rPr>
                <m:sty m:val="i"/>
              </m:rPr>
              <m:t>s</m:t>
            </m:r>
            <m:r>
              <m:rPr>
                <m:sty m:val="p"/>
              </m:rPr>
              <m:t>,</m:t>
            </m:r>
            <m:r>
              <m:rPr>
                <m:sty m:val="i"/>
              </m:rPr>
              <m:t>a</m:t>
            </m:r>
            <m:r>
              <m:rPr>
                <m:sty m:val="i"/>
              </m:rPr>
              <m:t>l</m:t>
            </m:r>
            <m:r>
              <m:rPr>
                <m:sty m:val="i"/>
              </m:rPr>
              <m:t>o</m:t>
            </m:r>
            <m:r>
              <m:rPr>
                <m:sty m:val="i"/>
              </m:rPr>
              <m:t>n</m:t>
            </m:r>
            <m:r>
              <m:rPr>
                <m:sty m:val="i"/>
              </m:rPr>
              <m:t>g</m:t>
            </m:r>
            <m:r>
              <m:rPr>
                <m:sty m:val="i"/>
              </m:rPr>
              <m:t>s</m:t>
            </m:r>
            <m:r>
              <m:rPr>
                <m:sty m:val="i"/>
              </m:rPr>
              <m:t>i</m:t>
            </m:r>
            <m:r>
              <m:rPr>
                <m:sty m:val="i"/>
              </m:rPr>
              <m:t>d</m:t>
            </m:r>
            <m:r>
              <m:rPr>
                <m:sty m:val="i"/>
              </m:rPr>
              <m:t>e</m:t>
            </m:r>
            <m:r>
              <m:rPr>
                <m:sty m:val="p"/>
              </m:rPr>
              <m:t>*</m:t>
            </m:r>
            <m:r>
              <m:rPr>
                <m:sty m:val="p"/>
              </m:rPr>
              <m:t>*</m:t>
            </m:r>
          </m:e>
        </m:box>
      </m:oMath>
      <w:r>
        <w:rPr>
          <w:b/>
        </w:rPr>
        <w:t>88.70 per user per month</w:t>
      </w:r>
      <w:r>
        <w:t xml:space="preserve"> in Modern Work solution plays (Secure AI Productivity, Cloud &amp; AI Endpoints, and Windows 365 for Agents).</w:t>
      </w:r>
    </w:p>
    <w:p>
      <w:pPr>
        <w:pStyle w:val="ListBullet"/>
        <w:ind w:left="720"/>
      </w:pPr>
      <w:r>
        <w:rPr>
          <w:b/>
        </w:rPr>
        <w:t>Industrial &amp; Enterprise Azure AI ROI:</w:t>
      </w:r>
      <w:r>
        <w:t xml:space="preserve"> Forrester's NTTEI study on Microsoft AI solutions projects a </w:t>
      </w:r>
      <w:r>
        <w:rPr>
          <w:b/>
        </w:rPr>
        <w:t>167% to 457% three-year customer ROI</w:t>
      </w:r>
      <w:r>
        <w:t xml:space="preserve"> ($9.3M to $25.4M NPV), creating immense pull-through demand for partner integration, data pipeline engineering (Microsoft Fabric), and change management.</w:t>
      </w:r>
    </w:p>
    <w:p>
      <w:r>
        <w:rPr>
          <w:b/>
        </w:rPr>
        <w:t>Bottom Line on Microsoft:</w:t>
      </w:r>
      <w:r>
        <w:t xml:space="preserve"> Microsoft no longer needs partners to keep the lights on in Exchange Online or reset passwords in Entra ID. Microsoft needs partners to solve the </w:t>
      </w:r>
      <w:r>
        <w:rPr>
          <w:b/>
        </w:rPr>
        <w:t>"Data &amp; Governance Prerequisite Gap"</w:t>
      </w:r>
      <w:r>
        <w:t>—cleaning unstructured SharePoint data estates, implementing Microsoft Purview data classification/DLP so Copilot does not leak sensitive executive data, and building vertical-specific business process agents in Copilot Studio.</w:t>
      </w:r>
    </w:p>
    <w:p>
      <w:pPr>
        <w:pBdr>
          <w:bottom w:val="single" w:sz="6" w:space="1" w:color="808080"/>
        </w:pBdr>
      </w:pPr>
    </w:p>
    <w:p>
      <w:pPr>
        <w:pStyle w:val="Heading2"/>
      </w:pPr>
      <w:r>
        <w:t>7. AI Impact Analysis: The Autonomous Service Delivery Revolution</w:t>
      </w:r>
    </w:p>
    <w:p>
      <w:pPr>
        <w:pStyle w:val="Heading3"/>
      </w:pPr>
      <w:r>
        <w:t>7.1 Core Research Question 2: Impact of AI and Agentic Automation on Service Delivery</w:t>
      </w:r>
    </w:p>
    <w:p>
      <w:r>
        <w:t xml:space="preserve">The distinction between </w:t>
      </w:r>
      <w:r>
        <w:rPr>
          <w:b/>
        </w:rPr>
        <w:t>Generative AI (2023–2024)</w:t>
      </w:r>
      <w:r>
        <w:t xml:space="preserve"> and </w:t>
      </w:r>
      <w:r>
        <w:rPr>
          <w:b/>
        </w:rPr>
        <w:t>Agentic AI (2025–2030)</w:t>
      </w:r>
      <w:r>
        <w:t xml:space="preserve"> is the single most important technical concept for an MSP board to grasp:</w:t>
      </w:r>
    </w:p>
    <w:p>
      <w:pPr>
        <w:pStyle w:val="ListBullet"/>
      </w:pPr>
      <w:r>
        <w:rPr>
          <w:b/>
        </w:rPr>
        <w:t>Generative AI (Assistants/Chatbots):</w:t>
      </w:r>
      <w:r>
        <w:t xml:space="preserve"> Responds to a human prompt by summarizing a knowledge base article or drafting an email response. A human technician must still read the suggestion, log into the RMM/PSA or admin portal, execute the steps, and close the ticket.</w:t>
      </w:r>
    </w:p>
    <w:p>
      <w:pPr>
        <w:pStyle w:val="ListBullet"/>
      </w:pPr>
      <w:r>
        <w:rPr>
          <w:b/>
        </w:rPr>
        <w:t>Agentic AI (Autonomous Execution):</w:t>
      </w:r>
      <w:r>
        <w:t xml:space="preserve"> As defined by Gartner and Forrester, an AI agent perceives an event or request, formulates a multi-step plan, authenticates via APIs into live enterprise systems, executes the remediation within policy guardrails, verifies the outcome with the user or telemetry feed, and documents the closed ticket—requiring human intervention only for out-of-bounds exceptions.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EVOLUTION OF THE MSP SERVICE DESK ARCHITECTURE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[LEGACY MSP MODEL (2015–2024)]</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User/Alert ──► PSA Ticket Queue ──► Human L1 Tech (Triage/Reset) ──► Human L2 Tech (Config) ──► Human L3 Eng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(High Labor Cost | 42–48% Gross Margin | Slow MTTR | Linear Headcount Scaling)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[AI-NATIVE MSP MODEL (2026–2030)]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Telemetry / DEX / User Intent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[Autonomous Agentic Orchestration Layer (AIOps + Service Desk Agents)]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65%–80% Autonomous Resolution (Zero Human Touch: Access, Provisioning, Self-Healing, Triage)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20%–35% Exception Escalation (With Full Context, Logs &amp; Drafted Fix Attached)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[Human L2/L3 Swarming Engineers, SREs &amp; AI Governance Architects]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(High Margin 65–75%+ | Near-Instant MTTR | Non-Linear Scaling)</w:t>
      </w:r>
    </w:p>
    <w:p>
      <w:pPr>
        <w:pStyle w:val="Heading3"/>
      </w:pPr>
      <w:r>
        <w:t>7.2 Task-by-Task Substitution Analysis Across MSP Operations</w:t>
      </w:r>
    </w:p>
    <w:p>
      <w:r>
        <w:t>Based on empirical case studies from Forrester, Gartner, Omdia (Canalys Channel Forum), and MES Computing, the table below details the realistic replacement and augmentation trajectory across core MSP functions over the next 3 to 5 years: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160"/>
        <w:gridCol w:w="2160"/>
        <w:gridCol w:w="2160"/>
        <w:gridCol w:w="2160"/>
      </w:tblGrid>
      <w:tr>
        <w:tc>
          <w:tcPr>
            <w:tcW w:type="dxa" w:w="2160"/>
            <w:shd w:val="clear" w:color="auto" w:fill="F1F3F4"/>
          </w:tcPr>
          <w:p>
            <w:r>
              <w:rPr>
                <w:b/>
              </w:rPr>
              <w:t>MSP Operational Function</w:t>
            </w:r>
          </w:p>
        </w:tc>
        <w:tc>
          <w:tcPr>
            <w:tcW w:type="dxa" w:w="2160"/>
            <w:shd w:val="clear" w:color="auto" w:fill="F1F3F4"/>
          </w:tcPr>
          <w:p>
            <w:r>
              <w:rPr>
                <w:b/>
              </w:rPr>
              <w:t>Current Early-Adopter AI Impact (2025–2026)</w:t>
            </w:r>
          </w:p>
        </w:tc>
        <w:tc>
          <w:tcPr>
            <w:tcW w:type="dxa" w:w="2160"/>
            <w:shd w:val="clear" w:color="auto" w:fill="F1F3F4"/>
          </w:tcPr>
          <w:p>
            <w:r>
              <w:rPr>
                <w:b/>
              </w:rPr>
              <w:t>Projected Mature Impact (2028–2030)</w:t>
            </w:r>
          </w:p>
        </w:tc>
        <w:tc>
          <w:tcPr>
            <w:tcW w:type="dxa" w:w="2160"/>
            <w:shd w:val="clear" w:color="auto" w:fill="F1F3F4"/>
          </w:tcPr>
          <w:p>
            <w:r>
              <w:rPr>
                <w:b/>
              </w:rPr>
              <w:t>Vulnerability of Traditional Billable Effort</w:t>
            </w:r>
          </w:p>
        </w:tc>
      </w:tr>
      <w:tr>
        <w:tc>
          <w:tcPr>
            <w:tcW w:type="dxa" w:w="2160"/>
          </w:tcPr>
          <w:p>
            <w:r>
              <w:rPr>
                <w:b/>
              </w:rPr>
              <w:t>Ticket Triage, Categorization &amp; Routing</w:t>
            </w:r>
          </w:p>
        </w:tc>
        <w:tc>
          <w:tcPr>
            <w:tcW w:type="dxa" w:w="2160"/>
          </w:tcPr>
          <w:p>
            <w:r>
              <w:rPr>
                <w:b/>
              </w:rPr>
              <w:t>80%–90%+ automated</w:t>
            </w:r>
            <w:r>
              <w:t xml:space="preserve"> (Omdia/Canalys benchmarks). Agents classify severity, attach telemetry context, and route instantly.</w:t>
            </w:r>
          </w:p>
        </w:tc>
        <w:tc>
          <w:tcPr>
            <w:tcW w:type="dxa" w:w="2160"/>
          </w:tcPr>
          <w:p>
            <w:r>
              <w:rPr>
                <w:b/>
              </w:rPr>
              <w:t>95%–99% autonomous.</w:t>
            </w:r>
            <w:r>
              <w:t xml:space="preserve"> Human dispatchers and triage coordinators are completely eliminated.</w:t>
            </w:r>
          </w:p>
        </w:tc>
        <w:tc>
          <w:tcPr>
            <w:tcW w:type="dxa" w:w="2160"/>
          </w:tcPr>
          <w:p>
            <w:r>
              <w:rPr>
                <w:b/>
              </w:rPr>
              <w:t>Critical (Eliminated).</w:t>
            </w:r>
            <w:r>
              <w:t xml:space="preserve"> Role of human "Ticket Dispatcher" becomes obsolete.</w:t>
            </w:r>
          </w:p>
        </w:tc>
      </w:tr>
      <w:tr>
        <w:tc>
          <w:tcPr>
            <w:tcW w:type="dxa" w:w="2160"/>
            <w:shd w:val="clear" w:color="auto" w:fill="FAFAFA"/>
          </w:tcPr>
          <w:p>
            <w:r>
              <w:rPr>
                <w:b/>
              </w:rPr>
              <w:t>Level 1 Support (Password Resets, Access, Catalog Installs)</w:t>
            </w:r>
          </w:p>
        </w:tc>
        <w:tc>
          <w:tcPr>
            <w:tcW w:type="dxa" w:w="2160"/>
            <w:shd w:val="clear" w:color="auto" w:fill="FAFAFA"/>
          </w:tcPr>
          <w:p>
            <w:r>
              <w:rPr>
                <w:b/>
              </w:rPr>
              <w:t>50%–67% request deflection</w:t>
            </w:r>
            <w:r>
              <w:t xml:space="preserve"> via AI service desk agents (Forrester case studies).</w:t>
            </w:r>
          </w:p>
        </w:tc>
        <w:tc>
          <w:tcPr>
            <w:tcW w:type="dxa" w:w="2160"/>
            <w:shd w:val="clear" w:color="auto" w:fill="FAFAFA"/>
          </w:tcPr>
          <w:p>
            <w:r>
              <w:rPr>
                <w:b/>
              </w:rPr>
              <w:t>80% autonomous resolution</w:t>
            </w:r>
            <w:r>
              <w:t xml:space="preserve"> of common issues without human intervention (Gartner 2029 forecast).</w:t>
            </w:r>
          </w:p>
        </w:tc>
        <w:tc>
          <w:tcPr>
            <w:tcW w:type="dxa" w:w="2160"/>
            <w:shd w:val="clear" w:color="auto" w:fill="FAFAFA"/>
          </w:tcPr>
          <w:p>
            <w:r>
              <w:rPr>
                <w:b/>
              </w:rPr>
              <w:t>Critical (70%–80% Reduction).</w:t>
            </w:r>
            <w:r>
              <w:t xml:space="preserve"> Traditional L1 help desk headcount shrinks drastically.</w:t>
            </w:r>
          </w:p>
        </w:tc>
      </w:tr>
      <w:tr>
        <w:tc>
          <w:tcPr>
            <w:tcW w:type="dxa" w:w="2160"/>
          </w:tcPr>
          <w:p>
            <w:r>
              <w:rPr>
                <w:b/>
              </w:rPr>
              <w:t>Level 2 Support (Policy Troubleshooting, App Errors, Intune/M365)</w:t>
            </w:r>
          </w:p>
        </w:tc>
        <w:tc>
          <w:tcPr>
            <w:tcW w:type="dxa" w:w="2160"/>
          </w:tcPr>
          <w:p>
            <w:r>
              <w:rPr>
                <w:b/>
              </w:rPr>
              <w:t>40%–50% reduction in resolution time</w:t>
            </w:r>
            <w:r>
              <w:t xml:space="preserve"> via agent orchestration and Security/Intune Copilot.</w:t>
            </w:r>
          </w:p>
        </w:tc>
        <w:tc>
          <w:tcPr>
            <w:tcW w:type="dxa" w:w="2160"/>
          </w:tcPr>
          <w:p>
            <w:r>
              <w:rPr>
                <w:b/>
              </w:rPr>
              <w:t>50%–65% autonomous remediation</w:t>
            </w:r>
            <w:r>
              <w:t>; remaining L2 technicians shift to SRE/automation builders (Forrester blueprint).</w:t>
            </w:r>
          </w:p>
        </w:tc>
        <w:tc>
          <w:tcPr>
            <w:tcW w:type="dxa" w:w="2160"/>
          </w:tcPr>
          <w:p>
            <w:r>
              <w:rPr>
                <w:b/>
              </w:rPr>
              <w:t>High (50%+ Reduction).</w:t>
            </w:r>
            <w:r>
              <w:t xml:space="preserve"> L2 transforms from manual click-ops to exception reviewers.</w:t>
            </w:r>
          </w:p>
        </w:tc>
      </w:tr>
      <w:tr>
        <w:tc>
          <w:tcPr>
            <w:tcW w:type="dxa" w:w="2160"/>
            <w:shd w:val="clear" w:color="auto" w:fill="FAFAFA"/>
          </w:tcPr>
          <w:p>
            <w:r>
              <w:rPr>
                <w:b/>
              </w:rPr>
              <w:t>Monitoring, Alert Correlation &amp; AIOps (NOC)</w:t>
            </w:r>
          </w:p>
        </w:tc>
        <w:tc>
          <w:tcPr>
            <w:tcW w:type="dxa" w:w="2160"/>
            <w:shd w:val="clear" w:color="auto" w:fill="FAFAFA"/>
          </w:tcPr>
          <w:p>
            <w:r>
              <w:t>Multi-cloud AI optimization tools growing 18.5% YoY; predictive noise reduction filters 70%+ of false alerts.</w:t>
            </w:r>
          </w:p>
        </w:tc>
        <w:tc>
          <w:tcPr>
            <w:tcW w:type="dxa" w:w="2160"/>
            <w:shd w:val="clear" w:color="auto" w:fill="FAFAFA"/>
          </w:tcPr>
          <w:p>
            <w:r>
              <w:t>Autonomous self-healing scripts resolve routine resource exhaustion, service restarts, and patch rollbacks prior to user impact.</w:t>
            </w:r>
          </w:p>
        </w:tc>
        <w:tc>
          <w:tcPr>
            <w:tcW w:type="dxa" w:w="2160"/>
            <w:shd w:val="clear" w:color="auto" w:fill="FAFAFA"/>
          </w:tcPr>
          <w:p>
            <w:r>
              <w:rPr>
                <w:b/>
              </w:rPr>
              <w:t>Critical.</w:t>
            </w:r>
            <w:r>
              <w:t xml:space="preserve"> Selling "eyes-on-glass" NOC monitoring becomes indefensible.</w:t>
            </w:r>
          </w:p>
        </w:tc>
      </w:tr>
      <w:tr>
        <w:tc>
          <w:tcPr>
            <w:tcW w:type="dxa" w:w="2160"/>
          </w:tcPr>
          <w:p>
            <w:r>
              <w:rPr>
                <w:b/>
              </w:rPr>
              <w:t>Documentation &amp; SOP Generation</w:t>
            </w:r>
          </w:p>
        </w:tc>
        <w:tc>
          <w:tcPr>
            <w:tcW w:type="dxa" w:w="2160"/>
          </w:tcPr>
          <w:p>
            <w:r>
              <w:t>Automated generation of ticket notes, root-cause summaries, and runbooks inside PSA/IT Glue/Hudu platforms.</w:t>
            </w:r>
          </w:p>
        </w:tc>
        <w:tc>
          <w:tcPr>
            <w:tcW w:type="dxa" w:w="2160"/>
          </w:tcPr>
          <w:p>
            <w:r>
              <w:t>Self-updating dynamic knowledge graphs that ingest ticket resolutions and update agent workflows automatically.</w:t>
            </w:r>
          </w:p>
        </w:tc>
        <w:tc>
          <w:tcPr>
            <w:tcW w:type="dxa" w:w="2160"/>
          </w:tcPr>
          <w:p>
            <w:r>
              <w:rPr>
                <w:b/>
              </w:rPr>
              <w:t>High.</w:t>
            </w:r>
            <w:r>
              <w:t xml:space="preserve"> Eliminates 15%–20% of daily technician administrative overhead.</w:t>
            </w:r>
          </w:p>
        </w:tc>
      </w:tr>
      <w:tr>
        <w:tc>
          <w:tcPr>
            <w:tcW w:type="dxa" w:w="2160"/>
            <w:shd w:val="clear" w:color="auto" w:fill="FAFAFA"/>
          </w:tcPr>
          <w:p>
            <w:r>
              <w:rPr>
                <w:b/>
              </w:rPr>
              <w:t>User Onboarding &amp; Offboarding</w:t>
            </w:r>
          </w:p>
        </w:tc>
        <w:tc>
          <w:tcPr>
            <w:tcW w:type="dxa" w:w="2160"/>
            <w:shd w:val="clear" w:color="auto" w:fill="FAFAFA"/>
          </w:tcPr>
          <w:p>
            <w:r>
              <w:t>Automated workflow assembly across HRIS, Entra ID, licensing, and Intune Autopilot (Forrester).</w:t>
            </w:r>
          </w:p>
        </w:tc>
        <w:tc>
          <w:tcPr>
            <w:tcW w:type="dxa" w:w="2160"/>
            <w:shd w:val="clear" w:color="auto" w:fill="FAFAFA"/>
          </w:tcPr>
          <w:p>
            <w:r>
              <w:t>End-to-end zero-touch lifecycle management governed by identity agents.</w:t>
            </w:r>
          </w:p>
        </w:tc>
        <w:tc>
          <w:tcPr>
            <w:tcW w:type="dxa" w:w="2160"/>
            <w:shd w:val="clear" w:color="auto" w:fill="FAFAFA"/>
          </w:tcPr>
          <w:p>
            <w:r>
              <w:rPr>
                <w:b/>
              </w:rPr>
              <w:t>Critical.</w:t>
            </w:r>
            <w:r>
              <w:t xml:space="preserve"> Can no longer charge </w:t>
            </w:r>
            <m:oMath>
              <m:box>
                <m:boxPr/>
                <m:e>
                  <m:r>
                    <m:rPr>
                      <m:sty m:val="p"/>
                    </m:rPr>
                    <m:t>150</m:t>
                  </m:r>
                  <m:r>
                    <m:rPr>
                      <m:sty m:val="i"/>
                    </m:rPr>
                    <m:t>–</m:t>
                  </m:r>
                </m:e>
              </m:box>
            </m:oMath>
            <w:r>
              <w:t>300 project fees for routine user setups.</w:t>
            </w:r>
          </w:p>
        </w:tc>
      </w:tr>
      <w:tr>
        <w:tc>
          <w:tcPr>
            <w:tcW w:type="dxa" w:w="2160"/>
          </w:tcPr>
          <w:p>
            <w:r>
              <w:rPr>
                <w:b/>
              </w:rPr>
              <w:t>End-User Training &amp; Adoption</w:t>
            </w:r>
          </w:p>
        </w:tc>
        <w:tc>
          <w:tcPr>
            <w:tcW w:type="dxa" w:w="2160"/>
          </w:tcPr>
          <w:p>
            <w:r>
              <w:t>Free vendor-embedded tools (Microsoft Prompt Coach, Copilot Academy) replace basic IT training webinars.</w:t>
            </w:r>
          </w:p>
        </w:tc>
        <w:tc>
          <w:tcPr>
            <w:tcW w:type="dxa" w:w="2160"/>
          </w:tcPr>
          <w:p>
            <w:r>
              <w:t>Personalized, context-aware in-app AI coaching tailored to individual employee workflows.</w:t>
            </w:r>
          </w:p>
        </w:tc>
        <w:tc>
          <w:tcPr>
            <w:tcW w:type="dxa" w:w="2160"/>
          </w:tcPr>
          <w:p>
            <w:r>
              <w:rPr>
                <w:b/>
              </w:rPr>
              <w:t>Moderate-High.</w:t>
            </w:r>
            <w:r>
              <w:t xml:space="preserve"> Generic software training commoditized; shifts to executive change management.</w:t>
            </w:r>
          </w:p>
        </w:tc>
      </w:tr>
      <w:tr>
        <w:tc>
          <w:tcPr>
            <w:tcW w:type="dxa" w:w="2160"/>
            <w:shd w:val="clear" w:color="auto" w:fill="FAFAFA"/>
          </w:tcPr>
          <w:p>
            <w:r>
              <w:rPr>
                <w:b/>
              </w:rPr>
              <w:t>Security Operations (SOC / MDR / Threat Hunting)</w:t>
            </w:r>
          </w:p>
        </w:tc>
        <w:tc>
          <w:tcPr>
            <w:tcW w:type="dxa" w:w="2160"/>
            <w:shd w:val="clear" w:color="auto" w:fill="FAFAFA"/>
          </w:tcPr>
          <w:p>
            <w:r>
              <w:t>Cross-tenant AI rule propagation (Reliance Cyber) and automated alert enrichment via Security Copilot.</w:t>
            </w:r>
          </w:p>
        </w:tc>
        <w:tc>
          <w:tcPr>
            <w:tcW w:type="dxa" w:w="2160"/>
            <w:shd w:val="clear" w:color="auto" w:fill="FAFAFA"/>
          </w:tcPr>
          <w:p>
            <w:r>
              <w:t xml:space="preserve">AI-assisted exposure detection (50% of findings by 2028 per Gartner), while </w:t>
            </w:r>
            <w:r>
              <w:rPr>
                <w:b/>
              </w:rPr>
              <w:t>human-led judgment remains mandatory</w:t>
            </w:r>
            <w:r>
              <w:t xml:space="preserve"> for complex containment.</w:t>
            </w:r>
          </w:p>
        </w:tc>
        <w:tc>
          <w:tcPr>
            <w:tcW w:type="dxa" w:w="2160"/>
            <w:shd w:val="clear" w:color="auto" w:fill="FAFAFA"/>
          </w:tcPr>
          <w:p>
            <w:r>
              <w:rPr>
                <w:b/>
              </w:rPr>
              <w:t>Low Substitution / High Augmentation.</w:t>
            </w:r>
            <w:r>
              <w:t xml:space="preserve"> Human security analysts become </w:t>
            </w:r>
            <w:r>
              <w:rPr>
                <w:i/>
              </w:rPr>
              <w:t>more</w:t>
            </w:r>
            <w:r>
              <w:t xml:space="preserve"> valuable, not less.</w:t>
            </w:r>
          </w:p>
        </w:tc>
      </w:tr>
    </w:tbl>
    <w:p>
      <w:pPr>
        <w:pStyle w:val="Heading3"/>
      </w:pPr>
      <w:r>
        <w:t>7.3 Modeling Best-Case vs. Worst-Case Scenarios for MSPs</w:t>
      </w:r>
    </w:p>
    <w:p>
      <w:r>
        <w:t>How does this operational revolution impact an MSP's P&amp;L and organizational structure?</w:t>
      </w:r>
    </w:p>
    <w:p>
      <w:pPr>
        <w:pStyle w:val="ListBullet"/>
      </w:pPr>
    </w:p>
    <w:p>
      <w:r>
        <w:rPr>
          <w:b/>
        </w:rPr>
        <w:t>The Worst-Case Scenario ("The Passive Traditionalist"):</w:t>
      </w:r>
    </w:p>
    <w:p>
      <w:pPr>
        <w:pStyle w:val="ListBullet"/>
        <w:ind w:left="720"/>
      </w:pPr>
      <w:r>
        <w:t>The MSP continues selling a $135/user/month support bundle while making only superficial internal use of AI (e.g., technicians using ChatGPT to write faster ticket replies).</w:t>
      </w:r>
    </w:p>
    <w:p>
      <w:pPr>
        <w:pStyle w:val="ListBullet"/>
        <w:ind w:left="720"/>
      </w:pPr>
      <w:r>
        <w:t xml:space="preserve">By 2028, AI-native competitors enter the local market offering </w:t>
      </w:r>
      <w:r>
        <w:rPr>
          <w:b/>
        </w:rPr>
        <w:t>Autonomous IT Operations + MXDR</w:t>
      </w:r>
      <w:r>
        <w:t xml:space="preserve"> at </w:t>
      </w:r>
      <m:oMath>
        <m:box>
          <m:boxPr/>
          <m:e>
            <m:r>
              <m:rPr>
                <m:sty m:val="p"/>
              </m:rPr>
              <m:t>85</m:t>
            </m:r>
            <m:r>
              <m:rPr>
                <m:sty m:val="p"/>
              </m:rPr>
              <m:t>/</m:t>
            </m:r>
            <m:r>
              <m:rPr>
                <m:sty m:val="i"/>
              </m:rPr>
              <m:t>u</m:t>
            </m:r>
            <m:r>
              <m:rPr>
                <m:sty m:val="i"/>
              </m:rPr>
              <m:t>s</m:t>
            </m:r>
            <m:r>
              <m:rPr>
                <m:sty m:val="i"/>
              </m:rPr>
              <m:t>e</m:t>
            </m:r>
            <m:r>
              <m:rPr>
                <m:sty m:val="i"/>
              </m:rPr>
              <m:t>r</m:t>
            </m:r>
            <m:r>
              <m:rPr>
                <m:sty m:val="p"/>
              </m:rPr>
              <m:t>/</m:t>
            </m:r>
            <m:r>
              <m:rPr>
                <m:sty m:val="i"/>
              </m:rPr>
              <m:t>m</m:t>
            </m:r>
            <m:r>
              <m:rPr>
                <m:sty m:val="i"/>
              </m:rPr>
              <m:t>o</m:t>
            </m:r>
            <m:r>
              <m:rPr>
                <m:sty m:val="i"/>
              </m:rPr>
              <m:t>n</m:t>
            </m:r>
            <m:r>
              <m:rPr>
                <m:sty m:val="i"/>
              </m:rPr>
              <m:t>t</m:t>
            </m:r>
            <m:r>
              <m:rPr>
                <m:sty m:val="i"/>
              </m:rPr>
              <m:t>h</m:t>
            </m:r>
            <m:r>
              <m:rPr>
                <m:sty m:val="p"/>
              </m:rPr>
              <m:t>*</m:t>
            </m:r>
            <m:r>
              <m:rPr>
                <m:sty m:val="p"/>
              </m:rPr>
              <m:t>*</m:t>
            </m:r>
            <m:r>
              <m:rPr>
                <m:sty m:val="i"/>
              </m:rPr>
              <m:t>w</m:t>
            </m:r>
            <m:r>
              <m:rPr>
                <m:sty m:val="i"/>
              </m:rPr>
              <m:t>i</m:t>
            </m:r>
            <m:r>
              <m:rPr>
                <m:sty m:val="i"/>
              </m:rPr>
              <m:t>t</m:t>
            </m:r>
            <m:r>
              <m:rPr>
                <m:sty m:val="i"/>
              </m:rPr>
              <m:t>h</m:t>
            </m:r>
            <m:r>
              <m:rPr>
                <m:sty m:val="i"/>
              </m:rPr>
              <m:t>a</m:t>
            </m:r>
            <m:r>
              <m:rPr>
                <m:sty m:val="p"/>
              </m:rPr>
              <m:t>72</m:t>
            </m:r>
          </m:e>
        </m:box>
      </m:oMath>
      <w:r>
        <w:rPr>
          <w:b/>
        </w:rPr>
        <w:t>150/user/month</w:t>
      </w:r>
      <w:r>
        <w:t xml:space="preserve"> inclusive of custom business process agents and quarterly AI governance audits.</w:t>
      </w:r>
    </w:p>
    <w:p>
      <w:pPr>
        <w:pStyle w:val="ListBullet"/>
        <w:ind w:left="720"/>
      </w:pPr>
      <w:r>
        <w:t>Simultaneously, the Passive Traditionalist's existing clients deploy internal self-service agents, see their ticket volume drop by 60%, and demand a 35% fee reduction at renewal.</w:t>
      </w:r>
    </w:p>
    <w:p>
      <w:pPr>
        <w:pStyle w:val="ListBullet"/>
        <w:ind w:left="720"/>
      </w:pPr>
      <w:r>
        <w:rPr>
          <w:b/>
        </w:rPr>
        <w:t>Financial Outcome:</w:t>
      </w:r>
      <w:r>
        <w:t xml:space="preserve"> Top-line revenue contracts by 25%–40% over 36 months; gross margins collapse below 35% due to sticky human payroll; EBITDA drops below 8%; valuation multiple compresses to &lt;4.0x EBITDA, rendering the business unsellable except as a distressed customer-list asset sale.</w:t>
      </w:r>
    </w:p>
    <w:p>
      <w:pPr>
        <w:pStyle w:val="ListBullet"/>
      </w:pPr>
    </w:p>
    <w:p>
      <w:r>
        <w:rPr>
          <w:b/>
        </w:rPr>
        <w:t>The Best-Case Scenario ("The AI-First Platform TSP"):</w:t>
      </w:r>
    </w:p>
    <w:p>
      <w:pPr>
        <w:pStyle w:val="ListBullet"/>
        <w:ind w:left="720"/>
      </w:pPr>
      <w:r>
        <w:t>The MSP aggressively deploys internal agentic orchestration across its PSA/RMM/UEM stack, automating 75% of L1/L2 tickets and cutting mean time to resolution (MTTR) by 60%.</w:t>
      </w:r>
    </w:p>
    <w:p>
      <w:pPr>
        <w:pStyle w:val="ListBullet"/>
        <w:ind w:left="720"/>
      </w:pPr>
      <w:r>
        <w:t xml:space="preserve">Instead of laying off all displaced staff, the MSP follows the </w:t>
      </w:r>
      <w:r>
        <w:rPr>
          <w:b/>
        </w:rPr>
        <w:t>Gartner High-ROI Workforce Pattern</w:t>
      </w:r>
      <w:r>
        <w:t xml:space="preserve"> (where 85% of leaders expand human responsibilities rather than relying purely on layoffs, as Gartner notes workforce cuts alone do not create return) and reskills top L2 engineers into </w:t>
      </w:r>
      <w:r>
        <w:rPr>
          <w:b/>
        </w:rPr>
        <w:t>AI Solutions Architects, Copilot Studio Builders, Purview Data Governance Consultants, and Threat Hunters</w:t>
      </w:r>
      <w:r>
        <w:t>.</w:t>
      </w:r>
    </w:p>
    <w:p>
      <w:pPr>
        <w:pStyle w:val="ListBullet"/>
        <w:ind w:left="720"/>
      </w:pPr>
      <w:r>
        <w:t xml:space="preserve">The MSP transitions commercial contracts from ticket-based support to </w:t>
      </w:r>
      <w:r>
        <w:rPr>
          <w:b/>
        </w:rPr>
        <w:t>Platform + Outcome Tiers</w:t>
      </w:r>
      <w:r>
        <w:t xml:space="preserve"> (bundling proprietary vertical AI agents, Purview compliance management, and 24/7 MXDR).</w:t>
      </w:r>
    </w:p>
    <w:p>
      <w:pPr>
        <w:pStyle w:val="ListBullet"/>
        <w:ind w:left="720"/>
      </w:pPr>
      <w:r>
        <w:rPr>
          <w:b/>
        </w:rPr>
        <w:t>Financial Outcome:</w:t>
      </w:r>
      <w:r>
        <w:t xml:space="preserve"> Revenue per employee expands from </w:t>
      </w:r>
      <m:oMath>
        <m:box>
          <m:boxPr/>
          <m:e>
            <m:r>
              <m:rPr>
                <m:sty m:val="p"/>
              </m:rPr>
              <m:t>175</m:t>
            </m:r>
            <m:r>
              <m:rPr>
                <m:sty m:val="p"/>
              </m:rPr>
              <m:t>,</m:t>
            </m:r>
            <m:r>
              <m:rPr>
                <m:sty m:val="p"/>
              </m:rPr>
              <m:t>000</m:t>
            </m:r>
            <m:r>
              <m:rPr>
                <m:sty m:val="i"/>
              </m:rPr>
              <m:t>t</m:t>
            </m:r>
            <m:r>
              <m:rPr>
                <m:sty m:val="i"/>
              </m:rPr>
              <m:t>o</m:t>
            </m:r>
            <m:r>
              <m:rPr>
                <m:sty m:val="p"/>
              </m:rPr>
              <m:t>*</m:t>
            </m:r>
            <m:r>
              <m:rPr>
                <m:sty m:val="p"/>
              </m:rPr>
              <m:t>*</m:t>
            </m:r>
          </m:e>
        </m:box>
      </m:oMath>
      <w:r>
        <w:t xml:space="preserve">310,000+**; service gross margins climb from 46% to </w:t>
      </w:r>
      <w:r>
        <w:rPr>
          <w:b/>
        </w:rPr>
        <w:t>66%+</w:t>
      </w:r>
      <w:r>
        <w:t xml:space="preserve">; EBITDA expands from 14% to </w:t>
      </w:r>
      <w:r>
        <w:rPr>
          <w:b/>
        </w:rPr>
        <w:t>28%+</w:t>
      </w:r>
      <w:r>
        <w:t xml:space="preserve">; valuation multiple expands to </w:t>
      </w:r>
      <w:r>
        <w:rPr>
          <w:b/>
        </w:rPr>
        <w:t>10.0x–13.5x EBITDA</w:t>
      </w:r>
      <w:r>
        <w:t>.</w:t>
      </w:r>
    </w:p>
    <w:p>
      <w:pPr>
        <w:pBdr>
          <w:bottom w:val="single" w:sz="6" w:space="1" w:color="808080"/>
        </w:pBdr>
      </w:pPr>
    </w:p>
    <w:p>
      <w:pPr>
        <w:pStyle w:val="Heading2"/>
      </w:pPr>
      <w:r>
        <w:t>8. Financial Analysis: Modeling the Economics of Transformation</w:t>
      </w:r>
    </w:p>
    <w:p>
      <w:pPr>
        <w:pStyle w:val="Heading3"/>
      </w:pPr>
      <w:r>
        <w:t>8.1 Core Research Question 7: Financial Comparison of Current vs. Future MSP Models</w:t>
      </w:r>
    </w:p>
    <w:p>
      <w:r>
        <w:t>To provide board-level clarity for MSP owners and private equity investors, we have constructed a comparative 5-year financial model for a representative mid-sized MSP (</w:t>
      </w:r>
      <w:r>
        <w:rPr>
          <w:b/>
        </w:rPr>
        <w:t>"Apex IT Services"</w:t>
      </w:r>
      <w:r>
        <w:t xml:space="preserve">) starting in Year 0 (2026) with </w:t>
      </w:r>
      <w:r>
        <w:rPr>
          <w:b/>
        </w:rPr>
        <w:t>$10.0 million in annual revenue</w:t>
      </w:r>
      <w:r>
        <w:t>, 55 employees, and 5,000 managed seats.</w:t>
      </w:r>
    </w:p>
    <w:p>
      <w:r>
        <w:t>We model two divergent strategic paths from 2026 to 2030 based on Service Leadership Index®, Forrester TEI™, and Peak Technology Partners M&amp;A benchmarks:</w:t>
      </w:r>
    </w:p>
    <w:p>
      <w:pPr>
        <w:pStyle w:val="ListBullet"/>
      </w:pPr>
      <w:r>
        <w:rPr>
          <w:b/>
        </w:rPr>
        <w:t>Path A: Conventional MSP Model (Status Quo)</w:t>
      </w:r>
      <w:r>
        <w:t xml:space="preserve"> – Maintains per-user help desk, basic RMM, standard endpoint security, and CSP license resale, with minor incremental tool updates.</w:t>
      </w:r>
    </w:p>
    <w:p>
      <w:pPr>
        <w:pStyle w:val="ListBullet"/>
      </w:pPr>
      <w:r>
        <w:rPr>
          <w:b/>
        </w:rPr>
        <w:t>Path B: Next-Generation AI &amp; Security TSP Model (Transformed)</w:t>
      </w:r>
      <w:r>
        <w:t xml:space="preserve"> – Automates L1/L2 delivery via agentic AI, shifts commercial model to Managed AI Governance, Copilot Studio IP subscriptions, Data/Purview readiness, and turnkey MXDR/CTEM.</w:t>
      </w:r>
    </w:p>
    <w:p>
      <w:pPr>
        <w:pStyle w:val="Heading4"/>
      </w:pPr>
      <w:r>
        <w:t>Comparative Unit Economics &amp; P&amp;L Model ($10M Baseline MSP -&gt; 2030 Projection)</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728"/>
        <w:gridCol w:w="1728"/>
        <w:gridCol w:w="1728"/>
        <w:gridCol w:w="1728"/>
        <w:gridCol w:w="1728"/>
      </w:tblGrid>
      <w:tr>
        <w:tc>
          <w:tcPr>
            <w:tcW w:type="dxa" w:w="1728"/>
            <w:shd w:val="clear" w:color="auto" w:fill="F1F3F4"/>
          </w:tcPr>
          <w:p>
            <w:r>
              <w:rPr>
                <w:b/>
              </w:rPr>
              <w:t>Financial &amp; Operational Metric</w:t>
            </w:r>
          </w:p>
        </w:tc>
        <w:tc>
          <w:tcPr>
            <w:tcW w:type="dxa" w:w="1728"/>
            <w:shd w:val="clear" w:color="auto" w:fill="F1F3F4"/>
          </w:tcPr>
          <w:p>
            <w:r>
              <w:rPr>
                <w:b/>
              </w:rPr>
              <w:t>Baseline (2026 Current)</w:t>
            </w:r>
          </w:p>
        </w:tc>
        <w:tc>
          <w:tcPr>
            <w:tcW w:type="dxa" w:w="1728"/>
            <w:shd w:val="clear" w:color="auto" w:fill="F1F3F4"/>
          </w:tcPr>
          <w:p>
            <w:r>
              <w:rPr>
                <w:b/>
              </w:rPr>
              <w:t>Path A: Conventional MSP (2030 Projected)</w:t>
            </w:r>
          </w:p>
        </w:tc>
        <w:tc>
          <w:tcPr>
            <w:tcW w:type="dxa" w:w="1728"/>
            <w:shd w:val="clear" w:color="auto" w:fill="F1F3F4"/>
          </w:tcPr>
          <w:p>
            <w:r>
              <w:rPr>
                <w:b/>
              </w:rPr>
              <w:t>Path B: AI &amp; Security TSP (2030 Projected)</w:t>
            </w:r>
          </w:p>
        </w:tc>
        <w:tc>
          <w:tcPr>
            <w:tcW w:type="dxa" w:w="1728"/>
            <w:shd w:val="clear" w:color="auto" w:fill="F1F3F4"/>
          </w:tcPr>
          <w:p>
            <w:r>
              <w:rPr>
                <w:b/>
              </w:rPr>
              <w:t>Benchmark Source / Analytical Rationale</w:t>
            </w:r>
          </w:p>
        </w:tc>
      </w:tr>
      <w:tr>
        <w:tc>
          <w:tcPr>
            <w:tcW w:type="dxa" w:w="1728"/>
          </w:tcPr>
          <w:p>
            <w:r>
              <w:rPr>
                <w:b/>
              </w:rPr>
              <w:t>Total Annual Revenue</w:t>
            </w:r>
          </w:p>
        </w:tc>
        <w:tc>
          <w:tcPr>
            <w:tcW w:type="dxa" w:w="1728"/>
          </w:tcPr>
          <w:p>
            <w:r>
              <w:rPr>
                <w:b/>
              </w:rPr>
              <w:t>$10,000,000</w:t>
            </w:r>
          </w:p>
        </w:tc>
        <w:tc>
          <w:tcPr>
            <w:tcW w:type="dxa" w:w="1728"/>
          </w:tcPr>
          <w:p>
            <w:r>
              <w:rPr>
                <w:b/>
              </w:rPr>
              <w:t>$8,850,000</w:t>
            </w:r>
            <w:r>
              <w:t xml:space="preserve"> (-2.9% CAGR)</w:t>
            </w:r>
          </w:p>
        </w:tc>
        <w:tc>
          <w:tcPr>
            <w:tcW w:type="dxa" w:w="1728"/>
          </w:tcPr>
          <w:p>
            <w:r>
              <w:rPr>
                <w:b/>
              </w:rPr>
              <w:t>$18,400,000</w:t>
            </w:r>
            <w:r>
              <w:t xml:space="preserve"> (+16.5% CAGR)</w:t>
            </w:r>
          </w:p>
        </w:tc>
        <w:tc>
          <w:tcPr>
            <w:tcW w:type="dxa" w:w="1728"/>
          </w:tcPr>
          <w:p>
            <w:r>
              <w:t>Canalys (13% MSP growth; 30–35% AI services CAGR) vs. renewal price deflation on legacy support.</w:t>
            </w:r>
          </w:p>
        </w:tc>
      </w:tr>
      <w:tr>
        <w:tc>
          <w:tcPr>
            <w:tcW w:type="dxa" w:w="1728"/>
            <w:shd w:val="clear" w:color="auto" w:fill="FAFAFA"/>
          </w:tcPr>
          <w:p>
            <w:r>
              <w:rPr>
                <w:b/>
              </w:rPr>
              <w:t>Recurring Revenue (MRR) Share</w:t>
            </w:r>
          </w:p>
        </w:tc>
        <w:tc>
          <w:tcPr>
            <w:tcW w:type="dxa" w:w="1728"/>
            <w:shd w:val="clear" w:color="auto" w:fill="FAFAFA"/>
          </w:tcPr>
          <w:p>
            <w:r>
              <w:t>68% ($6.8M)</w:t>
            </w:r>
          </w:p>
        </w:tc>
        <w:tc>
          <w:tcPr>
            <w:tcW w:type="dxa" w:w="1728"/>
            <w:shd w:val="clear" w:color="auto" w:fill="FAFAFA"/>
          </w:tcPr>
          <w:p>
            <w:r>
              <w:t>62% ($5.49M)</w:t>
            </w:r>
          </w:p>
        </w:tc>
        <w:tc>
          <w:tcPr>
            <w:tcW w:type="dxa" w:w="1728"/>
            <w:shd w:val="clear" w:color="auto" w:fill="FAFAFA"/>
          </w:tcPr>
          <w:p>
            <w:r>
              <w:t>84% ($15.46M)</w:t>
            </w:r>
          </w:p>
        </w:tc>
        <w:tc>
          <w:tcPr>
            <w:tcW w:type="dxa" w:w="1728"/>
            <w:shd w:val="clear" w:color="auto" w:fill="FAFAFA"/>
          </w:tcPr>
          <w:p>
            <w:r>
              <w:t>Path B adds recurring Managed AI Agent subscriptions, Purview Governance, and MXDR.</w:t>
            </w:r>
          </w:p>
        </w:tc>
      </w:tr>
      <w:tr>
        <w:tc>
          <w:tcPr>
            <w:tcW w:type="dxa" w:w="1728"/>
          </w:tcPr>
          <w:p>
            <w:r>
              <w:rPr>
                <w:b/>
              </w:rPr>
              <w:t>Average Revenue Per User (ARPU / Mo)</w:t>
            </w:r>
          </w:p>
        </w:tc>
        <w:tc>
          <w:tcPr>
            <w:tcW w:type="dxa" w:w="1728"/>
          </w:tcPr>
          <w:p>
            <w:r>
              <w:t>$115.00</w:t>
            </w:r>
          </w:p>
        </w:tc>
        <w:tc>
          <w:tcPr>
            <w:tcW w:type="dxa" w:w="1728"/>
          </w:tcPr>
          <w:p>
            <w:r>
              <w:t>$88.00 (Price compression)</w:t>
            </w:r>
          </w:p>
        </w:tc>
        <w:tc>
          <w:tcPr>
            <w:tcW w:type="dxa" w:w="1728"/>
          </w:tcPr>
          <w:p>
            <w:r>
              <w:t>$215.00 (Expanded wallet share)</w:t>
            </w:r>
          </w:p>
        </w:tc>
        <w:tc>
          <w:tcPr>
            <w:tcW w:type="dxa" w:w="1728"/>
          </w:tcPr>
          <w:p>
            <w:r>
              <w:t>Forrester TEI (</w:t>
            </w:r>
            <m:oMath>
              <m:box>
                <m:boxPr/>
                <m:e>
                  <m:r>
                    <m:rPr>
                      <m:sty m:val="p"/>
                    </m:rPr>
                    <m:t>103.75</m:t>
                  </m:r>
                  <m:r>
                    <m:rPr>
                      <m:sty m:val="i"/>
                    </m:rPr>
                    <m:t>–</m:t>
                  </m:r>
                </m:e>
              </m:box>
            </m:oMath>
            <w:r>
              <w:t>124.85 PUPM AI services opportunity layered onto modern work/security).</w:t>
            </w:r>
          </w:p>
        </w:tc>
      </w:tr>
      <w:tr>
        <w:tc>
          <w:tcPr>
            <w:tcW w:type="dxa" w:w="1728"/>
            <w:shd w:val="clear" w:color="auto" w:fill="FAFAFA"/>
          </w:tcPr>
          <w:p>
            <w:r>
              <w:rPr>
                <w:b/>
              </w:rPr>
              <w:t>Service Gross Margin (%)</w:t>
            </w:r>
          </w:p>
        </w:tc>
        <w:tc>
          <w:tcPr>
            <w:tcW w:type="dxa" w:w="1728"/>
            <w:shd w:val="clear" w:color="auto" w:fill="FAFAFA"/>
          </w:tcPr>
          <w:p>
            <w:r>
              <w:t>47.0%</w:t>
            </w:r>
          </w:p>
        </w:tc>
        <w:tc>
          <w:tcPr>
            <w:tcW w:type="dxa" w:w="1728"/>
            <w:shd w:val="clear" w:color="auto" w:fill="FAFAFA"/>
          </w:tcPr>
          <w:p>
            <w:r>
              <w:t>39.5%</w:t>
            </w:r>
          </w:p>
        </w:tc>
        <w:tc>
          <w:tcPr>
            <w:tcW w:type="dxa" w:w="1728"/>
            <w:shd w:val="clear" w:color="auto" w:fill="FAFAFA"/>
          </w:tcPr>
          <w:p>
            <w:r>
              <w:t>64.5%</w:t>
            </w:r>
          </w:p>
        </w:tc>
        <w:tc>
          <w:tcPr>
            <w:tcW w:type="dxa" w:w="1728"/>
            <w:shd w:val="clear" w:color="auto" w:fill="FAFAFA"/>
          </w:tcPr>
          <w:p>
            <w:r>
              <w:t>ConnectWise Service Leadership (&gt;50% healthy baseline; AI deflection cuts delivery COGS by 30%+ per Gartner).</w:t>
            </w:r>
          </w:p>
        </w:tc>
      </w:tr>
      <w:tr>
        <w:tc>
          <w:tcPr>
            <w:tcW w:type="dxa" w:w="1728"/>
          </w:tcPr>
          <w:p>
            <w:r>
              <w:rPr>
                <w:b/>
              </w:rPr>
              <w:t>Blended Gross Margin (%)</w:t>
            </w:r>
          </w:p>
        </w:tc>
        <w:tc>
          <w:tcPr>
            <w:tcW w:type="dxa" w:w="1728"/>
          </w:tcPr>
          <w:p>
            <w:r>
              <w:t>43.5% ($4.35M)</w:t>
            </w:r>
          </w:p>
        </w:tc>
        <w:tc>
          <w:tcPr>
            <w:tcW w:type="dxa" w:w="1728"/>
          </w:tcPr>
          <w:p>
            <w:r>
              <w:t>36.8% ($3.26M)</w:t>
            </w:r>
          </w:p>
        </w:tc>
        <w:tc>
          <w:tcPr>
            <w:tcW w:type="dxa" w:w="1728"/>
          </w:tcPr>
          <w:p>
            <w:r>
              <w:t>61.0% ($11.22M)</w:t>
            </w:r>
          </w:p>
        </w:tc>
        <w:tc>
          <w:tcPr>
            <w:tcW w:type="dxa" w:w="1728"/>
          </w:tcPr>
          <w:p>
            <w:r>
              <w:t>Path A suffers from shrinking CSP resale margins; Path B captures 70%+ margins on proprietary IP/agents.</w:t>
            </w:r>
          </w:p>
        </w:tc>
      </w:tr>
      <w:tr>
        <w:tc>
          <w:tcPr>
            <w:tcW w:type="dxa" w:w="1728"/>
            <w:shd w:val="clear" w:color="auto" w:fill="FAFAFA"/>
          </w:tcPr>
          <w:p>
            <w:r>
              <w:rPr>
                <w:b/>
              </w:rPr>
              <w:t>Total Headcount (FTEs)</w:t>
            </w:r>
          </w:p>
        </w:tc>
        <w:tc>
          <w:tcPr>
            <w:tcW w:type="dxa" w:w="1728"/>
            <w:shd w:val="clear" w:color="auto" w:fill="FAFAFA"/>
          </w:tcPr>
          <w:p>
            <w:r>
              <w:t>55 FTEs</w:t>
            </w:r>
          </w:p>
        </w:tc>
        <w:tc>
          <w:tcPr>
            <w:tcW w:type="dxa" w:w="1728"/>
            <w:shd w:val="clear" w:color="auto" w:fill="FAFAFA"/>
          </w:tcPr>
          <w:p>
            <w:r>
              <w:t>49 FTEs</w:t>
            </w:r>
          </w:p>
        </w:tc>
        <w:tc>
          <w:tcPr>
            <w:tcW w:type="dxa" w:w="1728"/>
            <w:shd w:val="clear" w:color="auto" w:fill="FAFAFA"/>
          </w:tcPr>
          <w:p>
            <w:r>
              <w:t>58 FTEs</w:t>
            </w:r>
          </w:p>
        </w:tc>
        <w:tc>
          <w:tcPr>
            <w:tcW w:type="dxa" w:w="1728"/>
            <w:shd w:val="clear" w:color="auto" w:fill="FAFAFA"/>
          </w:tcPr>
          <w:p>
            <w:r>
              <w:t>Path B grows revenue 84% while adding only 3 net FTEs via 75% L1/L2 ticket automation.</w:t>
            </w:r>
          </w:p>
        </w:tc>
      </w:tr>
      <w:tr>
        <w:tc>
          <w:tcPr>
            <w:tcW w:type="dxa" w:w="1728"/>
          </w:tcPr>
          <w:p>
            <w:r>
              <w:rPr>
                <w:b/>
              </w:rPr>
              <w:t>Revenue Per Employee (RPE)</w:t>
            </w:r>
          </w:p>
        </w:tc>
        <w:tc>
          <w:tcPr>
            <w:tcW w:type="dxa" w:w="1728"/>
          </w:tcPr>
          <w:p>
            <w:r>
              <w:t>$181,818</w:t>
            </w:r>
          </w:p>
        </w:tc>
        <w:tc>
          <w:tcPr>
            <w:tcW w:type="dxa" w:w="1728"/>
          </w:tcPr>
          <w:p>
            <w:r>
              <w:t>$180,612</w:t>
            </w:r>
          </w:p>
        </w:tc>
        <w:tc>
          <w:tcPr>
            <w:tcW w:type="dxa" w:w="1728"/>
          </w:tcPr>
          <w:p>
            <w:r>
              <w:t>$317,241</w:t>
            </w:r>
          </w:p>
        </w:tc>
        <w:tc>
          <w:tcPr>
            <w:tcW w:type="dxa" w:w="1728"/>
          </w:tcPr>
          <w:p>
            <w:r>
              <w:t>Decoupling revenue growth from linear human technician headcount additions.</w:t>
            </w:r>
          </w:p>
        </w:tc>
      </w:tr>
      <w:tr>
        <w:tc>
          <w:tcPr>
            <w:tcW w:type="dxa" w:w="1728"/>
            <w:shd w:val="clear" w:color="auto" w:fill="FAFAFA"/>
          </w:tcPr>
          <w:p>
            <w:r>
              <w:rPr>
                <w:b/>
              </w:rPr>
              <w:t>SG&amp;A / Operating Expenses (% Rev)</w:t>
            </w:r>
          </w:p>
        </w:tc>
        <w:tc>
          <w:tcPr>
            <w:tcW w:type="dxa" w:w="1728"/>
            <w:shd w:val="clear" w:color="auto" w:fill="FAFAFA"/>
          </w:tcPr>
          <w:p>
            <w:r>
              <w:t>29.5% ($2.95M)</w:t>
            </w:r>
          </w:p>
        </w:tc>
        <w:tc>
          <w:tcPr>
            <w:tcW w:type="dxa" w:w="1728"/>
            <w:shd w:val="clear" w:color="auto" w:fill="FAFAFA"/>
          </w:tcPr>
          <w:p>
            <w:r>
              <w:t>28.0% ($2.48M)</w:t>
            </w:r>
          </w:p>
        </w:tc>
        <w:tc>
          <w:tcPr>
            <w:tcW w:type="dxa" w:w="1728"/>
            <w:shd w:val="clear" w:color="auto" w:fill="FAFAFA"/>
          </w:tcPr>
          <w:p>
            <w:r>
              <w:t>33.0% ($6.07M)</w:t>
            </w:r>
          </w:p>
        </w:tc>
        <w:tc>
          <w:tcPr>
            <w:tcW w:type="dxa" w:w="1728"/>
            <w:shd w:val="clear" w:color="auto" w:fill="FAFAFA"/>
          </w:tcPr>
          <w:p>
            <w:r>
              <w:t>Path B invests more in consultative sales, R&amp;D for vertical AI agents, and cybersecurity talent.</w:t>
            </w:r>
          </w:p>
        </w:tc>
      </w:tr>
      <w:tr>
        <w:tc>
          <w:tcPr>
            <w:tcW w:type="dxa" w:w="1728"/>
          </w:tcPr>
          <w:p>
            <w:r>
              <w:rPr>
                <w:b/>
              </w:rPr>
              <w:t>Adjusted EBITDA ($)</w:t>
            </w:r>
          </w:p>
        </w:tc>
        <w:tc>
          <w:tcPr>
            <w:tcW w:type="dxa" w:w="1728"/>
          </w:tcPr>
          <w:p>
            <w:r>
              <w:rPr>
                <w:b/>
              </w:rPr>
              <w:t>$1,400,000</w:t>
            </w:r>
          </w:p>
        </w:tc>
        <w:tc>
          <w:tcPr>
            <w:tcW w:type="dxa" w:w="1728"/>
          </w:tcPr>
          <w:p>
            <w:r>
              <w:rPr>
                <w:b/>
              </w:rPr>
              <w:t>$779,000</w:t>
            </w:r>
          </w:p>
        </w:tc>
        <w:tc>
          <w:tcPr>
            <w:tcW w:type="dxa" w:w="1728"/>
          </w:tcPr>
          <w:p>
            <w:r>
              <w:rPr>
                <w:b/>
              </w:rPr>
              <w:t>$5,152,000</w:t>
            </w:r>
          </w:p>
        </w:tc>
        <w:tc>
          <w:tcPr>
            <w:tcW w:type="dxa" w:w="1728"/>
          </w:tcPr>
          <w:p>
            <w:r>
              <w:t>Service Leadership benchmark: High-OML firms generate ~3x the EBITDA of median peers at same scale.</w:t>
            </w:r>
          </w:p>
        </w:tc>
      </w:tr>
      <w:tr>
        <w:tc>
          <w:tcPr>
            <w:tcW w:type="dxa" w:w="1728"/>
            <w:shd w:val="clear" w:color="auto" w:fill="FAFAFA"/>
          </w:tcPr>
          <w:p>
            <w:r>
              <w:rPr>
                <w:b/>
              </w:rPr>
              <w:t>Adjusted EBITDA Margin (%)</w:t>
            </w:r>
          </w:p>
        </w:tc>
        <w:tc>
          <w:tcPr>
            <w:tcW w:type="dxa" w:w="1728"/>
            <w:shd w:val="clear" w:color="auto" w:fill="FAFAFA"/>
          </w:tcPr>
          <w:p>
            <w:r>
              <w:rPr>
                <w:b/>
              </w:rPr>
              <w:t>14.0%</w:t>
            </w:r>
          </w:p>
        </w:tc>
        <w:tc>
          <w:tcPr>
            <w:tcW w:type="dxa" w:w="1728"/>
            <w:shd w:val="clear" w:color="auto" w:fill="FAFAFA"/>
          </w:tcPr>
          <w:p>
            <w:r>
              <w:rPr>
                <w:b/>
              </w:rPr>
              <w:t>8.8%</w:t>
            </w:r>
          </w:p>
        </w:tc>
        <w:tc>
          <w:tcPr>
            <w:tcW w:type="dxa" w:w="1728"/>
            <w:shd w:val="clear" w:color="auto" w:fill="FAFAFA"/>
          </w:tcPr>
          <w:p>
            <w:r>
              <w:rPr>
                <w:b/>
              </w:rPr>
              <w:t>28.0%</w:t>
            </w:r>
          </w:p>
        </w:tc>
        <w:tc>
          <w:tcPr>
            <w:tcW w:type="dxa" w:w="1728"/>
            <w:shd w:val="clear" w:color="auto" w:fill="FAFAFA"/>
          </w:tcPr>
          <w:p>
            <w:r>
              <w:t>CompTIA &amp; Jaken Equities benchmark: Leading MSPs achieve 25%–35% EBITDA margins.</w:t>
            </w:r>
          </w:p>
        </w:tc>
      </w:tr>
      <w:tr>
        <w:tc>
          <w:tcPr>
            <w:tcW w:type="dxa" w:w="1728"/>
          </w:tcPr>
          <w:p>
            <w:r>
              <w:rPr>
                <w:b/>
              </w:rPr>
              <w:t>Valuation Multiple (EV / EBITDA)</w:t>
            </w:r>
          </w:p>
        </w:tc>
        <w:tc>
          <w:tcPr>
            <w:tcW w:type="dxa" w:w="1728"/>
          </w:tcPr>
          <w:p>
            <w:r>
              <w:rPr>
                <w:b/>
              </w:rPr>
              <w:t>7.2x</w:t>
            </w:r>
          </w:p>
        </w:tc>
        <w:tc>
          <w:tcPr>
            <w:tcW w:type="dxa" w:w="1728"/>
          </w:tcPr>
          <w:p>
            <w:r>
              <w:rPr>
                <w:b/>
              </w:rPr>
              <w:t>4.5x</w:t>
            </w:r>
          </w:p>
        </w:tc>
        <w:tc>
          <w:tcPr>
            <w:tcW w:type="dxa" w:w="1728"/>
          </w:tcPr>
          <w:p>
            <w:r>
              <w:rPr>
                <w:b/>
              </w:rPr>
              <w:t>11.5x</w:t>
            </w:r>
          </w:p>
        </w:tc>
        <w:tc>
          <w:tcPr>
            <w:tcW w:type="dxa" w:w="1728"/>
          </w:tcPr>
          <w:p>
            <w:r>
              <w:t xml:space="preserve">CT Acquisitions / Peak Tech Partners: </w:t>
            </w:r>
            <m:oMath>
              <m:box>
                <m:boxPr/>
                <m:e>
                  <m:r>
                    <m:rPr>
                      <m:sty m:val="p"/>
                    </m:rPr>
                    <m:t>3</m:t>
                  </m:r>
                  <m:r>
                    <m:rPr>
                      <m:sty m:val="i"/>
                    </m:rPr>
                    <m:t>M</m:t>
                  </m:r>
                  <m:r>
                    <m:rPr>
                      <m:sty m:val="i"/>
                    </m:rPr>
                    <m:t>–</m:t>
                  </m:r>
                </m:e>
              </m:box>
            </m:oMath>
            <w:r>
              <w:t xml:space="preserve">10M low-MRR trades at 4.5x–7.2x; </w:t>
            </w:r>
            <m:oMath>
              <m:box>
                <m:boxPr/>
                <m:e>
                  <m:r>
                    <m:rPr>
                      <m:sty m:val="p"/>
                    </m:rPr>
                    <m:t>10</m:t>
                  </m:r>
                  <m:r>
                    <m:rPr>
                      <m:sty m:val="i"/>
                    </m:rPr>
                    <m:t>M</m:t>
                  </m:r>
                  <m:r>
                    <m:rPr>
                      <m:sty m:val="i"/>
                    </m:rPr>
                    <m:t>–</m:t>
                  </m:r>
                </m:e>
              </m:box>
            </m:oMath>
            <w:r>
              <w:t>25M high-MRR cyber/AI trades at 10.0x–13.5x.</w:t>
            </w:r>
          </w:p>
        </w:tc>
      </w:tr>
      <w:tr>
        <w:tc>
          <w:tcPr>
            <w:tcW w:type="dxa" w:w="1728"/>
            <w:shd w:val="clear" w:color="auto" w:fill="FAFAFA"/>
          </w:tcPr>
          <w:p>
            <w:r>
              <w:rPr>
                <w:b/>
              </w:rPr>
              <w:t>Implied Enterprise Value (EV)</w:t>
            </w:r>
          </w:p>
        </w:tc>
        <w:tc>
          <w:tcPr>
            <w:tcW w:type="dxa" w:w="1728"/>
            <w:shd w:val="clear" w:color="auto" w:fill="FAFAFA"/>
          </w:tcPr>
          <w:p>
            <w:r>
              <w:rPr>
                <w:b/>
              </w:rPr>
              <w:t>$10,080,000</w:t>
            </w:r>
          </w:p>
        </w:tc>
        <w:tc>
          <w:tcPr>
            <w:tcW w:type="dxa" w:w="1728"/>
            <w:shd w:val="clear" w:color="auto" w:fill="FAFAFA"/>
          </w:tcPr>
          <w:p>
            <w:r>
              <w:rPr>
                <w:b/>
              </w:rPr>
              <w:t>$3,505,500</w:t>
            </w:r>
            <w:r>
              <w:t xml:space="preserve"> (-65% Value Destruction)</w:t>
            </w:r>
          </w:p>
        </w:tc>
        <w:tc>
          <w:tcPr>
            <w:tcW w:type="dxa" w:w="1728"/>
            <w:shd w:val="clear" w:color="auto" w:fill="FAFAFA"/>
          </w:tcPr>
          <w:p>
            <w:r>
              <w:rPr>
                <w:b/>
              </w:rPr>
              <w:t>$59,248,000</w:t>
            </w:r>
            <w:r>
              <w:t xml:space="preserve"> (+488% Value Creation)</w:t>
            </w:r>
          </w:p>
        </w:tc>
        <w:tc>
          <w:tcPr>
            <w:tcW w:type="dxa" w:w="1728"/>
            <w:shd w:val="clear" w:color="auto" w:fill="FAFAFA"/>
          </w:tcPr>
          <w:p>
            <w:r>
              <w:t>Combines simultaneous EBITDA expansion ($1.4M -&gt; $5.15M) and Multiple expansion (7.2x -&gt; 11.5x).</w:t>
            </w:r>
          </w:p>
        </w:tc>
      </w:tr>
    </w:tbl>
    <w:p>
      <w:pPr>
        <w:pStyle w:val="Heading3"/>
      </w:pPr>
      <w:r>
        <w:t>8.2 Gross Margin by Service Type: Where the Profit Pool Is Moving</w:t>
      </w:r>
    </w:p>
    <w:p>
      <w:r>
        <w:t xml:space="preserve">A granular inspection of gross margins by service line explains why the Enterprise Value gap between Path A and Path B reaches nearly </w:t>
      </w:r>
      <w:r>
        <w:rPr>
          <w:b/>
        </w:rPr>
        <w:t>$55.7 million</w:t>
      </w:r>
      <w:r>
        <w:t xml:space="preserve"> over five years:</w:t>
      </w:r>
    </w:p>
    <w:p>
      <w:pPr>
        <w:pStyle w:val="ListNumber"/>
      </w:pPr>
      <w:r>
        <w:rPr>
          <w:b/>
        </w:rPr>
        <w:t>Hardware &amp; Cloud License Resale (CSP):</w:t>
      </w:r>
      <w:r>
        <w:t xml:space="preserve"> 8% to 16% Gross Margin. Under constant downward pressure as vendors incentivize direct marketplace procurement and AI infrastructure CapEx bypasses partners.</w:t>
      </w:r>
    </w:p>
    <w:p>
      <w:pPr>
        <w:pStyle w:val="ListNumber"/>
      </w:pPr>
      <w:r>
        <w:rPr>
          <w:b/>
        </w:rPr>
        <w:t>Traditional Reactive Help Desk &amp; RMM:</w:t>
      </w:r>
      <w:r>
        <w:t xml:space="preserve"> 38% to 48% Gross Margin. Compressing rapidly due to technician wage inflation and client resistance to price increases.</w:t>
      </w:r>
    </w:p>
    <w:p>
      <w:pPr>
        <w:pStyle w:val="ListNumber"/>
      </w:pPr>
      <w:r>
        <w:rPr>
          <w:b/>
        </w:rPr>
        <w:t>Project &amp; Deployment Services (AI Pilots, Migrations, Purview Setup):</w:t>
      </w:r>
      <w:r>
        <w:t xml:space="preserve"> 45% to 55% Gross Margin.Growing at 51% YoY (Forrester TEI) and serving as the primary land-and-expand wedge, though valued lower by PE buyers (3.5x–5.0x EBITDA) if not converted into recurring contracts.</w:t>
      </w:r>
    </w:p>
    <w:p>
      <w:pPr>
        <w:pStyle w:val="ListNumber"/>
      </w:pPr>
      <w:r>
        <w:rPr>
          <w:b/>
        </w:rPr>
        <w:t>AI-Augmented Managed Security (MXDR, CTEM, Identity &amp; Purview Governance):</w:t>
      </w:r>
      <w:r>
        <w:t xml:space="preserve"> 60% to 70% Gross Margin. High customer stickiness, strong regulatory tailwinds, and automated cross-tenant threat rule propagation.</w:t>
      </w:r>
    </w:p>
    <w:p>
      <w:pPr>
        <w:pStyle w:val="ListNumber"/>
      </w:pPr>
      <w:r>
        <w:rPr>
          <w:b/>
        </w:rPr>
        <w:t>Managed AI Agents &amp; Subscription IP (Copilot Studio Vertical Agents, Automated Workflows):</w:t>
      </w:r>
      <w:r>
        <w:t xml:space="preserve"> 72% to 85% Gross Margin. Built once and deployed across dozens of clients in a target vertical with minimal ongoing human labor, valued by M&amp;A markets closer to SaaS multiples than labor services.</w:t>
      </w:r>
    </w:p>
    <w:p>
      <w:pPr>
        <w:pBdr>
          <w:bottom w:val="single" w:sz="6" w:space="1" w:color="808080"/>
        </w:pBdr>
      </w:pPr>
    </w:p>
    <w:p>
      <w:pPr>
        <w:pStyle w:val="Heading2"/>
      </w:pPr>
      <w:r>
        <w:t>9. Future Industry Scenarios (2026–2035)</w:t>
      </w:r>
    </w:p>
    <w:p>
      <w:pPr>
        <w:pStyle w:val="Heading3"/>
      </w:pPr>
      <w:r>
        <w:t>Strategic Conclusion: Will the MSP/TSP Business Model Remain Viable by 2030?</w:t>
      </w:r>
    </w:p>
    <w:p>
      <w:r>
        <w:rPr>
          <w:b/>
        </w:rPr>
        <w:t>Answer:</w:t>
      </w:r>
      <w:r>
        <w:t xml:space="preserve"> The </w:t>
      </w:r>
      <w:r>
        <w:rPr>
          <w:b/>
        </w:rPr>
        <w:t>Managed Outcome and Advisory TSP</w:t>
      </w:r>
      <w:r>
        <w:t xml:space="preserve"> will thrive and command record valuations by 2030, but the </w:t>
      </w:r>
      <w:r>
        <w:rPr>
          <w:b/>
        </w:rPr>
        <w:t>Traditional Labor-Based Infrastructure MSP</w:t>
      </w:r>
      <w:r>
        <w:t xml:space="preserve"> will be economically unviable as a standalone, high-valuation enterprise.</w:t>
      </w:r>
    </w:p>
    <w:p>
      <w:r>
        <w:t>To account for macroeconomic and technological variables, we present three evidence-based scenarios for the industry through 2030:</w:t>
      </w:r>
    </w:p>
    <w:p>
      <w:pPr>
        <w:pStyle w:val="Heading3"/>
      </w:pPr>
      <w:r>
        <w:t>9.1 The Base Case Scenario (Probability: 60%) — "The Great K-Shaped Bifurcation"</w:t>
      </w:r>
    </w:p>
    <w:p>
      <w:pPr>
        <w:pStyle w:val="ListBullet"/>
      </w:pPr>
      <w:r>
        <w:rPr>
          <w:b/>
        </w:rPr>
        <w:t>Macro &amp; Tech Dynamics:</w:t>
      </w:r>
      <w:r>
        <w:t xml:space="preserve"> Agentic AI adoption follows Gartner's projected trajectory—resolving ~80% of routine service desk issues by 2029, while &gt;40% of early customer-led agentic projects stumble in 2026–2027 due to messy data estates, governance failures, and unclear ROI.</w:t>
      </w:r>
    </w:p>
    <w:p>
      <w:pPr>
        <w:pStyle w:val="ListBullet"/>
      </w:pPr>
      <w:r>
        <w:rPr>
          <w:b/>
        </w:rPr>
        <w:t>Industry Impact:</w:t>
      </w:r>
      <w:r>
        <w:t xml:space="preserve"> Clients desperately need external partners to rescue stalled AI deployments, govern Shadow AI via Microsoft Purview/Agent 365, and defend against AI-powered cyberattacks. However, clients refuse to pay legacy rates for basic IT support.</w:t>
      </w:r>
    </w:p>
    <w:p>
      <w:pPr>
        <w:pStyle w:val="ListBullet"/>
      </w:pPr>
      <w:r>
        <w:rPr>
          <w:b/>
        </w:rPr>
        <w:t>Winner/Loser Split:</w:t>
      </w:r>
      <w:r>
        <w:t xml:space="preserve"> Top-quartile MSPs (roughly 25% of the market) successfully automate internal delivery and pivot to AI governance, data engineering, and MXDR, capturing 80%+ of industry profit pools. The middle 45% of MSPs are absorbed at discounted multiples (4.5x–6.5x EBITDA) by private-equity-backed roll-ups seeking customer acquisition scale. The bottom 30% of sub-scale, reactive MSPs slowly bleed out into lifestyle break/fix shops or shut down.</w:t>
      </w:r>
    </w:p>
    <w:p>
      <w:pPr>
        <w:pStyle w:val="Heading3"/>
      </w:pPr>
      <w:r>
        <w:t>9.2 The Bear Case Scenario for Traditional MSPs (Probability: 25%) — "Hyperscaler &amp; Autonomous Disintermediation"</w:t>
      </w:r>
    </w:p>
    <w:p>
      <w:pPr>
        <w:pStyle w:val="ListBullet"/>
      </w:pPr>
      <w:r>
        <w:rPr>
          <w:b/>
        </w:rPr>
        <w:t>Macro &amp; Tech Dynamics:</w:t>
      </w:r>
      <w:r>
        <w:t xml:space="preserve"> Frontier models (OpenAI GPT-next, Anthropic Claude, Microsoft Agent 365) achieve near-zero hallucination rates in IT operations faster than expected (by 2028). Microsoft, AWS, Google, and ServiceNow release fully autonomous, self-healing tenant administration agents included natively in base enterprise and SMB subscriptions.</w:t>
      </w:r>
    </w:p>
    <w:p>
      <w:pPr>
        <w:pStyle w:val="ListBullet"/>
      </w:pPr>
      <w:r>
        <w:rPr>
          <w:b/>
        </w:rPr>
        <w:t>Industry Impact:</w:t>
      </w:r>
      <w:r>
        <w:t xml:space="preserve"> Zero-touch IT becomes a reality for 90% of SMB and midmarket infrastructure, identity, and endpoint tasks. Simultaneously, hyperscalers bundle native autonomous MDR/SOC directly into cloud licensing at a price point third-party MSPs cannot match.</w:t>
      </w:r>
    </w:p>
    <w:p>
      <w:pPr>
        <w:pStyle w:val="ListBullet"/>
      </w:pPr>
      <w:r>
        <w:rPr>
          <w:b/>
        </w:rPr>
        <w:t>Winner/Loser Split:</w:t>
      </w:r>
      <w:r>
        <w:t xml:space="preserve"> Traditional IT support revenue collapses by &gt;60%. Only pure-play vertical business transformation consultancies, custom IP/software builders, and high-compliance advisory firms survive. Over 50% of traditional MSPs fail or are liquidated by 2032.</w:t>
      </w:r>
    </w:p>
    <w:p>
      <w:pPr>
        <w:pStyle w:val="Heading3"/>
      </w:pPr>
      <w:r>
        <w:t>9.3 The Bull Case Scenario for MSPs (Probability: 15%) — "The Complexity Explosion Boom"</w:t>
      </w:r>
    </w:p>
    <w:p>
      <w:pPr>
        <w:pStyle w:val="ListBullet"/>
      </w:pPr>
      <w:r>
        <w:rPr>
          <w:b/>
        </w:rPr>
        <w:t>Macro &amp; Tech Dynamics:</w:t>
      </w:r>
      <w:r>
        <w:t xml:space="preserve"> The proliferation of multi-model AI agents, hybrid edge computing, stringent global AI/cyber regulations (EU AI Act, NIS2, SEC cyber rules, mandatory supply chain audits), and acute corporate IT skill shortages (63% of employers citing skill gaps per WEF) creates unprecedented operational chaos inside SMB and midmarket firms.</w:t>
      </w:r>
    </w:p>
    <w:p>
      <w:pPr>
        <w:pStyle w:val="ListBullet"/>
      </w:pPr>
      <w:r>
        <w:rPr>
          <w:b/>
        </w:rPr>
        <w:t>Industry Impact:</w:t>
      </w:r>
      <w:r>
        <w:t xml:space="preserve"> Rather than simplifying IT, AI multiplies the number of endpoints, identities, APIs, and attack vectors by 10x. Even with better admin tools, internal business leaders are overwhelmed and outsource the entirety of their technology, data, security, and business workflow operations to MSPs.</w:t>
      </w:r>
    </w:p>
    <w:p>
      <w:pPr>
        <w:pStyle w:val="ListBullet"/>
      </w:pPr>
      <w:r>
        <w:rPr>
          <w:b/>
        </w:rPr>
        <w:t>Winner/Loser Split:</w:t>
      </w:r>
      <w:r>
        <w:t xml:space="preserve"> Total MSP market growth accelerates from 13% to 18%+ CAGR through 2030. Even moderately adaptive MSPs enjoy strong revenue growth, provided they embed baseline automation and compliance management into their stacks.</w:t>
      </w:r>
    </w:p>
    <w:p>
      <w:pPr>
        <w:pBdr>
          <w:bottom w:val="single" w:sz="6" w:space="1" w:color="808080"/>
        </w:pBdr>
      </w:pPr>
    </w:p>
    <w:p>
      <w:pPr>
        <w:pStyle w:val="Heading2"/>
      </w:pPr>
      <w:r>
        <w:t>10. Transformation Framework: The 3-Pillar Evolution Blueprint</w:t>
      </w:r>
    </w:p>
    <w:p>
      <w:r>
        <w:t xml:space="preserve">For an incumbent MSP owner or executive team, crossing the chasm from a Traditional MSP to an </w:t>
      </w:r>
      <w:r>
        <w:rPr>
          <w:b/>
        </w:rPr>
        <w:t>AI-Native Technology Service Provider (TSP)</w:t>
      </w:r>
      <w:r>
        <w:t xml:space="preserve"> requires a synchronized overhaul across </w:t>
      </w:r>
      <w:r>
        <w:rPr>
          <w:b/>
        </w:rPr>
        <w:t>Service Architecture</w:t>
      </w:r>
      <w:r>
        <w:t xml:space="preserve">, </w:t>
      </w:r>
      <w:r>
        <w:rPr>
          <w:b/>
        </w:rPr>
        <w:t>Operational Delivery</w:t>
      </w:r>
      <w:r>
        <w:t xml:space="preserve">, and </w:t>
      </w:r>
      <w:r>
        <w:rPr>
          <w:b/>
        </w:rPr>
        <w:t>Commercial Pricing</w:t>
      </w:r>
      <w: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THE MSP-TO-AI-NATIVE TSP TRANSFORMATION MATRIX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1. COMMERCIAL EVOLUTION (How You Monetize)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FROM: Per-User / Per-Device / Ticket Volume / License Resale Margin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TO:   Platform Base Fee + AI Agent IP Subscriptions + Outcome/SLA Corridors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2. SERVICE EVOLUTION (What You Sell)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FROM: Reactive Help Desk, RMM Patching, Basic Antivirus, Manual Backups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TO:   AI Readiness/Governance (Purview), Copilot Studio Agents, MXDR/CTEM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3. OPERATIONAL EVOLUTION (How You Deliver)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FROM: Human L1/L2 Ticket Queues, Manual Triage, Linear Technician Hiring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TO:   Zero-Touch Agentic Triage (80% Deflection), DEX, SRE Swarming Pods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Heading3"/>
      </w:pPr>
      <w:r>
        <w:t>10.1 Opportunity Ranking Matrix</w:t>
      </w:r>
    </w:p>
    <w:p>
      <w:r>
        <w:t xml:space="preserve">Before investing capital, MSP leadership must prioritize new service lines based on </w:t>
      </w:r>
      <w:r>
        <w:rPr>
          <w:b/>
        </w:rPr>
        <w:t>Urgency</w:t>
      </w:r>
      <w:r>
        <w:t xml:space="preserve">, </w:t>
      </w:r>
      <w:r>
        <w:rPr>
          <w:b/>
        </w:rPr>
        <w:t>Revenue Potential</w:t>
      </w:r>
      <w:r>
        <w:t xml:space="preserve">, </w:t>
      </w:r>
      <w:r>
        <w:rPr>
          <w:b/>
        </w:rPr>
        <w:t>Gross Margin Potential</w:t>
      </w:r>
      <w:r>
        <w:t xml:space="preserve">, and </w:t>
      </w:r>
      <w:r>
        <w:rPr>
          <w:b/>
        </w:rPr>
        <w:t>Competitive Defensibility</w:t>
      </w:r>
      <w:r>
        <w:t>:</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440"/>
        <w:gridCol w:w="1440"/>
        <w:gridCol w:w="1440"/>
        <w:gridCol w:w="1440"/>
        <w:gridCol w:w="1440"/>
        <w:gridCol w:w="1440"/>
      </w:tblGrid>
      <w:tr>
        <w:tc>
          <w:tcPr>
            <w:tcW w:type="dxa" w:w="1440"/>
            <w:shd w:val="clear" w:color="auto" w:fill="F1F3F4"/>
          </w:tcPr>
          <w:p>
            <w:r>
              <w:rPr>
                <w:b/>
              </w:rPr>
              <w:t>Strategic Opportunity</w:t>
            </w:r>
          </w:p>
        </w:tc>
        <w:tc>
          <w:tcPr>
            <w:tcW w:type="dxa" w:w="1440"/>
            <w:shd w:val="clear" w:color="auto" w:fill="F1F3F4"/>
          </w:tcPr>
          <w:p>
            <w:r>
              <w:rPr>
                <w:b/>
              </w:rPr>
              <w:t>Urgency (1–10)</w:t>
            </w:r>
          </w:p>
        </w:tc>
        <w:tc>
          <w:tcPr>
            <w:tcW w:type="dxa" w:w="1440"/>
            <w:shd w:val="clear" w:color="auto" w:fill="F1F3F4"/>
          </w:tcPr>
          <w:p>
            <w:r>
              <w:rPr>
                <w:b/>
              </w:rPr>
              <w:t>Revenue Potential</w:t>
            </w:r>
          </w:p>
        </w:tc>
        <w:tc>
          <w:tcPr>
            <w:tcW w:type="dxa" w:w="1440"/>
            <w:shd w:val="clear" w:color="auto" w:fill="F1F3F4"/>
          </w:tcPr>
          <w:p>
            <w:r>
              <w:rPr>
                <w:b/>
              </w:rPr>
              <w:t>Gross Margin Potential</w:t>
            </w:r>
          </w:p>
        </w:tc>
        <w:tc>
          <w:tcPr>
            <w:tcW w:type="dxa" w:w="1440"/>
            <w:shd w:val="clear" w:color="auto" w:fill="F1F3F4"/>
          </w:tcPr>
          <w:p>
            <w:r>
              <w:rPr>
                <w:b/>
              </w:rPr>
              <w:t>Competitive Defensibility</w:t>
            </w:r>
          </w:p>
        </w:tc>
        <w:tc>
          <w:tcPr>
            <w:tcW w:type="dxa" w:w="1440"/>
            <w:shd w:val="clear" w:color="auto" w:fill="F1F3F4"/>
          </w:tcPr>
          <w:p>
            <w:r>
              <w:rPr>
                <w:b/>
              </w:rPr>
              <w:t>Analytical Justification</w:t>
            </w:r>
          </w:p>
        </w:tc>
      </w:tr>
      <w:tr>
        <w:tc>
          <w:tcPr>
            <w:tcW w:type="dxa" w:w="1440"/>
          </w:tcPr>
          <w:p>
            <w:r>
              <w:rPr>
                <w:b/>
              </w:rPr>
              <w:t>1. Internal AI Service Desk &amp; Triage Automation</w:t>
            </w:r>
          </w:p>
        </w:tc>
        <w:tc>
          <w:tcPr>
            <w:tcW w:type="dxa" w:w="1440"/>
          </w:tcPr>
          <w:p>
            <w:r>
              <w:rPr>
                <w:b/>
              </w:rPr>
              <w:t>10 / 10</w:t>
            </w:r>
          </w:p>
        </w:tc>
        <w:tc>
          <w:tcPr>
            <w:tcW w:type="dxa" w:w="1440"/>
          </w:tcPr>
          <w:p>
            <w:r>
              <w:t>Indirect (Cost Savings)</w:t>
            </w:r>
          </w:p>
        </w:tc>
        <w:tc>
          <w:tcPr>
            <w:tcW w:type="dxa" w:w="1440"/>
          </w:tcPr>
          <w:p>
            <w:r>
              <w:rPr>
                <w:b/>
              </w:rPr>
              <w:t>+15% to +20% Lift</w:t>
            </w:r>
          </w:p>
        </w:tc>
        <w:tc>
          <w:tcPr>
            <w:tcW w:type="dxa" w:w="1440"/>
          </w:tcPr>
          <w:p>
            <w:r>
              <w:t>Moderate (Table stakes by 2028)</w:t>
            </w:r>
          </w:p>
        </w:tc>
        <w:tc>
          <w:tcPr>
            <w:tcW w:type="dxa" w:w="1440"/>
          </w:tcPr>
          <w:p>
            <w:r>
              <w:t xml:space="preserve">Omdia/Canalys emphasize MSPs </w:t>
            </w:r>
            <w:r>
              <w:rPr>
                <w:i/>
              </w:rPr>
              <w:t>must</w:t>
            </w:r>
            <w:r>
              <w:t xml:space="preserve"> master internal AI transformation first to fund external capabilities and protect margins.</w:t>
            </w:r>
          </w:p>
        </w:tc>
      </w:tr>
      <w:tr>
        <w:tc>
          <w:tcPr>
            <w:tcW w:type="dxa" w:w="1440"/>
            <w:shd w:val="clear" w:color="auto" w:fill="FAFAFA"/>
          </w:tcPr>
          <w:p>
            <w:r>
              <w:rPr>
                <w:b/>
              </w:rPr>
              <w:t>2. Turnkey MXDR, Identity Protection &amp; CTEM</w:t>
            </w:r>
          </w:p>
        </w:tc>
        <w:tc>
          <w:tcPr>
            <w:tcW w:type="dxa" w:w="1440"/>
            <w:shd w:val="clear" w:color="auto" w:fill="FAFAFA"/>
          </w:tcPr>
          <w:p>
            <w:r>
              <w:rPr>
                <w:b/>
              </w:rPr>
              <w:t>9.5 / 10</w:t>
            </w:r>
          </w:p>
        </w:tc>
        <w:tc>
          <w:tcPr>
            <w:tcW w:type="dxa" w:w="1440"/>
            <w:shd w:val="clear" w:color="auto" w:fill="FAFAFA"/>
          </w:tcPr>
          <w:p>
            <w:r>
              <w:t>High (</w:t>
            </w:r>
            <m:oMath>
              <m:box>
                <m:boxPr/>
                <m:e>
                  <m:r>
                    <m:rPr>
                      <m:sty m:val="p"/>
                    </m:rPr>
                    <m:t>45</m:t>
                  </m:r>
                  <m:r>
                    <m:rPr>
                      <m:sty m:val="i"/>
                    </m:rPr>
                    <m:t>–</m:t>
                  </m:r>
                </m:e>
              </m:box>
            </m:oMath>
            <w:r>
              <w:t>85 PUPM)</w:t>
            </w:r>
          </w:p>
        </w:tc>
        <w:tc>
          <w:tcPr>
            <w:tcW w:type="dxa" w:w="1440"/>
            <w:shd w:val="clear" w:color="auto" w:fill="FAFAFA"/>
          </w:tcPr>
          <w:p>
            <w:r>
              <w:rPr>
                <w:b/>
              </w:rPr>
              <w:t>60%–70%</w:t>
            </w:r>
          </w:p>
        </w:tc>
        <w:tc>
          <w:tcPr>
            <w:tcW w:type="dxa" w:w="1440"/>
            <w:shd w:val="clear" w:color="auto" w:fill="FAFAFA"/>
          </w:tcPr>
          <w:p>
            <w:r>
              <w:t>High (High switching cost &amp; compliance lock-in)</w:t>
            </w:r>
          </w:p>
        </w:tc>
        <w:tc>
          <w:tcPr>
            <w:tcW w:type="dxa" w:w="1440"/>
            <w:shd w:val="clear" w:color="auto" w:fill="FAFAFA"/>
          </w:tcPr>
          <w:p>
            <w:r>
              <w:t>MDR growing at 17.2% CAGR; single biggest non-MRR driver of PE valuation multiples (10x–13.5x cohort).</w:t>
            </w:r>
          </w:p>
        </w:tc>
      </w:tr>
      <w:tr>
        <w:tc>
          <w:tcPr>
            <w:tcW w:type="dxa" w:w="1440"/>
          </w:tcPr>
          <w:p>
            <w:r>
              <w:rPr>
                <w:b/>
              </w:rPr>
              <w:t>3. Data Governance, AI Security &amp; Compliance (Purview / Agent 365)</w:t>
            </w:r>
          </w:p>
        </w:tc>
        <w:tc>
          <w:tcPr>
            <w:tcW w:type="dxa" w:w="1440"/>
          </w:tcPr>
          <w:p>
            <w:r>
              <w:rPr>
                <w:b/>
              </w:rPr>
              <w:t>9.0 / 10</w:t>
            </w:r>
          </w:p>
        </w:tc>
        <w:tc>
          <w:tcPr>
            <w:tcW w:type="dxa" w:w="1440"/>
          </w:tcPr>
          <w:p>
            <w:r>
              <w:t>High (</w:t>
            </w:r>
            <m:oMath>
              <m:box>
                <m:boxPr/>
                <m:e>
                  <m:r>
                    <m:rPr>
                      <m:sty m:val="p"/>
                    </m:rPr>
                    <m:t>35</m:t>
                  </m:r>
                  <m:r>
                    <m:rPr>
                      <m:sty m:val="i"/>
                    </m:rPr>
                    <m:t>–</m:t>
                  </m:r>
                </m:e>
              </m:box>
            </m:oMath>
            <w:r>
              <w:t>65 PUPM + Projects)</w:t>
            </w:r>
          </w:p>
        </w:tc>
        <w:tc>
          <w:tcPr>
            <w:tcW w:type="dxa" w:w="1440"/>
          </w:tcPr>
          <w:p>
            <w:r>
              <w:rPr>
                <w:b/>
              </w:rPr>
              <w:t>65%–75%</w:t>
            </w:r>
          </w:p>
        </w:tc>
        <w:tc>
          <w:tcPr>
            <w:tcW w:type="dxa" w:w="1440"/>
          </w:tcPr>
          <w:p>
            <w:r>
              <w:t>High (Deep regulatory &amp; data architecture moat)</w:t>
            </w:r>
          </w:p>
        </w:tc>
        <w:tc>
          <w:tcPr>
            <w:tcW w:type="dxa" w:w="1440"/>
          </w:tcPr>
          <w:p>
            <w:r>
              <w:t>Over 40% of agentic projects fail without governance (Gartner); Purview reduces breach likelihood by 30% (Forrester TEI).</w:t>
            </w:r>
          </w:p>
        </w:tc>
      </w:tr>
      <w:tr>
        <w:tc>
          <w:tcPr>
            <w:tcW w:type="dxa" w:w="1440"/>
            <w:shd w:val="clear" w:color="auto" w:fill="FAFAFA"/>
          </w:tcPr>
          <w:p>
            <w:r>
              <w:rPr>
                <w:b/>
              </w:rPr>
              <w:t>4. Vertical-Specific Agentic AI &amp; Workflow Automation (Copilot Studio)</w:t>
            </w:r>
          </w:p>
        </w:tc>
        <w:tc>
          <w:tcPr>
            <w:tcW w:type="dxa" w:w="1440"/>
            <w:shd w:val="clear" w:color="auto" w:fill="FAFAFA"/>
          </w:tcPr>
          <w:p>
            <w:r>
              <w:rPr>
                <w:b/>
              </w:rPr>
              <w:t>8.5 / 10</w:t>
            </w:r>
          </w:p>
        </w:tc>
        <w:tc>
          <w:tcPr>
            <w:tcW w:type="dxa" w:w="1440"/>
            <w:shd w:val="clear" w:color="auto" w:fill="FAFAFA"/>
          </w:tcPr>
          <w:p>
            <w:r>
              <w:t>Very High (</w:t>
            </w:r>
            <m:oMath>
              <m:box>
                <m:boxPr/>
                <m:e>
                  <m:r>
                    <m:rPr>
                      <m:sty m:val="p"/>
                    </m:rPr>
                    <m:t>103</m:t>
                  </m:r>
                  <m:r>
                    <m:rPr>
                      <m:sty m:val="i"/>
                    </m:rPr>
                    <m:t>–</m:t>
                  </m:r>
                </m:e>
              </m:box>
            </m:oMath>
            <w:r>
              <w:t>124 PUPM TAM)</w:t>
            </w:r>
          </w:p>
        </w:tc>
        <w:tc>
          <w:tcPr>
            <w:tcW w:type="dxa" w:w="1440"/>
            <w:shd w:val="clear" w:color="auto" w:fill="FAFAFA"/>
          </w:tcPr>
          <w:p>
            <w:r>
              <w:rPr>
                <w:b/>
              </w:rPr>
              <w:t>70%–85%</w:t>
            </w:r>
            <w:r>
              <w:t xml:space="preserve"> (IP Reuse)</w:t>
            </w:r>
          </w:p>
        </w:tc>
        <w:tc>
          <w:tcPr>
            <w:tcW w:type="dxa" w:w="1440"/>
            <w:shd w:val="clear" w:color="auto" w:fill="FAFAFA"/>
          </w:tcPr>
          <w:p>
            <w:r>
              <w:t>Very High (Proprietary IP embedded in client LOB)</w:t>
            </w:r>
          </w:p>
        </w:tc>
        <w:tc>
          <w:tcPr>
            <w:tcW w:type="dxa" w:w="1440"/>
            <w:shd w:val="clear" w:color="auto" w:fill="FAFAFA"/>
          </w:tcPr>
          <w:p>
            <w:r>
              <w:t>Moves the MSP out of the IT basement into the C-suite; high client stickiness and recurring IP licensing.</w:t>
            </w:r>
          </w:p>
        </w:tc>
      </w:tr>
      <w:tr>
        <w:tc>
          <w:tcPr>
            <w:tcW w:type="dxa" w:w="1440"/>
          </w:tcPr>
          <w:p>
            <w:r>
              <w:rPr>
                <w:b/>
              </w:rPr>
              <w:t>5. AI Advisory, Readiness Assessments &amp; FinOps</w:t>
            </w:r>
          </w:p>
        </w:tc>
        <w:tc>
          <w:tcPr>
            <w:tcW w:type="dxa" w:w="1440"/>
          </w:tcPr>
          <w:p>
            <w:r>
              <w:rPr>
                <w:b/>
              </w:rPr>
              <w:t>8.0 / 10</w:t>
            </w:r>
          </w:p>
        </w:tc>
        <w:tc>
          <w:tcPr>
            <w:tcW w:type="dxa" w:w="1440"/>
          </w:tcPr>
          <w:p>
            <w:r>
              <w:t>Moderate-High (Wedge)</w:t>
            </w:r>
          </w:p>
        </w:tc>
        <w:tc>
          <w:tcPr>
            <w:tcW w:type="dxa" w:w="1440"/>
          </w:tcPr>
          <w:p>
            <w:r>
              <w:rPr>
                <w:b/>
              </w:rPr>
              <w:t>55%–65%</w:t>
            </w:r>
          </w:p>
        </w:tc>
        <w:tc>
          <w:tcPr>
            <w:tcW w:type="dxa" w:w="1440"/>
          </w:tcPr>
          <w:p>
            <w:r>
              <w:t>Moderate-High (Executive relationship anchor)</w:t>
            </w:r>
          </w:p>
        </w:tc>
        <w:tc>
          <w:tcPr>
            <w:tcW w:type="dxa" w:w="1440"/>
          </w:tcPr>
          <w:p>
            <w:r>
              <w:t>51% YoY growth in AI deployment/pilot wedges (Forrester TEI); high conversion rate to managed AI contracts.</w:t>
            </w:r>
          </w:p>
        </w:tc>
      </w:tr>
      <w:tr>
        <w:tc>
          <w:tcPr>
            <w:tcW w:type="dxa" w:w="1440"/>
            <w:shd w:val="clear" w:color="auto" w:fill="FAFAFA"/>
          </w:tcPr>
          <w:p>
            <w:r>
              <w:rPr>
                <w:b/>
              </w:rPr>
              <w:t>6. Data Estate Modernization (Microsoft Fabric / Azure Data)</w:t>
            </w:r>
          </w:p>
        </w:tc>
        <w:tc>
          <w:tcPr>
            <w:tcW w:type="dxa" w:w="1440"/>
            <w:shd w:val="clear" w:color="auto" w:fill="FAFAFA"/>
          </w:tcPr>
          <w:p>
            <w:r>
              <w:rPr>
                <w:b/>
              </w:rPr>
              <w:t>7.5 / 10</w:t>
            </w:r>
          </w:p>
        </w:tc>
        <w:tc>
          <w:tcPr>
            <w:tcW w:type="dxa" w:w="1440"/>
            <w:shd w:val="clear" w:color="auto" w:fill="FAFAFA"/>
          </w:tcPr>
          <w:p>
            <w:r>
              <w:t>High (Midmarket/Ent)</w:t>
            </w:r>
          </w:p>
        </w:tc>
        <w:tc>
          <w:tcPr>
            <w:tcW w:type="dxa" w:w="1440"/>
            <w:shd w:val="clear" w:color="auto" w:fill="FAFAFA"/>
          </w:tcPr>
          <w:p>
            <w:r>
              <w:rPr>
                <w:b/>
              </w:rPr>
              <w:t>55%–65%</w:t>
            </w:r>
          </w:p>
        </w:tc>
        <w:tc>
          <w:tcPr>
            <w:tcW w:type="dxa" w:w="1440"/>
            <w:shd w:val="clear" w:color="auto" w:fill="FAFAFA"/>
          </w:tcPr>
          <w:p>
            <w:r>
              <w:t>High (Complex engineering skillset)</w:t>
            </w:r>
          </w:p>
        </w:tc>
        <w:tc>
          <w:tcPr>
            <w:tcW w:type="dxa" w:w="1440"/>
            <w:shd w:val="clear" w:color="auto" w:fill="FAFAFA"/>
          </w:tcPr>
          <w:p>
            <w:r>
              <w:t>Essential prerequisite for enterprise AI grounding; 150% work output increase cited in Azure AI TEI study.</w:t>
            </w:r>
          </w:p>
        </w:tc>
      </w:tr>
    </w:tbl>
    <w:p>
      <w:pPr>
        <w:pBdr>
          <w:bottom w:val="single" w:sz="6" w:space="1" w:color="808080"/>
        </w:pBdr>
      </w:pPr>
    </w:p>
    <w:p>
      <w:pPr>
        <w:pStyle w:val="Heading2"/>
      </w:pPr>
      <w:r>
        <w:t>11. Recommended Actions: A Phased 24-Month Execution Roadmap</w:t>
      </w:r>
    </w:p>
    <w:p>
      <w:pPr>
        <w:pStyle w:val="Heading3"/>
      </w:pPr>
      <w:r>
        <w:t>Phase 1: Foundation &amp; Internal Zero-Customer-Zero Transformation (Months 1–6)</w:t>
      </w:r>
    </w:p>
    <w:p>
      <w:pPr>
        <w:pStyle w:val="ListNumber"/>
      </w:pPr>
      <w:r>
        <w:rPr>
          <w:b/>
        </w:rPr>
        <w:t>Become "Customer Zero" for Agentic Operations:</w:t>
      </w:r>
      <w:r>
        <w:t xml:space="preserve"> Deploy AI triage, automated ticket summarization, and autonomous L1 resolution agents inside your existing PSA/ITSM and Microsoft 365 tenant. Set a mandatory internal KPI to achieve </w:t>
      </w:r>
      <w:r>
        <w:rPr>
          <w:b/>
        </w:rPr>
        <w:t>50% automated triage and 35% zero-touch L1 ticket deflection within 180 days</w:t>
      </w:r>
      <w:r>
        <w:t>.</w:t>
      </w:r>
    </w:p>
    <w:p>
      <w:pPr>
        <w:pStyle w:val="ListNumber"/>
      </w:pPr>
      <w:r>
        <w:rPr>
          <w:b/>
        </w:rPr>
        <w:t>Freeze Legacy L1 Headcount Additions:</w:t>
      </w:r>
      <w:r>
        <w:t xml:space="preserve"> Institute an immediate hiring freeze on traditional Level 1 help desk technicians. Redirect saved payroll dollars toward upskilling high-potential Level 2/3 engineers in </w:t>
      </w:r>
      <w:r>
        <w:rPr>
          <w:b/>
        </w:rPr>
        <w:t>Microsoft Copilot Studio, Microsoft Purview, Entra Suite, and Security Copilot</w:t>
      </w:r>
      <w:r>
        <w:t>.</w:t>
      </w:r>
    </w:p>
    <w:p>
      <w:pPr>
        <w:pStyle w:val="ListNumber"/>
      </w:pPr>
      <w:r>
        <w:rPr>
          <w:b/>
        </w:rPr>
        <w:t>Audit Client Contracts for Deflation Exposure:</w:t>
      </w:r>
      <w:r>
        <w:t xml:space="preserve"> Identify all client agreements renewing in the next 12–18 months that rely solely on per-user/per-device counts or highlight ticket volume in QBRs. Replace ticket-count QBR slides immediately with </w:t>
      </w:r>
      <w:r>
        <w:rPr>
          <w:b/>
        </w:rPr>
        <w:t>Digital Employee Experience (DEX) scores, Threat Exposure Reduction metrics, and Automation ROI dashboards</w:t>
      </w:r>
      <w:r>
        <w:t>.</w:t>
      </w:r>
    </w:p>
    <w:p>
      <w:pPr>
        <w:pStyle w:val="Heading3"/>
      </w:pPr>
      <w:r>
        <w:t>Phase 2: Commercial Restructuring &amp; Security/Governance Expansion (Months 6–12)</w:t>
      </w:r>
    </w:p>
    <w:p>
      <w:pPr>
        <w:pStyle w:val="ListNumber"/>
      </w:pPr>
      <w:r>
        <w:rPr>
          <w:b/>
        </w:rPr>
        <w:t>Launch a Mandatory "AI Readiness &amp; Data Governance" Assessment Wedge:</w:t>
      </w:r>
      <w:r>
        <w:t xml:space="preserve"> Before any client enables Microsoft 365 Copilot or third-party AI agents, sell a standardized fixed-scope assessment (</w:t>
      </w:r>
      <m:oMath>
        <m:box>
          <m:boxPr/>
          <m:e>
            <m:r>
              <m:rPr>
                <m:sty m:val="p"/>
              </m:rPr>
              <m:t>7</m:t>
            </m:r>
            <m:r>
              <m:rPr>
                <m:sty m:val="p"/>
              </m:rPr>
              <m:t>,</m:t>
            </m:r>
            <m:r>
              <m:rPr>
                <m:sty m:val="p"/>
              </m:rPr>
              <m:t>500</m:t>
            </m:r>
            <m:r>
              <m:rPr>
                <m:sty m:val="i"/>
              </m:rPr>
              <m:t>–</m:t>
            </m:r>
          </m:e>
        </m:box>
      </m:oMath>
      <w:r>
        <w:t>25,000) auditing SharePoint oversharing, Entra ID conditional access, Shadow AI usage, and sensitivity labeling via Microsoft Purview.</w:t>
      </w:r>
    </w:p>
    <w:p>
      <w:pPr>
        <w:pStyle w:val="ListNumber"/>
      </w:pPr>
      <w:r>
        <w:rPr>
          <w:b/>
        </w:rPr>
        <w:t>Upgrade Legacy Security Bundles to Outcome-Driven MXDR + CTEM:</w:t>
      </w:r>
      <w:r>
        <w:t xml:space="preserve"> Retire basic "antivirus + firewall monitoring" tiers. Partner with an elite upstream MDR platform or build an AI-augmented SOC capability that covers </w:t>
      </w:r>
      <w:r>
        <w:rPr>
          <w:b/>
        </w:rPr>
        <w:t>Identity (Entra), SaaS (M365), and Cloud (Azure)</w:t>
      </w:r>
      <w:r>
        <w:t xml:space="preserve"> alongside Continuous Threat Exposure Management.</w:t>
      </w:r>
    </w:p>
    <w:p>
      <w:pPr>
        <w:pStyle w:val="ListNumber"/>
      </w:pPr>
      <w:r>
        <w:rPr>
          <w:b/>
        </w:rPr>
        <w:t>Introduce Outcome-Based and Platform Pricing Models:</w:t>
      </w:r>
      <w:r>
        <w:t xml:space="preserve"> Transition renewing clients away from pure per-seat pricing toward a </w:t>
      </w:r>
      <w:r>
        <w:rPr>
          <w:b/>
        </w:rPr>
        <w:t>3-Tier Hybrid Commercial Architecture</w:t>
      </w:r>
      <w:r>
        <w:t xml:space="preserve">: </w:t>
      </w:r>
      <w:r/>
    </w:p>
    <w:p>
      <w:pPr>
        <w:pStyle w:val="ListBullet"/>
        <w:ind w:left="720"/>
      </w:pPr>
      <w:r>
        <w:rPr>
          <w:b/>
        </w:rPr>
        <w:t>Component 1: Core Platform &amp; Autonomous Governance Fee</w:t>
      </w:r>
      <w:r>
        <w:t xml:space="preserve"> (Fixed monthly fee based on tenant complexity, data volume, compliance frameworks, and number of human + non-human agent identities).</w:t>
      </w:r>
    </w:p>
    <w:p>
      <w:pPr>
        <w:pStyle w:val="ListBullet"/>
        <w:ind w:left="720"/>
      </w:pPr>
      <w:r>
        <w:rPr>
          <w:b/>
        </w:rPr>
        <w:t>Component 2: Managed Security &amp; Exposure SLA</w:t>
      </w:r>
      <w:r>
        <w:t xml:space="preserve"> (Priced per identity/workload with guaranteed TDIR containment SLAs).</w:t>
      </w:r>
    </w:p>
    <w:p>
      <w:pPr>
        <w:pStyle w:val="ListBullet"/>
        <w:ind w:left="720"/>
      </w:pPr>
      <w:r>
        <w:rPr>
          <w:b/>
        </w:rPr>
        <w:t>Component 3: Managed AI &amp; Business Automation Subscription</w:t>
      </w:r>
      <w:r>
        <w:t xml:space="preserve"> (Recurring IP licensing fee for custom Copilot Studio agents and Power Platform workflows maintained by the MSP, priced as a percentage of client labor hours saved or business outcomes achieved).</w:t>
      </w:r>
    </w:p>
    <w:p>
      <w:pPr>
        <w:pStyle w:val="Heading3"/>
      </w:pPr>
      <w:r>
        <w:t>Phase 3: IP Productization &amp; M&amp;A Value Maximization (Months 12–24)</w:t>
      </w:r>
    </w:p>
    <w:p>
      <w:pPr>
        <w:pStyle w:val="ListNumber"/>
      </w:pPr>
      <w:r>
        <w:rPr>
          <w:b/>
        </w:rPr>
        <w:t>Build Repeatable Vertical Agent IP:</w:t>
      </w:r>
      <w:r>
        <w:t xml:space="preserve"> Select 2 to 3 core industry verticals where your MSP already has client concentration (e.g., legal, wealth management, healthcare clinics, manufacturing, construction). Build standardized, reusable </w:t>
      </w:r>
      <w:r>
        <w:rPr>
          <w:b/>
        </w:rPr>
        <w:t>Copilot Studio / Agent 365 packages</w:t>
      </w:r>
      <w:r>
        <w:t xml:space="preserve"> (e.g., automated client intake &amp; compliance checking for law firms; automated RFQ/invoice matching for manufacturers) that can be deployed at 80% gross margin.</w:t>
      </w:r>
    </w:p>
    <w:p>
      <w:pPr>
        <w:pStyle w:val="ListNumber"/>
      </w:pPr>
      <w:r>
        <w:rPr>
          <w:b/>
        </w:rPr>
        <w:t>Restructure the Service Desk into "Swarming SRE Pods":</w:t>
      </w:r>
      <w:r>
        <w:t xml:space="preserve"> Following Forrester's AI-Centric Service Desk blueprint, dissolve the traditional L1/L2/L3 escalation pyramid. Assign high-level specialists to handle complex human-in-the-loop exceptions while dedicatingsite reliability engineers (SREs) and automation developers to continuously code out recurring ticket categories.</w:t>
      </w:r>
    </w:p>
    <w:p>
      <w:pPr>
        <w:pStyle w:val="ListNumber"/>
      </w:pPr>
      <w:r>
        <w:rPr>
          <w:b/>
        </w:rPr>
        <w:t>Optimize the 7 PE Enterprise Value Drivers:</w:t>
      </w:r>
      <w:r>
        <w:t xml:space="preserve"> Prepare the balance sheet and operating rhythm for top-quartile valuation (10.0x–13.5x EBITDA) by driving MRR share above 80%, reducing single-client concentration below 5%, documenting all autonomous SOPs, and establishing owner-independent executive leadership.</w:t>
      </w:r>
    </w:p>
    <w:p>
      <w:pPr>
        <w:pBdr>
          <w:bottom w:val="single" w:sz="6" w:space="1" w:color="808080"/>
        </w:pBdr>
      </w:pPr>
    </w:p>
    <w:p>
      <w:pPr>
        <w:pStyle w:val="Heading2"/>
      </w:pPr>
      <w:r>
        <w:t>12. Risks and Counterarguments: A Balanced Assessment</w:t>
      </w:r>
    </w:p>
    <w:p>
      <w:r>
        <w:t>An objective strategic report must rigorously evaluate the counterarguments—why a skeptical MSP owner might believe the traditional model will survive—and weigh them against the evidence of disruption.</w:t>
      </w:r>
    </w:p>
    <w:p>
      <w:pPr>
        <w:pStyle w:val="Heading3"/>
      </w:pPr>
      <w:r>
        <w:t>12.1 Arguments Supporting Traditional MSP Survival (Why Incumbents May Endure)</w:t>
      </w:r>
    </w:p>
    <w:p>
      <w:pPr>
        <w:pStyle w:val="ListNumber"/>
      </w:pPr>
      <w:r>
        <w:rPr>
          <w:b/>
        </w:rPr>
        <w:t>The "Agent Washing" &amp; Implementation Failure Gap:</w:t>
      </w:r>
      <w:r>
        <w:t xml:space="preserve"> Gartner predicts that </w:t>
      </w:r>
      <w:r>
        <w:rPr>
          <w:b/>
        </w:rPr>
        <w:t>more than 40% of agentic AI projects will be cancelled by the end of 2027</w:t>
      </w:r>
      <w:r>
        <w:t xml:space="preserve"> due to escalating costs, unclear business value, and weak risk controls, noting that only ~130 of thousands of vendors offer genuine agentic capabilities. If AI tools consistently underdeliver or hallucinate in complex environments, SMBs may retreat to trusted human IT support.</w:t>
      </w:r>
    </w:p>
    <w:p>
      <w:pPr>
        <w:pStyle w:val="ListNumber"/>
      </w:pPr>
      <w:r>
        <w:rPr>
          <w:b/>
        </w:rPr>
        <w:t>Cultural Inertia and the Human Trust Layer in SMBs:</w:t>
      </w:r>
      <w:r>
        <w:t xml:space="preserve"> A 50-person accounting firm or regional medical practice does not have a CIO. When an executive's laptop fails before a board meeting or a wire transfer looks suspicious, they want to speak to a trusted local human advisor. As MES Computing research notes, midmarket buyers actively push back when human engagement drops without a corresponding drop in price.</w:t>
      </w:r>
    </w:p>
    <w:p>
      <w:pPr>
        <w:pStyle w:val="ListNumber"/>
      </w:pPr>
      <w:r>
        <w:rPr>
          <w:b/>
        </w:rPr>
        <w:t>Headcount Cuts Are Lagging Predictions:</w:t>
      </w:r>
      <w:r>
        <w:t xml:space="preserve"> Gartner's survey of 321 support leaders revealed that while 80% feel pressure to make workforce changes due to AI, </w:t>
      </w:r>
      <w:r>
        <w:rPr>
          <w:b/>
        </w:rPr>
        <w:t>only 31% have made or plan to make frontline layoffs through Q1 2027</w:t>
      </w:r>
      <w:r>
        <w:t>, and Gartner expects autonomous business to become a net job creator by 2028–2029. This suggests the transition away from human support may be more gradual than technology vendors claim.</w:t>
      </w:r>
    </w:p>
    <w:p>
      <w:pPr>
        <w:pStyle w:val="ListNumber"/>
      </w:pPr>
      <w:r>
        <w:rPr>
          <w:b/>
        </w:rPr>
        <w:t>Rising Aggregate Outsourcing Spend:</w:t>
      </w:r>
      <w:r>
        <w:t xml:space="preserve"> With Canalys reporting that </w:t>
      </w:r>
      <w:r>
        <w:rPr>
          <w:b/>
        </w:rPr>
        <w:t>82% of end clients are increasing their outsourcing spend</w:t>
      </w:r>
      <w:r>
        <w:t xml:space="preserve"> and overall managed services growing 13% annually, a rising tide may keep mediocre MSPs afloat longer than pure economic efficiency would dictate.</w:t>
      </w:r>
    </w:p>
    <w:p>
      <w:pPr>
        <w:pStyle w:val="Heading3"/>
      </w:pPr>
      <w:r>
        <w:t>12.2 Arguments Supporting Severe MSP Disruption (Why Incumbents Will Fail)</w:t>
      </w:r>
    </w:p>
    <w:p>
      <w:pPr>
        <w:pStyle w:val="ListNumber"/>
      </w:pPr>
      <w:r>
        <w:rPr>
          <w:b/>
        </w:rPr>
        <w:t>Margin Compression Happens at the Margin:</w:t>
      </w:r>
      <w:r>
        <w:t xml:space="preserve"> An MSP does not need to lose 100% of its clients to fail. In a business operating at a 12%–15% EBITDA margin with high fixed human payroll, losing just </w:t>
      </w:r>
      <w:r>
        <w:rPr>
          <w:b/>
        </w:rPr>
        <w:t>15% to 20% of top-line revenue</w:t>
      </w:r>
      <w:r>
        <w:t xml:space="preserve"> (due to client headcount reductions or a 20% renewal price haircut forced by AI-enabled competitors) wipes out </w:t>
      </w:r>
      <w:r>
        <w:rPr>
          <w:b/>
        </w:rPr>
        <w:t>70% to 100% of net profit</w:t>
      </w:r>
      <w:r>
        <w:t>.</w:t>
      </w:r>
    </w:p>
    <w:p>
      <w:pPr>
        <w:pStyle w:val="ListNumber"/>
      </w:pPr>
      <w:r>
        <w:rPr>
          <w:b/>
        </w:rPr>
        <w:t>Cyber Insurance and Regulatory Gatekeeping:</w:t>
      </w:r>
      <w:r>
        <w:t xml:space="preserve"> Cyber insurers and enterprise supply-chain auditors are rapidly raising baseline technical requirements (mandatory 24/7 MDR with active containment, immutable backups, identity threat detection, Purview data governance). Generalist MSPs that suffer a multi-tenant breach or fail to keep clients insurable face existential E&amp;O (Errors &amp; Omissions) lawsuits and instant reputational collapse.</w:t>
      </w:r>
    </w:p>
    <w:p>
      <w:pPr>
        <w:pStyle w:val="ListNumber"/>
      </w:pPr>
      <w:r>
        <w:rPr>
          <w:b/>
        </w:rPr>
        <w:t>Private Equity Consolidation and Scale Economics:</w:t>
      </w:r>
      <w:r>
        <w:t xml:space="preserve"> PE-backed platform MSPs (</w:t>
      </w:r>
      <m:oMath>
        <m:box>
          <m:boxPr/>
          <m:e>
            <m:r>
              <m:rPr>
                <m:sty m:val="p"/>
              </m:rPr>
              <m:t>25</m:t>
            </m:r>
            <m:r>
              <m:rPr>
                <m:sty m:val="i"/>
              </m:rPr>
              <m:t>M</m:t>
            </m:r>
            <m:r>
              <m:rPr>
                <m:sty m:val="i"/>
              </m:rPr>
              <m:t>–</m:t>
            </m:r>
          </m:e>
        </m:box>
      </m:oMath>
      <w:r>
        <w:t xml:space="preserve">200M+ in revenue) can afford to invest millions in proprietary AI orchestration platforms, dedicated 24/7 SOCs, and Microsoft AI Solutions Architect benches. A </w:t>
      </w:r>
      <m:oMath>
        <m:box>
          <m:boxPr/>
          <m:e>
            <m:r>
              <m:rPr>
                <m:sty m:val="p"/>
              </m:rPr>
              <m:t>2</m:t>
            </m:r>
            <m:r>
              <m:rPr>
                <m:sty m:val="i"/>
              </m:rPr>
              <m:t>M</m:t>
            </m:r>
            <m:r>
              <m:rPr>
                <m:sty m:val="i"/>
              </m:rPr>
              <m:t>–</m:t>
            </m:r>
          </m:e>
        </m:box>
      </m:oMath>
      <w:r>
        <w:t>5M traditional MSP refusing to change cannot match the unit costs or technical depth of an AI-enabled platform consolidator.</w:t>
      </w:r>
    </w:p>
    <w:p>
      <w:pPr>
        <w:pStyle w:val="Heading3"/>
      </w:pPr>
      <w:r>
        <w:t>12.3 Most Likely Outcome (2026–2035 Quantitative Forecast)</w:t>
      </w:r>
    </w:p>
    <w:p>
      <w:r>
        <w:t>Synthesizing the empirical evidence across analyst forecasts and M&amp;A cohorts, we project the following fate for today's global population of roughly 150,000+ MSPs and TSPs over the next decade:</w:t>
      </w:r>
    </w:p>
    <w:p>
      <w:pPr>
        <w:pStyle w:val="ListBullet"/>
      </w:pPr>
      <w:r>
        <w:rPr>
          <w:b/>
        </w:rPr>
        <w:t>20% — The "Frontier TSPs" (Transform &amp; Outperform):</w:t>
      </w:r>
      <w:r>
        <w:t xml:space="preserve"> Successfully transition to AI-centric operations, MXDR/CTEM, data governance, and vertical agent IP. They will achieve 25%–35% EBITDA margins, grow at 15%–25% CAGR, and command 10.0x–14.0x EBITDA valuations.</w:t>
      </w:r>
    </w:p>
    <w:p>
      <w:pPr>
        <w:pStyle w:val="ListBullet"/>
      </w:pPr>
      <w:r>
        <w:rPr>
          <w:b/>
        </w:rPr>
        <w:t>45% — The "Consolidation Targets" (Struggle &amp; Sell at a Discount):</w:t>
      </w:r>
      <w:r>
        <w:t xml:space="preserve"> Experience stagnating organic growth (0%–4%), shrinking gross margins, and rising talent costs. They will be acquired between 2026 and 2032 by PE roll-ups or larger regional TSPs at compressed multiples of 4.0x–6.5x EBITDA, where the acquirer immediately strips out their legacy service desk overhead using the acquirer's AI platform.</w:t>
      </w:r>
    </w:p>
    <w:p>
      <w:pPr>
        <w:pStyle w:val="ListBullet"/>
      </w:pPr>
      <w:r>
        <w:rPr>
          <w:b/>
        </w:rPr>
        <w:t>35% — The "Obsolete Traditionalists" (Marginalize or Disappear):</w:t>
      </w:r>
      <w:r>
        <w:t xml:space="preserve"> Sub-scale (&lt;$2M revenue), owner-dependent MSPs clinging to reactive break/fix, basic per-user help desk, and low-margin license resale. As native cloud self-service and AI agents absorb their core value proposition, they will suffer steady client attrition, compress into low-income solo lifestyle jobs, or close their doors entirely by 2035.</w:t>
      </w:r>
    </w:p>
    <w:p>
      <w:r>
        <w:rPr>
          <w:b/>
        </w:rPr>
        <w:t>Categories of MSPs Most at Risk:</w:t>
      </w:r>
    </w:p>
    <w:p>
      <w:pPr>
        <w:pStyle w:val="ListNumber"/>
      </w:pPr>
      <w:r>
        <w:rPr>
          <w:b/>
        </w:rPr>
        <w:t>Sub-$3M Revenue Generalist MSPs</w:t>
      </w:r>
      <w:r>
        <w:t xml:space="preserve"> with &lt;50% recurring revenue and no dedicated cybersecurity or AI/data practice.</w:t>
      </w:r>
    </w:p>
    <w:p>
      <w:pPr>
        <w:pStyle w:val="ListNumber"/>
      </w:pPr>
      <w:r>
        <w:rPr>
          <w:b/>
        </w:rPr>
        <w:t>Help-Desk-Heavy MSPs</w:t>
      </w:r>
      <w:r>
        <w:t xml:space="preserve"> whose primary sales pitch and QBR reporting revolve around fast ticket response times and desktop support.</w:t>
      </w:r>
    </w:p>
    <w:p>
      <w:pPr>
        <w:pStyle w:val="ListNumber"/>
      </w:pPr>
      <w:r>
        <w:rPr>
          <w:b/>
        </w:rPr>
        <w:t>License-Resale-Dependent CSPs/VARs</w:t>
      </w:r>
      <w:r>
        <w:t xml:space="preserve"> relying on transactional software margins without high-attach advisory, governance, or managed automation services.</w:t>
      </w:r>
    </w:p>
    <w:p>
      <w:pPr>
        <w:pBdr>
          <w:bottom w:val="single" w:sz="6" w:space="1" w:color="808080"/>
        </w:pBdr>
      </w:pPr>
    </w:p>
    <w:p>
      <w:pPr>
        <w:pStyle w:val="Heading2"/>
      </w:pPr>
      <w:r>
        <w:t>13. Final Conclusions</w:t>
      </w:r>
    </w:p>
    <w:p>
      <w:r>
        <w:t xml:space="preserve">The evidence compiled in this report leads to an unmistakable strategic conclusion: </w:t>
      </w:r>
      <w:r>
        <w:rPr>
          <w:b/>
        </w:rPr>
        <w:t>the traditional MSP business model—built on monetizing technological friction through human labor and per-seat support retainers—is entering structural obsolescence.</w:t>
      </w:r>
    </w:p>
    <w:p>
      <w:r>
        <w:t xml:space="preserve">For the skeptical MSP owner who currently enjoys healthy cash flows, the danger lies in the </w:t>
      </w:r>
      <w:r>
        <w:rPr>
          <w:b/>
        </w:rPr>
        <w:t>nonlinear nature of platform shifts</w:t>
      </w:r>
      <w:r>
        <w:t>. Just as traditional telecommunications resellers and on-premises hosting providers enjoyed record revenues right up until UCaaS and hyperscale cloud reached their tipping points, conventional MSPs are currently insulated by multi-year client contracts and early-stage enterprise AI friction.</w:t>
      </w:r>
    </w:p>
    <w:p>
      <w:r>
        <w:t>However, between 2026 and 2030, three curves will intersect:</w:t>
      </w:r>
    </w:p>
    <w:p>
      <w:pPr>
        <w:pStyle w:val="ListNumber"/>
      </w:pPr>
      <w:r>
        <w:rPr>
          <w:b/>
        </w:rPr>
        <w:t>Gartner's 80% autonomous issue resolution curve</w:t>
      </w:r>
      <w:r>
        <w:t xml:space="preserve"> will strip away the ticket volume that justifies legacy per-user support fees.</w:t>
      </w:r>
    </w:p>
    <w:p>
      <w:pPr>
        <w:pStyle w:val="ListNumber"/>
      </w:pPr>
      <w:r>
        <w:rPr>
          <w:b/>
        </w:rPr>
        <w:t>Microsoft's Agent 365, Security Copilot, and native administrative AI</w:t>
      </w:r>
      <w:r>
        <w:t xml:space="preserve"> will empower customers and lean internal IT teams to self-administer routine cloud infrastructure.</w:t>
      </w:r>
    </w:p>
    <w:p>
      <w:pPr>
        <w:pStyle w:val="ListNumber"/>
      </w:pPr>
      <w:r>
        <w:rPr>
          <w:b/>
        </w:rPr>
        <w:t xml:space="preserve">Forrester's </w:t>
      </w:r>
      <m:oMath>
        <m:box>
          <m:boxPr/>
          <m:e>
            <m:r>
              <m:rPr>
                <m:sty m:val="p"/>
              </m:rPr>
              <m:t>103.75</m:t>
            </m:r>
            <m:r>
              <m:rPr>
                <m:sty m:val="i"/>
              </m:rPr>
              <m:t>–</m:t>
            </m:r>
          </m:e>
        </m:box>
      </m:oMath>
      <w:r>
        <w:rPr>
          <w:b/>
        </w:rPr>
        <w:t>124.85 per-user AI services wave and the $46.9 billion MDR market</w:t>
      </w:r>
      <w:r>
        <w:t xml:space="preserve"> will shift client budgets decisively toward partners who can govern data, build autonomous business workflows, and guarantee continuous threat exposure management.</w:t>
      </w:r>
    </w:p>
    <w:p>
      <w:r>
        <w:t xml:space="preserve">MSP owners, boards, and private equity investors have a narrow </w:t>
      </w:r>
      <w:r>
        <w:rPr>
          <w:b/>
        </w:rPr>
        <w:t>18- to 36-month window</w:t>
      </w:r>
      <w:r>
        <w:t xml:space="preserve"> to use the cash flows of their legacy managed services contracts to fund the transition to an AI-native, security-first TSP model. Those who act decisively will build the most profitable, highest-multiple service enterprises in the history of the IT channel. Those who defend the status quo will find themselves managing a shrinking portfolio of commoditized tasks at ever-lower margins.</w:t>
      </w:r>
    </w:p>
    <w:p>
      <w:pPr>
        <w:pBdr>
          <w:bottom w:val="single" w:sz="6" w:space="1" w:color="808080"/>
        </w:pBdr>
      </w:pPr>
    </w:p>
    <w:p>
      <w:pPr>
        <w:pStyle w:val="Heading2"/>
      </w:pPr>
      <w:r>
        <w:t>14. Complete Reference List</w:t>
      </w:r>
    </w:p>
    <w:p>
      <w:r>
        <w:t>All primary research reports, analyst forecasts, vendor documentation, and financial benchmarks cited in this report are listed below:</w:t>
      </w:r>
    </w:p>
    <w:p>
      <w:pPr>
        <w:pStyle w:val="ListNumber"/>
      </w:pPr>
      <w:r>
        <w:rPr>
          <w:b/>
        </w:rPr>
        <w:t>Canalys / Omdia Global IT &amp; Channel Share Outlook:</w:t>
      </w:r>
      <w:r/>
      <w:hyperlink r:id="rId9">
        <w:r>
          <w:rPr>
            <w:color w:val="0563C1"/>
            <w:u w:val="single"/>
          </w:rPr>
          <w:t xml:space="preserve">AI Spending Impact, Channel Share Decline, and MSP Growth Strategies With Jay McBain</w:t>
        </w:r>
      </w:hyperlink>
    </w:p>
    <w:p>
      <w:pPr>
        <w:pStyle w:val="ListNumber"/>
      </w:pPr>
      <w:r>
        <w:rPr>
          <w:b/>
        </w:rPr>
        <w:t>Canalys / Omdia MSP Market Forecast:</w:t>
      </w:r>
      <w:r/>
      <w:hyperlink r:id="rId10">
        <w:r>
          <w:rPr>
            <w:color w:val="0563C1"/>
            <w:u w:val="single"/>
          </w:rPr>
          <w:t xml:space="preserve">MSP Trends and Predictions 2025 - Omdia - Informa</w:t>
        </w:r>
      </w:hyperlink>
    </w:p>
    <w:p>
      <w:pPr>
        <w:pStyle w:val="ListNumber"/>
      </w:pPr>
      <w:r>
        <w:rPr>
          <w:b/>
        </w:rPr>
        <w:t>Canalys EMEA &amp; Global Managed Services Research Summary:</w:t>
      </w:r>
      <w:r/>
      <w:hyperlink r:id="rId11">
        <w:r>
          <w:rPr>
            <w:color w:val="0563C1"/>
            <w:u w:val="single"/>
          </w:rPr>
          <w:t xml:space="preserve">MSP Trends and Predictions for 2025 - Cheops</w:t>
        </w:r>
      </w:hyperlink>
    </w:p>
    <w:p>
      <w:pPr>
        <w:pStyle w:val="ListNumber"/>
      </w:pPr>
      <w:r>
        <w:rPr>
          <w:b/>
        </w:rPr>
        <w:t>Canalys Channel Forum &amp; Omdia Service Desk Triage Analysis:</w:t>
      </w:r>
      <w:r/>
      <w:hyperlink r:id="rId12">
        <w:r>
          <w:rPr>
            <w:color w:val="0563C1"/>
            <w:u w:val="single"/>
          </w:rPr>
          <w:t xml:space="preserve">Artificial intelligence is evolving the MSP model | Microscope - Computer Weekly</w:t>
        </w:r>
      </w:hyperlink>
    </w:p>
    <w:p>
      <w:pPr>
        <w:pStyle w:val="ListNumber"/>
      </w:pPr>
      <w:r>
        <w:rPr>
          <w:b/>
        </w:rPr>
        <w:t>Gartner Customer Service &amp; Support Agentic AI Forecast:</w:t>
      </w:r>
      <w:r/>
      <w:hyperlink r:id="rId13">
        <w:r>
          <w:rPr>
            <w:color w:val="0563C1"/>
            <w:u w:val="single"/>
          </w:rPr>
          <w:t xml:space="preserve">Gartner Predicts Agentic AI Will Autonomously Resolve 80% of Common Customer Service Issues Without Human Intervention by 2029</w:t>
        </w:r>
      </w:hyperlink>
    </w:p>
    <w:p>
      <w:pPr>
        <w:pStyle w:val="ListNumber"/>
      </w:pPr>
      <w:r>
        <w:rPr>
          <w:b/>
        </w:rPr>
        <w:t>Gartner Service Desk Workforce &amp; Project Cancellation Analysis:</w:t>
      </w:r>
      <w:r/>
      <w:hyperlink r:id="rId14">
        <w:r>
          <w:rPr>
            <w:color w:val="0563C1"/>
            <w:u w:val="single"/>
          </w:rPr>
          <w:t xml:space="preserve">AI Agents Are Taking Over the Service Desk. The Humans Aren't Leaving. - SD Times</w:t>
        </w:r>
      </w:hyperlink>
    </w:p>
    <w:p>
      <w:pPr>
        <w:pStyle w:val="ListNumber"/>
      </w:pPr>
      <w:r>
        <w:rPr>
          <w:b/>
        </w:rPr>
        <w:t>Gartner Enterprise Software &amp; Autonomous Decision Forecasts:</w:t>
      </w:r>
      <w:r/>
      <w:hyperlink r:id="rId15">
        <w:r>
          <w:rPr>
            <w:color w:val="0563C1"/>
            <w:u w:val="single"/>
          </w:rPr>
          <w:t xml:space="preserve">AI agents at work: what Gartner's predictions mean - Quartz</w:t>
        </w:r>
      </w:hyperlink>
    </w:p>
    <w:p>
      <w:pPr>
        <w:pStyle w:val="ListNumber"/>
      </w:pPr>
      <w:r>
        <w:rPr>
          <w:b/>
        </w:rPr>
        <w:t>Gartner Market Guide for Managed Detection and Response (2025 Takeaways):</w:t>
      </w:r>
      <w:r/>
      <w:hyperlink r:id="rId16">
        <w:r>
          <w:rPr>
            <w:color w:val="0563C1"/>
            <w:u w:val="single"/>
          </w:rPr>
          <w:t xml:space="preserve">4 Takeaways from the 2025 Gartner® Market Guide for Managed Detection and Response</w:t>
        </w:r>
      </w:hyperlink>
    </w:p>
    <w:p>
      <w:pPr>
        <w:pStyle w:val="ListNumber"/>
      </w:pPr>
      <w:r>
        <w:rPr>
          <w:b/>
        </w:rPr>
        <w:t>Gartner Market Guide for Managed Detection and Response (2026 Findings):</w:t>
      </w:r>
      <w:r/>
      <w:hyperlink r:id="rId17">
        <w:r>
          <w:rPr>
            <w:color w:val="0563C1"/>
            <w:u w:val="single"/>
          </w:rPr>
          <w:t xml:space="preserve">2026 Gartner® Market Guide for Managed Detection and Response | eSentire</w:t>
        </w:r>
      </w:hyperlink>
    </w:p>
    <w:p>
      <w:pPr>
        <w:pStyle w:val="ListNumber"/>
      </w:pPr>
      <w:r>
        <w:rPr>
          <w:b/>
        </w:rPr>
        <w:t>Gartner, Forrester &amp; ISG MDR Landscape Synthesis:</w:t>
      </w:r>
      <w:r/>
      <w:hyperlink r:id="rId18">
        <w:r>
          <w:rPr>
            <w:color w:val="0563C1"/>
            <w:u w:val="single"/>
          </w:rPr>
          <w:t xml:space="preserve">Mapping the Managed Detection and Response (MDR) Market for 2026 - CyberProof</w:t>
        </w:r>
      </w:hyperlink>
    </w:p>
    <w:p>
      <w:pPr>
        <w:pStyle w:val="ListNumber"/>
      </w:pPr>
      <w:r>
        <w:rPr>
          <w:b/>
        </w:rPr>
        <w:t>Forrester Research Service Management Agentic AI Analysis:</w:t>
      </w:r>
      <w:r/>
      <w:hyperlink r:id="rId19">
        <w:r>
          <w:rPr>
            <w:color w:val="0563C1"/>
            <w:u w:val="single"/>
          </w:rPr>
          <w:t xml:space="preserve">Let The Service Management Agentic AI Race Begin - Forrester</w:t>
        </w:r>
      </w:hyperlink>
    </w:p>
    <w:p>
      <w:pPr>
        <w:pStyle w:val="ListNumber"/>
      </w:pPr>
      <w:r>
        <w:rPr>
          <w:b/>
        </w:rPr>
        <w:t>Forrester Research AI-Centric Service Desk Blueprint:</w:t>
      </w:r>
      <w:r/>
      <w:hyperlink r:id="rId20">
        <w:r>
          <w:rPr>
            <w:color w:val="0563C1"/>
            <w:u w:val="single"/>
          </w:rPr>
          <w:t xml:space="preserve">The AI-Centric Service Desk: A Blueprint For Modern IT Operations - Forrester</w:t>
        </w:r>
      </w:hyperlink>
    </w:p>
    <w:p>
      <w:pPr>
        <w:pStyle w:val="ListNumber"/>
      </w:pPr>
      <w:r>
        <w:rPr>
          <w:b/>
        </w:rPr>
        <w:t>Forrester Total Economic Impact™ (TEI) Microsoft Modern Work Partner Study:</w:t>
      </w:r>
      <w:r/>
      <w:hyperlink r:id="rId21">
        <w:r>
          <w:rPr>
            <w:color w:val="0563C1"/>
            <w:u w:val="single"/>
          </w:rPr>
          <w:t xml:space="preserve">The Impact Of AI On Microsoft Modern Work Partner Revenue: Copilot And Agents</w:t>
        </w:r>
      </w:hyperlink>
    </w:p>
    <w:p>
      <w:pPr>
        <w:pStyle w:val="ListNumber"/>
      </w:pPr>
      <w:r>
        <w:rPr>
          <w:b/>
        </w:rPr>
        <w:t>Forrester Total Economic Impact™ (TEI) Microsoft AI Business Solutions Partner Studies (Enterprise &amp; SMB CSP):</w:t>
      </w:r>
      <w:r/>
      <w:hyperlink r:id="rId22">
        <w:r>
          <w:rPr>
            <w:color w:val="0563C1"/>
            <w:u w:val="single"/>
          </w:rPr>
          <w:t xml:space="preserve">Resource spotlight - Microsoft</w:t>
        </w:r>
      </w:hyperlink>
    </w:p>
    <w:p>
      <w:pPr>
        <w:pStyle w:val="ListNumber"/>
      </w:pPr>
      <w:r>
        <w:rPr>
          <w:b/>
        </w:rPr>
        <w:t>Forrester Total Economic Impact™ (TEI) Microsoft Security, Defender, Purview &amp; Entra Studies:</w:t>
      </w:r>
      <w:r/>
      <w:hyperlink r:id="rId23">
        <w:r>
          <w:rPr>
            <w:color w:val="0563C1"/>
            <w:u w:val="single"/>
          </w:rPr>
          <w:t xml:space="preserve">Forrester Total Economic Impact Studies | Microsoft Security</w:t>
        </w:r>
      </w:hyperlink>
    </w:p>
    <w:p>
      <w:pPr>
        <w:pStyle w:val="ListNumber"/>
      </w:pPr>
      <w:r>
        <w:rPr>
          <w:b/>
        </w:rPr>
        <w:t>Forrester Projected Total Economic Impact™ of Microsoft AI for Industrial Transformation:</w:t>
      </w:r>
      <w:r/>
      <w:hyperlink r:id="rId24">
        <w:r>
          <w:rPr>
            <w:color w:val="0563C1"/>
            <w:u w:val="single"/>
          </w:rPr>
          <w:t xml:space="preserve">New Tech: The Projected Total Economic Impact™ Of Microsoft Artificial Intelligence Solutions For Industrial Transformation - Forrester</w:t>
        </w:r>
      </w:hyperlink>
    </w:p>
    <w:p>
      <w:pPr>
        <w:pStyle w:val="ListNumber"/>
      </w:pPr>
      <w:r>
        <w:rPr>
          <w:b/>
        </w:rPr>
        <w:t>Forrester Total Economic Impact™ of Microsoft Azure AI Analysis:</w:t>
      </w:r>
      <w:r/>
      <w:hyperlink r:id="rId25">
        <w:r>
          <w:rPr>
            <w:color w:val="0563C1"/>
            <w:u w:val="single"/>
          </w:rPr>
          <w:t xml:space="preserve">The Total Economic Impact™ Of Microsoft Azure AI</w:t>
        </w:r>
      </w:hyperlink>
    </w:p>
    <w:p>
      <w:pPr>
        <w:pStyle w:val="ListNumber"/>
      </w:pPr>
      <w:r>
        <w:rPr>
          <w:b/>
        </w:rPr>
        <w:t>Microsoft Ignite 2025 Official News &amp; Architecture Disclosures:</w:t>
      </w:r>
      <w:r/>
      <w:hyperlink r:id="rId26">
        <w:r>
          <w:rPr>
            <w:color w:val="0563C1"/>
            <w:u w:val="single"/>
          </w:rPr>
          <w:t xml:space="preserve">Microsoft Ignite 2025</w:t>
        </w:r>
      </w:hyperlink>
    </w:p>
    <w:p>
      <w:pPr>
        <w:pStyle w:val="ListNumber"/>
      </w:pPr>
      <w:r>
        <w:rPr>
          <w:b/>
        </w:rPr>
        <w:t>Microsoft Ignite 2025 Frontier Firm &amp; Copilot Announcements:</w:t>
      </w:r>
      <w:r/>
      <w:hyperlink r:id="rId27">
        <w:r>
          <w:rPr>
            <w:color w:val="0563C1"/>
            <w:u w:val="single"/>
          </w:rPr>
          <w:t xml:space="preserve">Microsoft Ignite 2025: Copilot and agents built to power the Frontier Firm | AI at Work Blog</w:t>
        </w:r>
      </w:hyperlink>
    </w:p>
    <w:p>
      <w:pPr>
        <w:pStyle w:val="ListNumber"/>
      </w:pPr>
      <w:r>
        <w:rPr>
          <w:b/>
        </w:rPr>
        <w:t>Microsoft Security &amp; Agentic Governance Strategy:</w:t>
      </w:r>
      <w:r/>
      <w:hyperlink r:id="rId28">
        <w:r>
          <w:rPr>
            <w:color w:val="0563C1"/>
            <w:u w:val="single"/>
          </w:rPr>
          <w:t xml:space="preserve">Microsoft Ignite: Ambient and autonomous security for the agentic era</w:t>
        </w:r>
      </w:hyperlink>
    </w:p>
    <w:p>
      <w:pPr>
        <w:pStyle w:val="ListNumber"/>
      </w:pPr>
      <w:r>
        <w:rPr>
          <w:b/>
        </w:rPr>
        <w:t>Directions on Microsoft Independent Analysis of Agent 365 &amp; Foundry:</w:t>
      </w:r>
      <w:r/>
      <w:hyperlink r:id="rId29">
        <w:r>
          <w:rPr>
            <w:color w:val="0563C1"/>
            <w:u w:val="single"/>
          </w:rPr>
          <w:t xml:space="preserve">Microsoft Ignite 2025: Ten Things You Need to Know</w:t>
        </w:r>
      </w:hyperlink>
    </w:p>
    <w:p>
      <w:pPr>
        <w:pStyle w:val="ListNumber"/>
      </w:pPr>
      <w:r>
        <w:rPr>
          <w:b/>
        </w:rPr>
        <w:t>MSP Architectural &amp; Admin Portal Disintermediation Analysis:</w:t>
      </w:r>
      <w:r/>
      <w:hyperlink r:id="rId30">
        <w:r>
          <w:rPr>
            <w:color w:val="0563C1"/>
            <w:u w:val="single"/>
          </w:rPr>
          <w:t xml:space="preserve">The impact of AI on the MSP business model - CIAOPS</w:t>
        </w:r>
      </w:hyperlink>
    </w:p>
    <w:p>
      <w:pPr>
        <w:pStyle w:val="ListNumber"/>
      </w:pPr>
      <w:r>
        <w:rPr>
          <w:b/>
        </w:rPr>
        <w:t>UpperEdge Managed Services Contract &amp; Earnings Call Analysis:</w:t>
      </w:r>
      <w:r/>
      <w:hyperlink r:id="rId31">
        <w:r>
          <w:rPr>
            <w:color w:val="0563C1"/>
            <w:u w:val="single"/>
          </w:rPr>
          <w:t xml:space="preserve">AI and the Future of Managed Services Contracts: Lessons from MSP Earnings Calls</w:t>
        </w:r>
      </w:hyperlink>
    </w:p>
    <w:p>
      <w:pPr>
        <w:pStyle w:val="ListNumber"/>
      </w:pPr>
      <w:r>
        <w:rPr>
          <w:b/>
        </w:rPr>
        <w:t>Midmarket MSP AI Adoption &amp; Customer Expectations Analysis:</w:t>
      </w:r>
      <w:r/>
      <w:hyperlink r:id="rId32">
        <w:r>
          <w:rPr>
            <w:color w:val="0563C1"/>
            <w:u w:val="single"/>
          </w:rPr>
          <w:t xml:space="preserve">What AI Is Actually Changing About Managed Services And What It Isn't - MES Computing</w:t>
        </w:r>
      </w:hyperlink>
    </w:p>
    <w:p>
      <w:pPr>
        <w:pStyle w:val="ListNumber"/>
      </w:pPr>
      <w:r>
        <w:rPr>
          <w:b/>
        </w:rPr>
        <w:t>Forrester Case Studies on AI Service Desk Deflection &amp; Multi-Cloud Optimization:</w:t>
      </w:r>
      <w:r/>
      <w:hyperlink r:id="rId33">
        <w:r>
          <w:rPr>
            <w:color w:val="0563C1"/>
            <w:u w:val="single"/>
          </w:rPr>
          <w:t xml:space="preserve">What to expect from an AI-driven MSP - Integris</w:t>
        </w:r>
      </w:hyperlink>
    </w:p>
    <w:p>
      <w:pPr>
        <w:pStyle w:val="ListNumber"/>
      </w:pPr>
      <w:r>
        <w:rPr>
          <w:b/>
        </w:rPr>
        <w:t>Service Leadership Inc., Peak Technology Partners &amp; Corum Group M&amp;A Multiples Synthesis:</w:t>
      </w:r>
      <w:r/>
      <w:hyperlink r:id="rId34">
        <w:r>
          <w:rPr>
            <w:color w:val="0563C1"/>
            <w:u w:val="single"/>
          </w:rPr>
          <w:t xml:space="preserve">MSP M&amp;A Multiples Report 2026 - CT Acquisitions</w:t>
        </w:r>
      </w:hyperlink>
    </w:p>
    <w:p>
      <w:pPr>
        <w:pStyle w:val="ListNumber"/>
      </w:pPr>
      <w:r>
        <w:rPr>
          <w:b/>
        </w:rPr>
        <w:t>ConnectWise GP Partners, Aventis Advisors &amp; GF Data Valuation Multiples:</w:t>
      </w:r>
      <w:r/>
      <w:hyperlink r:id="rId35">
        <w:r>
          <w:rPr>
            <w:color w:val="0563C1"/>
            <w:u w:val="single"/>
          </w:rPr>
          <w:t xml:space="preserve">MSP Valuation Multiples 2026 - Salt Creek Advisory</w:t>
        </w:r>
      </w:hyperlink>
    </w:p>
    <w:p>
      <w:pPr>
        <w:pStyle w:val="ListNumber"/>
      </w:pPr>
      <w:r>
        <w:rPr>
          <w:b/>
        </w:rPr>
        <w:t>ConnectWise Service Leadership Operational Maturity Level (OML) &amp; PE Value Drivers:</w:t>
      </w:r>
      <w:r/>
      <w:hyperlink r:id="rId36">
        <w:r>
          <w:rPr>
            <w:color w:val="0563C1"/>
            <w:u w:val="single"/>
          </w:rPr>
          <w:t xml:space="preserve">MSP Valuation Multiples: 7 Drivers of Value - Brian Hoppe Coaching</w:t>
        </w:r>
      </w:hyperlink>
    </w:p>
    <w:p>
      <w:pPr>
        <w:pStyle w:val="ListNumber"/>
      </w:pPr>
      <w:r>
        <w:rPr>
          <w:b/>
        </w:rPr>
        <w:t>CompTIA Benchmarks &amp; MSP Operating Leverage Metrics:</w:t>
      </w:r>
      <w:r/>
      <w:hyperlink r:id="rId37">
        <w:r>
          <w:rPr>
            <w:color w:val="0563C1"/>
            <w:u w:val="single"/>
          </w:rPr>
          <w:t xml:space="preserve">How to Value an IT Managed Service Provider (MSP) | Jaken Equities</w:t>
        </w:r>
      </w:hyperlink>
    </w:p>
    <w:p>
      <w:pPr>
        <w:pStyle w:val="ListNumber"/>
      </w:pPr>
      <w:r>
        <w:rPr>
          <w:b/>
        </w:rPr>
        <w:t>Global MDR Market Size &amp; 2035 Forecast Report:</w:t>
      </w:r>
      <w:r/>
      <w:hyperlink r:id="rId38">
        <w:r>
          <w:rPr>
            <w:color w:val="0563C1"/>
            <w:u w:val="single"/>
          </w:rPr>
          <w:t xml:space="preserve">Managed Detection and Response (MDR) Service Market Size, Forecast Report 2035</w:t>
        </w:r>
      </w:hyperlink>
    </w:p>
    <w:p>
      <w:pPr>
        <w:pStyle w:val="ListNumber"/>
      </w:pPr>
      <w:r>
        <w:rPr>
          <w:b/>
        </w:rPr>
        <w:t>World Economic Forum Future of Jobs Report 2025 (Full Publication):</w:t>
      </w:r>
      <w:r/>
      <w:hyperlink r:id="rId39">
        <w:r>
          <w:rPr>
            <w:color w:val="0563C1"/>
            <w:u w:val="single"/>
          </w:rPr>
          <w:t xml:space="preserve">Future of Jobs Report 2025 | World Economic Forum</w:t>
        </w:r>
      </w:hyperlink>
    </w:p>
    <w:p>
      <w:pPr>
        <w:pStyle w:val="ListNumber"/>
      </w:pPr>
      <w:r>
        <w:rPr>
          <w:b/>
        </w:rPr>
        <w:t>World Economic Forum Future of Jobs Report 2025 Digest:</w:t>
      </w:r>
      <w:r/>
      <w:hyperlink r:id="rId40">
        <w:r>
          <w:rPr>
            <w:color w:val="0563C1"/>
            <w:u w:val="single"/>
          </w:rPr>
          <w:t xml:space="preserve">The Future of Jobs Report 2025 | World Economic Forum</w:t>
        </w:r>
      </w:hyperlink>
    </w:p>
    <w:p>
      <w:pPr>
        <w:pStyle w:val="ListNumber"/>
      </w:pPr>
      <w:r>
        <w:rPr>
          <w:b/>
        </w:rPr>
        <w:t>World Economic Forum &amp; Deloitte Human Capital Trends Synthesis:</w:t>
      </w:r>
      <w:r/>
      <w:hyperlink r:id="rId41">
        <w:r>
          <w:rPr>
            <w:color w:val="0563C1"/>
            <w:u w:val="single"/>
          </w:rPr>
          <w:t xml:space="preserve">The AI-driven workforce is here. How should your industry transform itself?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nnelpartners.net/ai-msp-jay-mcbain/" TargetMode="External"/><Relationship Id="rId10" Type="http://schemas.openxmlformats.org/officeDocument/2006/relationships/hyperlink" Target="https://omdia.tech.informa.com/insights/2025/canalys-msp-trends-and-predictions-2025" TargetMode="External"/><Relationship Id="rId11" Type="http://schemas.openxmlformats.org/officeDocument/2006/relationships/hyperlink" Target="https://www.cheops.com/en/insights/msp-trends-and-predictions-for-2025/" TargetMode="External"/><Relationship Id="rId12" Type="http://schemas.openxmlformats.org/officeDocument/2006/relationships/hyperlink" Target="https://www.computerweekly.com/microscope/news/366651911/Artificial-intelligence-is-evolving-the-MSP-model" TargetMode="External"/><Relationship Id="rId13" Type="http://schemas.openxmlformats.org/officeDocument/2006/relationships/hyperlink" Target="https://www.gartner.com/en/newsroom/press-releases/2025-03-05-gartner-predicts-agentic-ai-will-autonomously-resolve-80-percent-of-common-customer-service-issues-without-human-intervention-by-20290" TargetMode="External"/><Relationship Id="rId14" Type="http://schemas.openxmlformats.org/officeDocument/2006/relationships/hyperlink" Target="https://sdtimes.com/agentic-ai/ai-agents-are-taking-over-the-service-desk-the-humans-arent-leaving/" TargetMode="External"/><Relationship Id="rId15" Type="http://schemas.openxmlformats.org/officeDocument/2006/relationships/hyperlink" Target="https://qz.com/ai-agents-workplace-gartner" TargetMode="External"/><Relationship Id="rId16" Type="http://schemas.openxmlformats.org/officeDocument/2006/relationships/hyperlink" Target="https://www.rapid7.com/blog/post/dr-2025-gartner-market-guide-for-mdr-takeaways/" TargetMode="External"/><Relationship Id="rId17" Type="http://schemas.openxmlformats.org/officeDocument/2006/relationships/hyperlink" Target="https://www.esentire.com/resources/library/2026-gartner-market-guide-for-managed-detection-and-response" TargetMode="External"/><Relationship Id="rId18" Type="http://schemas.openxmlformats.org/officeDocument/2006/relationships/hyperlink" Target="https://www.cyberproof.com/manageddetectionandresponse/mapping-the-managed-detection-and-response-mdr-market-for-2026/" TargetMode="External"/><Relationship Id="rId19" Type="http://schemas.openxmlformats.org/officeDocument/2006/relationships/hyperlink" Target="https://www.forrester.com/blogs/let-the-service-management-agentic-ai-race-begin/" TargetMode="External"/><Relationship Id="rId20" Type="http://schemas.openxmlformats.org/officeDocument/2006/relationships/hyperlink" Target="https://www.forrester.com/blogs/the-ai-centric-service-desk-a-blueprint-for-modern-it-operations/" TargetMode="External"/><Relationship Id="rId21" Type="http://schemas.openxmlformats.org/officeDocument/2006/relationships/hyperlink" Target="https://tei.forrester.com/go/Microsoft/ModernWorkPartner/index.html" TargetMode="External"/><Relationship Id="rId22" Type="http://schemas.openxmlformats.org/officeDocument/2006/relationships/hyperlink" Target="https://microsoftpartners.microsoft.com/abs/resource-spotlight/" TargetMode="External"/><Relationship Id="rId23" Type="http://schemas.openxmlformats.org/officeDocument/2006/relationships/hyperlink" Target="https://www.microsoft.com/en-au/security/business/forrester-tei-study" TargetMode="External"/><Relationship Id="rId24" Type="http://schemas.openxmlformats.org/officeDocument/2006/relationships/hyperlink" Target="https://tei.forrester.com/go/microsoft/IndustrialAiRoi/?lang=en-us" TargetMode="External"/><Relationship Id="rId25" Type="http://schemas.openxmlformats.org/officeDocument/2006/relationships/hyperlink" Target="https://www.digitalinnovation.com/blog/The%20Total%20Economic%20Impact%E2%84%A2%20Of%20Microsoft%20Azure%20AI" TargetMode="External"/><Relationship Id="rId26" Type="http://schemas.openxmlformats.org/officeDocument/2006/relationships/hyperlink" Target="https://news.microsoft.com/ignite-2025/" TargetMode="External"/><Relationship Id="rId27" Type="http://schemas.openxmlformats.org/officeDocument/2006/relationships/hyperlink" Target="https://www.microsoft.com/en-us/copilot/blog/2025/11/18/microsoft-ignite-2025-copilot-and-agents-built-to-power-the-frontier-firm/" TargetMode="External"/><Relationship Id="rId28" Type="http://schemas.openxmlformats.org/officeDocument/2006/relationships/hyperlink" Target="https://www.microsoft.com/en-us/security/blog/2025/11/18/ambient-and-autonomous-security-for-the-agentic-era/" TargetMode="External"/><Relationship Id="rId29" Type="http://schemas.openxmlformats.org/officeDocument/2006/relationships/hyperlink" Target="https://www.directionsonmicrosoft.com/microsoft-ignite-2025-ten-things-you-need-to-know/" TargetMode="External"/><Relationship Id="rId30" Type="http://schemas.openxmlformats.org/officeDocument/2006/relationships/hyperlink" Target="https://blog.ciaops.com/2025/01/23/the-impact-of-ai-on-the-msp-business-model/" TargetMode="External"/><Relationship Id="rId31" Type="http://schemas.openxmlformats.org/officeDocument/2006/relationships/hyperlink" Target="https://upperedge.com/managed-services/ai-and-the-future-of-managed-services-contracts-lessons-from-msp-earnings-calls/" TargetMode="External"/><Relationship Id="rId32" Type="http://schemas.openxmlformats.org/officeDocument/2006/relationships/hyperlink" Target="https://www.mescomputing.com/news/2026/ai/what-ai-is-actually-changing-about-managed-services-and-what-it-isn-t" TargetMode="External"/><Relationship Id="rId33" Type="http://schemas.openxmlformats.org/officeDocument/2006/relationships/hyperlink" Target="https://integrisit.com/blog/what-to-expect-from-an-ai-driven-msp/" TargetMode="External"/><Relationship Id="rId34" Type="http://schemas.openxmlformats.org/officeDocument/2006/relationships/hyperlink" Target="https://ctacquisitions.com/guides/msp-ma-multiples-2026/" TargetMode="External"/><Relationship Id="rId35" Type="http://schemas.openxmlformats.org/officeDocument/2006/relationships/hyperlink" Target="https://saltcreekadvisory.com/articles/msp-valuation-multiples-2026" TargetMode="External"/><Relationship Id="rId36" Type="http://schemas.openxmlformats.org/officeDocument/2006/relationships/hyperlink" Target="https://brianhoppe.com/msp-valuation-multiples/" TargetMode="External"/><Relationship Id="rId37" Type="http://schemas.openxmlformats.org/officeDocument/2006/relationships/hyperlink" Target="https://jakenequities.com/articles/msp-managed-service-provider-sales.html" TargetMode="External"/><Relationship Id="rId38" Type="http://schemas.openxmlformats.org/officeDocument/2006/relationships/hyperlink" Target="https://www.researchnester.com/reports/managed-detection-and-response-service-market/8327" TargetMode="External"/><Relationship Id="rId39" Type="http://schemas.openxmlformats.org/officeDocument/2006/relationships/hyperlink" Target="https://reports.weforum.org/docs/WEF_Future_of_Jobs_Report_2025.pdf" TargetMode="External"/><Relationship Id="rId40" Type="http://schemas.openxmlformats.org/officeDocument/2006/relationships/hyperlink" Target="https://www.weforum.org/publications/the-future-of-jobs-report-2025/digest/" TargetMode="External"/><Relationship Id="rId41" Type="http://schemas.openxmlformats.org/officeDocument/2006/relationships/hyperlink" Target="https://www.weforum.org/stories/education-and-skills/workforce-transformation-ai-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