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672A6659" wp14:textId="77777777"/>
    <w:p w:rsidR="18845CC0" w:rsidP="18845CC0" w:rsidRDefault="18845CC0" w14:paraId="2C059F1F" w14:textId="599F2960" w14:noSpellErr="1">
      <w:pPr>
        <w:pStyle w:val="Title"/>
      </w:pPr>
      <w:r w:rsidRPr="3927AF3A" w:rsidR="616AB363">
        <w:rPr>
          <w:b w:val="1"/>
          <w:bCs w:val="1"/>
          <w:color w:val="17365D" w:themeColor="text2" w:themeTint="FF" w:themeShade="BF"/>
          <w:sz w:val="60"/>
          <w:szCs w:val="60"/>
        </w:rPr>
        <w:t>MSP and TSP Strategic Research Report</w:t>
      </w:r>
    </w:p>
    <w:p w:rsidR="18845CC0" w:rsidP="18845CC0" w:rsidRDefault="18845CC0" w14:paraId="46A81E83" w14:textId="1FB4FACA" w14:noSpellErr="1">
      <w:pPr>
        <w:pStyle w:val="Subtitle"/>
        <w:rPr/>
      </w:pPr>
      <w:r w:rsidRPr="3927AF3A" w:rsidR="616AB363">
        <w:rPr>
          <w:color w:val="006D77"/>
          <w:sz w:val="32"/>
          <w:szCs w:val="32"/>
        </w:rPr>
        <w:t>Why the traditional business model may become obsolete: testing the evidence, economics and alternatives</w:t>
      </w:r>
    </w:p>
    <w:p w:rsidR="18845CC0" w:rsidRDefault="18845CC0" w14:noSpellErr="1" w14:paraId="3680E4ED" w14:textId="1F4D9CB2">
      <w:r w:rsidR="18845CC0">
        <w:rPr/>
        <w:t>Research cut-off: 17 September 2026 | Strategic horizons: 2030 and 2029-2036</w:t>
      </w:r>
    </w:p>
    <w:p w:rsidR="18845CC0" w:rsidRDefault="18845CC0" w14:noSpellErr="1" w14:paraId="4B09B777" w14:textId="29CF33D5">
      <w:r w:rsidR="18845CC0">
        <w:rPr/>
        <w:t>Prepared for MSP owners, Microsoft partners, technology service providers, boards, investors and advisers. Global industry analysis with implications for Australian providers.</w:t>
      </w:r>
    </w:p>
    <w:p w:rsidR="18845CC0" w:rsidRDefault="18845CC0" w14:noSpellErr="1" w14:paraId="62D7083D" w14:textId="1F4AF44B">
      <w:r w:rsidR="4A38D13C">
        <w:rPr/>
        <w:t>Evidence standard: distinguish observed results, vendor-reported capabilities, external forecasts and the report's own analytical scenarios. Financial illustrations are decision tools, not predictions of an individual business.</w:t>
      </w:r>
    </w:p>
    <w:p w:rsidR="2F5FE3E2" w:rsidP="2F5FE3E2" w:rsidRDefault="2F5FE3E2" w14:paraId="2846C0B4" w14:textId="4869B30E" w14:noSpellErr="1">
      <w:pPr>
        <w:pStyle w:val="Heading1"/>
      </w:pPr>
      <w:r w:rsidRPr="3927AF3A" w:rsidR="07CBB072">
        <w:rPr>
          <w:color w:val="17365D" w:themeColor="text2" w:themeTint="FF" w:themeShade="BF"/>
        </w:rPr>
        <w:t>1. Executive Summary</w:t>
      </w:r>
    </w:p>
    <w:p w:rsidR="52D0B105" w:rsidP="52D0B105" w:rsidRDefault="52D0B105" w14:noSpellErr="1" w14:paraId="246DFF86" w14:textId="48DC9DDA">
      <w:pPr>
        <w:pStyle w:val="Normal"/>
      </w:pPr>
      <w:r w:rsidR="52D0B105">
        <w:rPr/>
        <w:t>Managed services is likely to remain viable in 2030, but an unchanged, labour-heavy and undifferentiated operating model is becoming less defensible. The evidence rejects blanket obsolescence and supports a narrower disruption thesis: platforms absorb routine work, while providers must earn their margin through efficient delivery, customer context and accountability. Today's profitability is a resource for transformation, not proof that the current source of value will endure. This is the report's strategic judgement, not an industry failure forecast. [R01; R05; R09; R29]</w:t>
      </w:r>
    </w:p>
    <w:p w:rsidR="2F5FE3E2" w:rsidRDefault="2F5FE3E2" w14:noSpellErr="1" w14:paraId="4B0D9425" w14:textId="4F0AE0B9">
      <w:r w:rsidR="4E9A9614">
        <w:rPr/>
        <w:t>This report separates the continued need for outside technology expertise from the durability of labour-heavy support economics. The decision test is whether conventional services can sustain price realisation, retained gross profit and customer relevance as more delivery becomes automated or embedded in platforms. A successful provider should test the resilience of its economic model rather than infer safety from today's profitability.</w:t>
      </w:r>
    </w:p>
    <w:p w:rsidR="52D0B105" w:rsidRDefault="52D0B105" w14:noSpellErr="1" w14:paraId="76FC9214" w14:textId="29F6DA77">
      <w:r w:rsidR="52D0B105">
        <w:rPr/>
        <w:t>The contrary evidence is material: Service Leadership reports 9.6% MSP revenue growth and 17.1% adjusted EBITDA dollar growth in 2025. Its commercial panel is not a census. Meanwhile, ISG records Q2 2026 XaaS contract-value growth of 65%, versus 2.7% for managed services, in enterprise awards of at least USD5 million ACV. These are different populations and metrics; together they show uneven opportunities, not a measured collapse in SME managed services. [R01; R05]</w:t>
      </w:r>
    </w:p>
    <w:p w:rsidR="2F5FE3E2" w:rsidRDefault="2F5FE3E2" w14:noSpellErr="1" w14:paraId="27CD3377" w14:textId="516850FB">
      <w:r w:rsidR="2F5FE3E2">
        <w:rPr/>
        <w:t>The financial stress test starts with a successful illustrative MSP at USD5.00 million revenue and 16.5% EBITDA margin. By 2030, its bull case reaches USD6.85 million revenue and 22.2% EBITDA margin; partial transformation reaches USD5.59 million and 11.9%; the bear case falls to USD3.98 million and a 4.9% EBITDA loss margin. These are conditional calculations, not industry forecasts. Crucially, the base case grows revenue while earning less EBITDA. [M1]</w:t>
      </w:r>
    </w:p>
    <w:p w:rsidR="2F5FE3E2" w:rsidRDefault="2F5FE3E2" w14:noSpellErr="1" w14:paraId="7AE8A0C5" w14:textId="2AEC2D68">
      <w:r w:rsidR="2F5FE3E2">
        <w:rPr/>
        <w:t>The recommended response is a funded, staged transition: measure customer-level contribution, automate bounded internal work, make security accountability explicit, validate paid data and workflow offers, then scale recurring managed outcomes. Change pricing where the value proposition demands it, not merely to replace one billing unit with another. Preserve the cash-generating core while proving the economics of its replacement.</w:t>
      </w:r>
    </w:p>
    <w:p w:rsidR="2F5FE3E2" w:rsidRDefault="2F5FE3E2" w14:noSpellErr="1" w14:paraId="706336D1" w14:textId="4FDC5136">
      <w:r w:rsidR="2F5FE3E2">
        <w:rPr/>
        <w:t>The report distinguishes evidence from forecasts and author-selected scenarios throughout. Its financial model discloses inputs, formulas, transition costs, staffing equivalents and valuation sensitivities. The ten-year cohort discussion does not present a speculative percentage of provider failures as an established fact. For an investment decision, replace illustrative inputs with the target company's customer, delivery, renewal and cash-flow data.</w:t>
      </w:r>
    </w:p>
    <w:p w:rsidR="2F5FE3E2" w:rsidP="2F5FE3E2" w:rsidRDefault="2F5FE3E2" w14:paraId="276C5060" w14:textId="510A1C91" w14:noSpellErr="1">
      <w:pPr>
        <w:pStyle w:val="Heading1"/>
      </w:pPr>
      <w:r w:rsidRPr="3927AF3A" w:rsidR="0E53C9E4">
        <w:rPr>
          <w:color w:val="17365D" w:themeColor="text2" w:themeTint="FF" w:themeShade="BF"/>
        </w:rPr>
        <w:t>2. Research Methodology</w:t>
      </w:r>
    </w:p>
    <w:p w:rsidR="2F5FE3E2" w:rsidRDefault="2F5FE3E2" w14:noSpellErr="1" w14:paraId="34AF0DFA" w14:textId="4C3D70CD">
      <w:r w:rsidR="2F5FE3E2">
        <w:rPr/>
        <w:t>The report tests a proposition, not a predetermined conclusion: that a business centred on human administration, reactive tickets and undifferentiated technology maintenance will lose economic advantage as platforms and AI absorb repeatable work. It distinguishes the viability of managed services as a category from the competitiveness of a particular provider's operating model. Obsolescence means sustained inability to earn an adequate return at a competitive price, not that every customer stops buying support or every incumbent disappears.</w:t>
      </w:r>
    </w:p>
    <w:p w:rsidR="2F5FE3E2" w:rsidRDefault="2F5FE3E2" w14:noSpellErr="1" w14:paraId="3E4A348C" w14:textId="6B07A82F">
      <w:r w:rsidR="2F5FE3E2">
        <w:rPr/>
        <w:t>The population of interest is independent small and mid-sized MSPs and TSPs serving business customers, especially Microsoft-centred providers. Large outsourcers, listed resellers, cloud platforms and cybersecurity vendors are used as mechanism evidence or comparators, not as statistical proxies for an owner-operated MSP. Most quantitative sources are global or US-oriented. Dollar illustrations use nominal US dollars solely for comparability; they are neither Australian market averages nor exchange-rate forecasts.</w:t>
      </w:r>
    </w:p>
    <w:p w:rsidR="2F5FE3E2" w:rsidRDefault="2F5FE3E2" w14:noSpellErr="1" w14:paraId="4460A173" w14:textId="1A65F90B">
      <w:r w:rsidR="2F5FE3E2">
        <w:rPr/>
        <w:t>The evidence hierarchy prioritises original financial filings and official statistics, peer-reviewed empirical research, independent analyst research, then official product documentation and clearly attributed vendor or sponsored studies. An announcement establishes a supplier's stated capability or intention, not customer adoption, achieved savings or independent accuracy. Public analyst forecasts remain forecasts. A commercially sponsored profitability study is not treated as a representative population census.</w:t>
      </w:r>
    </w:p>
    <w:p w:rsidR="2F5FE3E2" w:rsidRDefault="2F5FE3E2" w14:noSpellErr="1" w14:paraId="5FAC2175" w14:textId="70519089">
      <w:r w:rsidR="2F5FE3E2">
        <w:rPr/>
        <w:t>Five labels govern interpretation: Observed means a reported historical result; Capability means a documented product function or release; Forecast means an external source's forward estimate; Inference means this report's interpretation of evidence; Scenario means an explicitly selected planning assumption. References identify original titles, publication dates where available, source sections and direct links. Living documentation is identified as such; a research cut-off does not imply access to information that could not be verified.</w:t>
      </w:r>
    </w:p>
    <w:p w:rsidR="2F5FE3E2" w:rsidP="2F5FE3E2" w:rsidRDefault="2F5FE3E2" w14:paraId="77A3B161" w14:textId="761E4EC0" w14:noSpellErr="1">
      <w:pPr>
        <w:pStyle w:val="Heading2"/>
      </w:pPr>
      <w:r w:rsidRPr="3927AF3A" w:rsidR="0E53C9E4">
        <w:rPr>
          <w:color w:val="006D77"/>
        </w:rPr>
        <w:t>Limits and safeguards</w:t>
      </w:r>
    </w:p>
    <w:p w:rsidR="2F5FE3E2" w:rsidRDefault="2F5FE3E2" w14:noSpellErr="1" w14:paraId="714D4B55" w14:textId="3852F026">
      <w:r w:rsidR="2F5FE3E2">
        <w:rPr/>
        <w:t>This is a structured public-source research synthesis, not a new survey, a systematic meta-analysis or a probability model of provider failure. Paywalled underlying studies are not represented as fully inspected. Where only an original public release is available, conclusions are restricted to the disclosed metric and methodology. No inference of causation is made from one quarter's margins, stock-price movement, layoffs, or an individual company's restructuring.</w:t>
      </w:r>
    </w:p>
    <w:p w:rsidR="2F5FE3E2" w:rsidRDefault="2F5FE3E2" w14:noSpellErr="1" w14:paraId="34462B5C" w14:textId="63687195">
      <w:r w:rsidR="4E9A9614">
        <w:rPr/>
        <w:t>Accounting is kept explicit. Service gross margin deducts direct delivery costs; EBITDA also deducts operating overhead but excludes interest, tax, depreciation and amortisation. Adjusted EBITDA reported by a benchmark may include owner-pay or other normalisations not reproduced here. Gross versus net licence accounting can radically alter revenue per employee and reported margin percentages without changing gross profit. Comparators with different recognition policies are not combined into a synthetic industry average.</w:t>
      </w:r>
    </w:p>
    <w:p w:rsidR="52D0B105" w:rsidP="52D0B105" w:rsidRDefault="52D0B105" w14:noSpellErr="1" w14:paraId="67ED7798" w14:textId="7C21904E">
      <w:pPr>
        <w:pStyle w:val="Normal"/>
      </w:pPr>
      <w:r w:rsidR="52D0B105">
        <w:rPr/>
        <w:t>Accounting comparability is illustrated by the benchmark's adjusted-profit measures and the public financial disclosures discussed in Section 6; the report does not combine them into a peer average. [R01; R21; R45; M1]</w:t>
      </w:r>
    </w:p>
    <w:p w:rsidR="2F5FE3E2" w:rsidRDefault="2F5FE3E2" w14:noSpellErr="1" w14:paraId="443486E9" w14:textId="3CAF71CB">
      <w:r w:rsidR="2F5FE3E2">
        <w:rPr/>
        <w:t>Financial results are calculated from disclosed inputs and equations, not extrapolated from a vendor productivity claim. The bull, base and bear cases intentionally combine different market and execution conditions and are not assigned probabilities. An isolated price-versus-labour sensitivity holds other variables constant to expose the mechanism. No empirical percentage of MSPs that will fail by 2036 is asserted; a separately labelled cohort-planning allocation shows the consequences of different assumptions.</w:t>
      </w:r>
    </w:p>
    <w:p w:rsidR="2F5FE3E2" w:rsidRDefault="2F5FE3E2" w14:noSpellErr="1" w14:paraId="3AD6787B" w14:textId="606B3F3F">
      <w:r w:rsidR="4E9A9614">
        <w:rPr/>
        <w:t>The strongest evidence of disruption would be declining like-for-like prices, paid support demand or retained gross profit alongside proven platform substitution. The strongest evidence against it would be durable real price increases, rising retained gross profit and renewal strength at conventional providers without major service redesign. Both sets of indicators must be tracked. Growth in aggregate technology spending is not evidence that every service layer, or every provider, captures that growth.</w:t>
      </w:r>
    </w:p>
    <w:p w:rsidR="52D0B105" w:rsidP="52D0B105" w:rsidRDefault="52D0B105" w14:paraId="7B7F3694" w14:textId="4AFBFEE3" w14:noSpellErr="1">
      <w:pPr>
        <w:pStyle w:val="Heading1"/>
      </w:pPr>
      <w:r w:rsidRPr="3927AF3A" w:rsidR="7D25B37D">
        <w:rPr>
          <w:color w:val="17365D" w:themeColor="text2" w:themeTint="FF" w:themeShade="BF"/>
        </w:rPr>
        <w:t>3. Key Findings</w:t>
      </w:r>
    </w:p>
    <w:p w:rsidR="52D0B105" w:rsidRDefault="52D0B105" w14:noSpellErr="1" w14:paraId="1FF03D54" w14:textId="7DEC3D49">
      <w:r w:rsidR="52D0B105">
        <w:rPr/>
        <w:t>The strong thesis is not supported: managed services as a category is not demonstrably becoming uneconomic everywhere. Service Leadership reports 2025 MSP revenue growth of 9.6% and adjusted EBITDA dollar growth of 17.1%; its best-in-class TSPs sustained at least 19% adjusted EBITDA. These commercial-panel findings are evidence against an industry already in collapse, not assurance that an unchanged conventional provider will remain competitive. [R01]</w:t>
      </w:r>
    </w:p>
    <w:p w:rsidR="52D0B105" w:rsidRDefault="52D0B105" w14:noSpellErr="1" w14:paraId="360D379D" w14:textId="3B9C05DF">
      <w:r w:rsidR="52D0B105">
        <w:rPr/>
        <w:t>The narrower thesis is supported: repeatable administration and labour-based delivery face credible substitution. ISG's Q2 2026 enterprise contract data show XaaS ACV growth of 65% against 2.7% for managed services. This is evidence of uneven growth, not a measurement of SME MSP revenue displacement; large AI-compute purchases materially influence the cloud result. The strategic inference is that growth in technology expenditure can bypass the particular work an incumbent sells. [R05]</w:t>
      </w:r>
    </w:p>
    <w:p w:rsidR="52D0B105" w:rsidRDefault="52D0B105" w14:noSpellErr="1" w14:paraId="120177AB" w14:textId="41D597B0">
      <w:r w:rsidR="52D0B105">
        <w:rPr/>
        <w:t>AI creates a cost opportunity and a pricing threat simultaneously. The published customer-support study reports a 15% productivity gain across 5,172 agents, with heterogeneous effects. Its result is task-level assistance in one firm, not autonomous replacement of a multi-tenant service desk. A provider captures value only if quality holds, released capacity has economic use, and customers do not demand a greater price concession than the cost saving. [R15; M1]</w:t>
      </w:r>
    </w:p>
    <w:p w:rsidR="52D0B105" w:rsidRDefault="52D0B105" w14:noSpellErr="1" w14:paraId="7F460B4E" w14:textId="125AEBF3">
      <w:r w:rsidR="52D0B105">
        <w:rPr/>
        <w:t>Microsoft is both enabling partners and absorbing parts of their offer. Security Copilot inclusion removes separate platform billing for eligible customers, while Agent 365 explicitly supports partner-led managed operations. These facts favour services built around accountable configuration, governance and improvement rather than access to a feature or manual provisioning. They do not demonstrate that Microsoft intends to eliminate its partner ecosystem. [R09; R29]</w:t>
      </w:r>
    </w:p>
    <w:p w:rsidR="52D0B105" w:rsidRDefault="52D0B105" w14:noSpellErr="1" w14:paraId="5D7EF6B2" w14:textId="48C62BA3">
      <w:r w:rsidR="77FD32DA">
        <w:rPr/>
        <w:t>The likely outcome is divergence, not a single industry fate. Conventional providers with repeatable delivery, trusted relationships and disciplined pricing can remain profitable; weakly differentiated firms can lose contribution before losing revenue. Security, data and managed automation are credible directions, but no retrieved evidence establishes a ten-year security-provider outperformance premium or a reliable percentage of MSP closures. The report's scenarios therefore remain conditional and explicitly judgemental. [R01; R34; R54; M1]</w:t>
      </w:r>
    </w:p>
    <w:p w:rsidR="6A65EC4E" w:rsidP="6A65EC4E" w:rsidRDefault="6A65EC4E" w14:paraId="5F3D88A2" w14:textId="16440030" w14:noSpellErr="1">
      <w:pPr>
        <w:pStyle w:val="Heading1"/>
      </w:pPr>
      <w:r w:rsidRPr="3927AF3A" w:rsidR="3794A404">
        <w:rPr>
          <w:color w:val="17365D" w:themeColor="text2" w:themeTint="FF" w:themeShade="BF"/>
        </w:rPr>
        <w:t>4. Evidence and Source Citations</w:t>
      </w:r>
    </w:p>
    <w:p w:rsidR="6A65EC4E" w:rsidRDefault="6A65EC4E" w14:noSpellErr="1" w14:paraId="6ECF8BB4" w14:textId="46BF46E9">
      <w:r w:rsidR="6A65EC4E">
        <w:rPr/>
        <w:t>The evidence register below isolates the observations that carry the argument. It should be read before the scenarios: the populations, periods and accounting measures differ. Source codes link each finding to the complete original-source references in Section 14. No blended industry average has been calculated from these heterogeneous datasets.</w:t>
      </w:r>
    </w:p>
    <w:tbl>
      <w:tblPr>
        <w:tblStyle w:val="TableGrid"/>
        <w:tblW w:w="0" w:type="auto"/>
        <w:tblLook w:val="0000" w:firstRow="0" w:lastRow="0" w:firstColumn="0" w:lastColumn="0" w:noHBand="0" w:noVBand="0"/>
      </w:tblPr>
      <w:tblGrid>
        <w:gridCol w:w="2200"/>
        <w:gridCol w:w="2100"/>
        <w:gridCol w:w="2350"/>
        <w:gridCol w:w="2376"/>
      </w:tblGrid>
      <w:tr w:rsidR="6A65EC4E" w:rsidTr="3927AF3A" w14:paraId="481E7839">
        <w:trPr>
          <w:tblHeader/>
        </w:trPr>
        <w:tc>
          <w:tcPr>
            <w:tcW w:w="2200" w:type="dxa"/>
            <w:tcMar/>
          </w:tcPr>
          <w:p w:rsidR="6A65EC4E" w:rsidRDefault="6A65EC4E" w14:paraId="67689889" w14:textId="531E8D9F" w14:noSpellErr="1">
            <w:r w:rsidRPr="3927AF3A" w:rsidR="3794A404">
              <w:rPr>
                <w:b w:val="1"/>
                <w:bCs w:val="1"/>
              </w:rPr>
              <w:t>Evidence / period</w:t>
            </w:r>
          </w:p>
        </w:tc>
        <w:tc>
          <w:tcPr>
            <w:tcW w:w="2100" w:type="dxa"/>
            <w:tcMar/>
          </w:tcPr>
          <w:p w:rsidR="6A65EC4E" w:rsidRDefault="6A65EC4E" w14:paraId="41F7035F" w14:textId="4BFC7463" w14:noSpellErr="1">
            <w:r w:rsidRPr="3927AF3A" w:rsidR="3794A404">
              <w:rPr>
                <w:b w:val="1"/>
                <w:bCs w:val="1"/>
              </w:rPr>
              <w:t>Reported result</w:t>
            </w:r>
          </w:p>
        </w:tc>
        <w:tc>
          <w:tcPr>
            <w:tcW w:w="2350" w:type="dxa"/>
            <w:tcMar/>
          </w:tcPr>
          <w:p w:rsidR="6A65EC4E" w:rsidRDefault="6A65EC4E" w14:paraId="4EF852C0" w14:textId="44DA5B27" w14:noSpellErr="1">
            <w:r w:rsidRPr="3927AF3A" w:rsidR="3794A404">
              <w:rPr>
                <w:b w:val="1"/>
                <w:bCs w:val="1"/>
              </w:rPr>
              <w:t>Interpretation</w:t>
            </w:r>
          </w:p>
        </w:tc>
        <w:tc>
          <w:tcPr>
            <w:tcW w:w="2376" w:type="dxa"/>
            <w:tcMar/>
          </w:tcPr>
          <w:p w:rsidR="6A65EC4E" w:rsidRDefault="6A65EC4E" w14:noSpellErr="1" w14:paraId="39CD4A41" w14:textId="3DB841EB">
            <w:r w:rsidR="6A65EC4E">
              <w:rPr/>
              <w:t>Boundary</w:t>
            </w:r>
          </w:p>
        </w:tc>
      </w:tr>
      <w:tr w:rsidR="6A65EC4E" w:rsidTr="3927AF3A" w14:paraId="7A46FAD1">
        <w:tc>
          <w:tcPr>
            <w:tcW w:w="2200" w:type="dxa"/>
            <w:tcMar/>
          </w:tcPr>
          <w:p w:rsidR="6A65EC4E" w:rsidRDefault="6A65EC4E" w14:noSpellErr="1" w14:paraId="48FE8157" w14:textId="54CDA260">
            <w:r w:rsidR="6A65EC4E">
              <w:rPr/>
              <w:t>MSP benchmark, CY2025 [R01]</w:t>
            </w:r>
          </w:p>
        </w:tc>
        <w:tc>
          <w:tcPr>
            <w:tcW w:w="2100" w:type="dxa"/>
            <w:tcMar/>
          </w:tcPr>
          <w:p w:rsidR="6A65EC4E" w:rsidRDefault="6A65EC4E" w14:noSpellErr="1" w14:paraId="2998D302" w14:textId="4DAB8924">
            <w:r w:rsidR="6A65EC4E">
              <w:rPr/>
              <w:t>Revenue +9.6%; adjusted EBITDA dollars +17.1%</w:t>
            </w:r>
          </w:p>
        </w:tc>
        <w:tc>
          <w:tcPr>
            <w:tcW w:w="2350" w:type="dxa"/>
            <w:tcMar/>
          </w:tcPr>
          <w:p w:rsidR="6A65EC4E" w:rsidRDefault="6A65EC4E" w14:noSpellErr="1" w14:paraId="29D9E437" w14:textId="46896FE8">
            <w:r w:rsidR="6A65EC4E">
              <w:rPr/>
              <w:t>Survival and growth remain possible</w:t>
            </w:r>
          </w:p>
        </w:tc>
        <w:tc>
          <w:tcPr>
            <w:tcW w:w="2376" w:type="dxa"/>
            <w:tcMar/>
          </w:tcPr>
          <w:p w:rsidR="6A65EC4E" w:rsidRDefault="6A65EC4E" w14:noSpellErr="1" w14:paraId="5D2A1E51" w14:textId="3F6756AC">
            <w:r w:rsidR="6A65EC4E">
              <w:rPr/>
              <w:t>Commercial panel, not census</w:t>
            </w:r>
          </w:p>
        </w:tc>
      </w:tr>
      <w:tr w:rsidR="6A65EC4E" w:rsidTr="3927AF3A" w14:paraId="7C10C344">
        <w:tc>
          <w:tcPr>
            <w:tcW w:w="2200" w:type="dxa"/>
            <w:tcMar/>
          </w:tcPr>
          <w:p w:rsidR="6A65EC4E" w:rsidRDefault="6A65EC4E" w14:noSpellErr="1" w14:paraId="360F5492" w14:textId="567CB721">
            <w:r w:rsidR="6A65EC4E">
              <w:rPr/>
              <w:t>MSP benchmark, Q4 2024 [R02]</w:t>
            </w:r>
          </w:p>
        </w:tc>
        <w:tc>
          <w:tcPr>
            <w:tcW w:w="2100" w:type="dxa"/>
            <w:tcMar/>
          </w:tcPr>
          <w:p w:rsidR="6A65EC4E" w:rsidRDefault="6A65EC4E" w14:noSpellErr="1" w14:paraId="3FA0CE57" w14:textId="4F5A9DE5">
            <w:r w:rsidR="6A65EC4E">
              <w:rPr/>
              <w:t>Average adjusted EBITDA 11.1%; 18% loss-making</w:t>
            </w:r>
          </w:p>
        </w:tc>
        <w:tc>
          <w:tcPr>
            <w:tcW w:w="2350" w:type="dxa"/>
            <w:tcMar/>
          </w:tcPr>
          <w:p w:rsidR="6A65EC4E" w:rsidRDefault="6A65EC4E" w14:noSpellErr="1" w14:paraId="280FFBCB" w14:textId="483884A9">
            <w:r w:rsidR="6A65EC4E">
              <w:rPr/>
              <w:t>Material variation below the leaders</w:t>
            </w:r>
          </w:p>
        </w:tc>
        <w:tc>
          <w:tcPr>
            <w:tcW w:w="2376" w:type="dxa"/>
            <w:tcMar/>
          </w:tcPr>
          <w:p w:rsidR="6A65EC4E" w:rsidRDefault="6A65EC4E" w14:noSpellErr="1" w14:paraId="6D72072D" w14:textId="41166B6D">
            <w:r w:rsidR="6A65EC4E">
              <w:rPr/>
              <w:t>Older quarter; no updated public average found</w:t>
            </w:r>
          </w:p>
        </w:tc>
      </w:tr>
      <w:tr w:rsidR="6A65EC4E" w:rsidTr="3927AF3A" w14:paraId="1C1DE4AB">
        <w:tc>
          <w:tcPr>
            <w:tcW w:w="2200" w:type="dxa"/>
            <w:tcMar/>
          </w:tcPr>
          <w:p w:rsidR="6A65EC4E" w:rsidRDefault="6A65EC4E" w14:noSpellErr="1" w14:paraId="1BFBAB9C" w14:textId="582BCBE2">
            <w:r w:rsidR="6A65EC4E">
              <w:rPr/>
              <w:t>ISG, Q2 2026 [R05]</w:t>
            </w:r>
          </w:p>
        </w:tc>
        <w:tc>
          <w:tcPr>
            <w:tcW w:w="2100" w:type="dxa"/>
            <w:tcMar/>
          </w:tcPr>
          <w:p w:rsidR="6A65EC4E" w:rsidRDefault="6A65EC4E" w14:noSpellErr="1" w14:paraId="38814DD8" w14:textId="5109B2A6">
            <w:r w:rsidR="6A65EC4E">
              <w:rPr/>
              <w:t>XaaS ACV +65%; managed services +2.7%</w:t>
            </w:r>
          </w:p>
        </w:tc>
        <w:tc>
          <w:tcPr>
            <w:tcW w:w="2350" w:type="dxa"/>
            <w:tcMar/>
          </w:tcPr>
          <w:p w:rsidR="6A65EC4E" w:rsidRDefault="6A65EC4E" w14:noSpellErr="1" w14:paraId="459FD83B" w14:textId="49E7996A">
            <w:r w:rsidR="6A65EC4E">
              <w:rPr/>
              <w:t>Value-growth opportunities are uneven</w:t>
            </w:r>
          </w:p>
        </w:tc>
        <w:tc>
          <w:tcPr>
            <w:tcW w:w="2376" w:type="dxa"/>
            <w:tcMar/>
          </w:tcPr>
          <w:p w:rsidR="6A65EC4E" w:rsidRDefault="6A65EC4E" w14:noSpellErr="1" w14:paraId="7C4784EE" w14:textId="42C5802E">
            <w:r w:rsidR="6A65EC4E">
              <w:rPr/>
              <w:t>Awards &gt;=USD5m ACV; not SME revenue</w:t>
            </w:r>
          </w:p>
        </w:tc>
      </w:tr>
      <w:tr w:rsidR="6A65EC4E" w:rsidTr="3927AF3A" w14:paraId="16BD8730">
        <w:tc>
          <w:tcPr>
            <w:tcW w:w="2200" w:type="dxa"/>
            <w:tcMar/>
          </w:tcPr>
          <w:p w:rsidR="6A65EC4E" w:rsidRDefault="6A65EC4E" w14:noSpellErr="1" w14:paraId="17D5695C" w14:textId="59DAE0A3">
            <w:r w:rsidR="6A65EC4E">
              <w:rPr/>
              <w:t>Gartner, 2026 forecast [R06]</w:t>
            </w:r>
          </w:p>
        </w:tc>
        <w:tc>
          <w:tcPr>
            <w:tcW w:w="2100" w:type="dxa"/>
            <w:tcMar/>
          </w:tcPr>
          <w:p w:rsidR="6A65EC4E" w:rsidRDefault="6A65EC4E" w14:noSpellErr="1" w14:paraId="50FA19C8" w14:textId="52B8C767">
            <w:r w:rsidR="6A65EC4E">
              <w:rPr/>
              <w:t>Services +5.3%; software +15.5%; IaaS +29.3%</w:t>
            </w:r>
          </w:p>
        </w:tc>
        <w:tc>
          <w:tcPr>
            <w:tcW w:w="2350" w:type="dxa"/>
            <w:tcMar/>
          </w:tcPr>
          <w:p w:rsidR="6A65EC4E" w:rsidRDefault="6A65EC4E" w14:noSpellErr="1" w14:paraId="34BEDC8B" w14:textId="4B96AE2B">
            <w:r w:rsidR="6A65EC4E">
              <w:rPr/>
              <w:t>Technology growth is not uniform</w:t>
            </w:r>
          </w:p>
        </w:tc>
        <w:tc>
          <w:tcPr>
            <w:tcW w:w="2376" w:type="dxa"/>
            <w:tcMar/>
          </w:tcPr>
          <w:p w:rsidR="6A65EC4E" w:rsidRDefault="6A65EC4E" w14:noSpellErr="1" w14:paraId="5667D655" w14:textId="447494EF">
            <w:r w:rsidR="6A65EC4E">
              <w:rPr/>
              <w:t>Forecast; broad markets</w:t>
            </w:r>
          </w:p>
        </w:tc>
      </w:tr>
      <w:tr w:rsidR="6A65EC4E" w:rsidTr="3927AF3A" w14:paraId="1935CEFC">
        <w:tc>
          <w:tcPr>
            <w:tcW w:w="2200" w:type="dxa"/>
            <w:tcMar/>
          </w:tcPr>
          <w:p w:rsidR="6A65EC4E" w:rsidRDefault="6A65EC4E" w14:noSpellErr="1" w14:paraId="358E01F2" w14:textId="5B89F564">
            <w:r w:rsidR="6A65EC4E">
              <w:rPr/>
              <w:t>QJE customer-support study [R15]</w:t>
            </w:r>
          </w:p>
        </w:tc>
        <w:tc>
          <w:tcPr>
            <w:tcW w:w="2100" w:type="dxa"/>
            <w:tcMar/>
          </w:tcPr>
          <w:p w:rsidR="6A65EC4E" w:rsidRDefault="6A65EC4E" w14:noSpellErr="1" w14:paraId="17FBD871" w14:textId="5467DC28">
            <w:r w:rsidR="6A65EC4E">
              <w:rPr/>
              <w:t>15% more resolutions/hour; 5,172 agents</w:t>
            </w:r>
          </w:p>
        </w:tc>
        <w:tc>
          <w:tcPr>
            <w:tcW w:w="2350" w:type="dxa"/>
            <w:tcMar/>
          </w:tcPr>
          <w:p w:rsidR="6A65EC4E" w:rsidRDefault="6A65EC4E" w14:noSpellErr="1" w14:paraId="7371CF3B" w14:textId="4D45C2EC">
            <w:r w:rsidR="6A65EC4E">
              <w:rPr/>
              <w:t>Assistance can alter delivery cost</w:t>
            </w:r>
          </w:p>
        </w:tc>
        <w:tc>
          <w:tcPr>
            <w:tcW w:w="2376" w:type="dxa"/>
            <w:tcMar/>
          </w:tcPr>
          <w:p w:rsidR="6A65EC4E" w:rsidRDefault="6A65EC4E" w14:noSpellErr="1" w14:paraId="18798140" w14:textId="4623A9B0">
            <w:r w:rsidR="6A65EC4E">
              <w:rPr/>
              <w:t>One firm; not autonomous staffing replacement</w:t>
            </w:r>
          </w:p>
        </w:tc>
      </w:tr>
      <w:tr w:rsidR="6A65EC4E" w:rsidTr="3927AF3A" w14:paraId="244D5258">
        <w:tc>
          <w:tcPr>
            <w:tcW w:w="2200" w:type="dxa"/>
            <w:tcMar/>
          </w:tcPr>
          <w:p w:rsidR="6A65EC4E" w:rsidRDefault="6A65EC4E" w14:noSpellErr="1" w14:paraId="2236677D" w14:textId="5D390A25">
            <w:r w:rsidR="6A65EC4E">
              <w:rPr/>
              <w:t>Deloitte survey, Jun-Jul 2025 [R50]</w:t>
            </w:r>
          </w:p>
        </w:tc>
        <w:tc>
          <w:tcPr>
            <w:tcW w:w="2100" w:type="dxa"/>
            <w:tcMar/>
          </w:tcPr>
          <w:p w:rsidR="6A65EC4E" w:rsidRDefault="6A65EC4E" w14:noSpellErr="1" w14:paraId="5155E477" w14:textId="5616F0E9">
            <w:r w:rsidR="6A65EC4E">
              <w:rPr/>
              <w:t>11% had agents in production</w:t>
            </w:r>
          </w:p>
        </w:tc>
        <w:tc>
          <w:tcPr>
            <w:tcW w:w="2350" w:type="dxa"/>
            <w:tcMar/>
          </w:tcPr>
          <w:p w:rsidR="6A65EC4E" w:rsidRDefault="6A65EC4E" w14:noSpellErr="1" w14:paraId="73AD5822" w14:textId="4EF4D7AD">
            <w:r w:rsidR="6A65EC4E">
              <w:rPr/>
              <w:t>Capability is ahead of widespread deployment</w:t>
            </w:r>
          </w:p>
        </w:tc>
        <w:tc>
          <w:tcPr>
            <w:tcW w:w="2376" w:type="dxa"/>
            <w:tcMar/>
          </w:tcPr>
          <w:p w:rsidR="6A65EC4E" w:rsidRDefault="6A65EC4E" w14:noSpellErr="1" w14:paraId="19135B33" w14:textId="47D2BE71">
            <w:r w:rsidR="6A65EC4E">
              <w:rPr/>
              <w:t>500 US technology leaders; historical survey</w:t>
            </w:r>
          </w:p>
        </w:tc>
      </w:tr>
      <w:tr w:rsidR="6A65EC4E" w:rsidTr="3927AF3A" w14:paraId="1996D787">
        <w:tc>
          <w:tcPr>
            <w:tcW w:w="2200" w:type="dxa"/>
            <w:tcMar/>
          </w:tcPr>
          <w:p w:rsidR="6A65EC4E" w:rsidRDefault="6A65EC4E" w14:noSpellErr="1" w14:paraId="51C1D7B4" w14:textId="5EE81EE6">
            <w:r w:rsidR="6A65EC4E">
              <w:rPr/>
              <w:t>Gartner agentic forecast [R31]</w:t>
            </w:r>
          </w:p>
        </w:tc>
        <w:tc>
          <w:tcPr>
            <w:tcW w:w="2100" w:type="dxa"/>
            <w:tcMar/>
          </w:tcPr>
          <w:p w:rsidR="6A65EC4E" w:rsidRDefault="6A65EC4E" w14:noSpellErr="1" w14:paraId="218D5932" w14:textId="57C605AA">
            <w:r w:rsidR="6A65EC4E">
              <w:rPr/>
              <w:t>Over 40% of projects cancelled by end-2027</w:t>
            </w:r>
          </w:p>
        </w:tc>
        <w:tc>
          <w:tcPr>
            <w:tcW w:w="2350" w:type="dxa"/>
            <w:tcMar/>
          </w:tcPr>
          <w:p w:rsidR="6A65EC4E" w:rsidRDefault="6A65EC4E" w14:noSpellErr="1" w14:paraId="3FA1E9D3" w14:textId="50A3EC6E">
            <w:r w:rsidR="6A65EC4E">
              <w:rPr/>
              <w:t>Economics and controls can block deployment</w:t>
            </w:r>
          </w:p>
        </w:tc>
        <w:tc>
          <w:tcPr>
            <w:tcW w:w="2376" w:type="dxa"/>
            <w:tcMar/>
          </w:tcPr>
          <w:p w:rsidR="6A65EC4E" w:rsidRDefault="6A65EC4E" w14:noSpellErr="1" w14:paraId="15D0E10B" w14:textId="4981D332">
            <w:r w:rsidR="6A65EC4E">
              <w:rPr/>
              <w:t>Prediction about projects, not MSP firms</w:t>
            </w:r>
          </w:p>
        </w:tc>
      </w:tr>
      <w:tr w:rsidR="6A65EC4E" w:rsidTr="3927AF3A" w14:paraId="52CE701F">
        <w:tc>
          <w:tcPr>
            <w:tcW w:w="2200" w:type="dxa"/>
            <w:tcMar/>
          </w:tcPr>
          <w:p w:rsidR="6A65EC4E" w:rsidRDefault="6A65EC4E" w14:noSpellErr="1" w14:paraId="560297FD" w14:textId="609733A7">
            <w:r w:rsidR="6A65EC4E">
              <w:rPr/>
              <w:t>Gartner security forecast, Feb 2026 [R68]</w:t>
            </w:r>
          </w:p>
        </w:tc>
        <w:tc>
          <w:tcPr>
            <w:tcW w:w="2100" w:type="dxa"/>
            <w:tcMar/>
          </w:tcPr>
          <w:p w:rsidR="6A65EC4E" w:rsidRDefault="6A65EC4E" w14:noSpellErr="1" w14:paraId="3BD955EF" w14:textId="59751A6B">
            <w:r w:rsidR="6A65EC4E">
              <w:rPr/>
              <w:t>USD244bn spending; +11.6% constant currency</w:t>
            </w:r>
          </w:p>
        </w:tc>
        <w:tc>
          <w:tcPr>
            <w:tcW w:w="2350" w:type="dxa"/>
            <w:tcMar/>
          </w:tcPr>
          <w:p w:rsidR="6A65EC4E" w:rsidRDefault="6A65EC4E" w14:noSpellErr="1" w14:paraId="25724A7C" w14:textId="5253012F">
            <w:r w:rsidR="6A65EC4E">
              <w:rPr/>
              <w:t>Security demand offers an adjacency</w:t>
            </w:r>
          </w:p>
        </w:tc>
        <w:tc>
          <w:tcPr>
            <w:tcW w:w="2376" w:type="dxa"/>
            <w:tcMar/>
          </w:tcPr>
          <w:p w:rsidR="6A65EC4E" w:rsidRDefault="6A65EC4E" w14:noSpellErr="1" w14:paraId="526846A7" w14:textId="4B30E7F3">
            <w:r w:rsidR="6A65EC4E">
              <w:rPr/>
              <w:t>Public abstract; all information security</w:t>
            </w:r>
          </w:p>
        </w:tc>
      </w:tr>
    </w:tbl>
    <w:p w:rsidR="6A65EC4E" w:rsidRDefault="6A65EC4E" w14:noSpellErr="1" w14:paraId="7DFBB854" w14:textId="2021172C">
      <w:r w:rsidR="6A65EC4E">
        <w:rPr/>
        <w:t>Three common claims are deliberately excluded: a universal current CSP margin, a representative private-MSP valuation multiple, and an empirically supported percentage of providers that will fail. Public sources reviewed do not establish them. The report also excludes secondary-only channel-share estimates and a widely repeated AI-pilot failure headline that could not be verified against a stable original publication. Lack of verified evidence is not filled with a more dramatic number.</w:t>
      </w:r>
    </w:p>
    <w:p w:rsidR="6A65EC4E" w:rsidRDefault="6A65EC4E" w14:noSpellErr="1" w14:paraId="47B082F7" w14:textId="1076594C">
      <w:r w:rsidR="6A65EC4E">
        <w:rPr/>
        <w:t>The research weights independent realised outcomes above vendor demonstrations. Product pages substantiate availability, entitlement and stated scope; they do not substantiate customer savings. Where external forecasts or sponsored surveys are used, their status is visible beside the claim. Source dates matter: the older quarterly profitability average and deployment survey are not relabelled as 2026 observations. [R02; R31; R48; R50]</w:t>
      </w:r>
    </w:p>
    <w:p w:rsidR="6A65EC4E" w:rsidP="6A65EC4E" w:rsidRDefault="6A65EC4E" w14:paraId="65E925B5" w14:textId="69A9BE5A" w14:noSpellErr="1">
      <w:pPr>
        <w:pStyle w:val="Caption"/>
      </w:pPr>
      <w:r w:rsidRPr="3927AF3A" w:rsidR="3794A404">
        <w:rPr>
          <w:color w:val="444444"/>
        </w:rPr>
        <w:t>Figure 1. Observed enterprise contract growth, not an SME MSP revenue forecast</w:t>
      </w:r>
    </w:p>
    <w:p w:rsidR="6A65EC4E" w:rsidRDefault="6A65EC4E" w14:noSpellErr="1" w14:paraId="637FD9A2" w14:textId="46CFBC38">
      <w:r w:rsidR="6A65EC4E">
        <w:drawing>
          <wp:inline wp14:editId="74B092ED" wp14:anchorId="55CC4F82">
            <wp:extent cx="5550000" cy="3102076"/>
            <wp:effectExtent l="0" t="0" r="0" b="0"/>
            <wp:docPr id="420205953" name="drawing" descr="ISG Q2 2026 annual contract-value growth: cloud XaaS 65%, managed services 2.7%, BPO 34%, IT outsourcing minus 3%, engineering and R&amp;D minus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0205953" name="Picture 420205953"/>
                    <pic:cNvPicPr/>
                  </pic:nvPicPr>
                  <pic:blipFill>
                    <a:blip xmlns:r="http://schemas.openxmlformats.org/officeDocument/2006/relationships" r:embed="rId2012325885"/>
                    <a:stretch>
                      <a:fillRect/>
                    </a:stretch>
                  </pic:blipFill>
                  <pic:spPr>
                    <a:xfrm>
                      <a:off x="0" y="0"/>
                      <a:ext cx="5550000" cy="3102076"/>
                    </a:xfrm>
                    <a:prstGeom prst="rect">
                      <a:avLst/>
                    </a:prstGeom>
                  </pic:spPr>
                </pic:pic>
              </a:graphicData>
            </a:graphic>
          </wp:inline>
        </w:drawing>
      </w:r>
    </w:p>
    <w:p w:rsidR="6A65EC4E" w:rsidP="6A65EC4E" w:rsidRDefault="6A65EC4E" w14:paraId="4DF8B11A" w14:textId="5BA68980" w14:noSpellErr="1">
      <w:pPr>
        <w:pStyle w:val="Caption"/>
      </w:pPr>
      <w:r w:rsidRPr="3927AF3A" w:rsidR="3794A404">
        <w:rPr>
          <w:color w:val="444444"/>
        </w:rPr>
        <w:t>Source: ISG Index, Second-Quarter Results by Segment, 9 July 2026. Commercial awards with ACV of at least USD5 million; ACV is not recognised revenue. BPO, IT outsourcing and engineering/R&amp;D are components of managed services, not additional markets to sum. Frontier-model compute buyers materially influence XaaS growth. [R05]</w:t>
      </w:r>
    </w:p>
    <w:p w:rsidR="6A65EC4E" w:rsidP="6A65EC4E" w:rsidRDefault="6A65EC4E" w14:paraId="72A22AAF" w14:textId="1037B24D" w14:noSpellErr="1">
      <w:pPr>
        <w:pStyle w:val="Heading1"/>
      </w:pPr>
      <w:r w:rsidRPr="3927AF3A" w:rsidR="3794A404">
        <w:rPr>
          <w:color w:val="17365D" w:themeColor="text2" w:themeTint="FF" w:themeShade="BF"/>
        </w:rPr>
        <w:t>5. Market Analysis</w:t>
      </w:r>
    </w:p>
    <w:p w:rsidR="6A65EC4E" w:rsidP="6A65EC4E" w:rsidRDefault="6A65EC4E" w14:paraId="54AB4B34" w14:textId="5362A76C" w14:noSpellErr="1">
      <w:pPr>
        <w:pStyle w:val="Heading2"/>
      </w:pPr>
      <w:r w:rsidRPr="3927AF3A" w:rsidR="3794A404">
        <w:rPr>
          <w:color w:val="006D77"/>
        </w:rPr>
        <w:t>5.1 Is the traditional model fundamentally broken?</w:t>
      </w:r>
    </w:p>
    <w:p w:rsidR="6A65EC4E" w:rsidRDefault="6A65EC4E" w14:noSpellErr="1" w14:paraId="399CD909" w14:textId="6606F28C">
      <w:r w:rsidR="6A65EC4E">
        <w:rPr/>
        <w:t>No single pricing unit proves a business model obsolete. Per-user and per-device charges can recover a predictable bundle of access, risk and service capacity. Fixed-fee managed support already rewards prevention when a provider keeps the efficiency gain. The vulnerability arises when the offer is interchangeable, delivery effort remains high, and the customer can obtain similar functionality from the platform or another provider. This is an economic interpretation of the substitution evidence, not a claim that seat-based contracts have disappeared. [R09; R13; R65; M1]</w:t>
      </w:r>
    </w:p>
    <w:tbl>
      <w:tblPr>
        <w:tblStyle w:val="TableGrid"/>
        <w:tblW w:w="0" w:type="auto"/>
        <w:tblLook w:val="0000" w:firstRow="0" w:lastRow="0" w:firstColumn="0" w:lastColumn="0" w:noHBand="0" w:noVBand="0"/>
      </w:tblPr>
      <w:tblGrid>
        <w:gridCol w:w="2400"/>
        <w:gridCol w:w="3150"/>
        <w:gridCol w:w="3476"/>
      </w:tblGrid>
      <w:tr w:rsidR="6A65EC4E" w:rsidTr="3927AF3A" w14:paraId="3481B0E5">
        <w:trPr>
          <w:tblHeader/>
        </w:trPr>
        <w:tc>
          <w:tcPr>
            <w:tcW w:w="2400" w:type="dxa"/>
            <w:tcMar/>
          </w:tcPr>
          <w:p w:rsidR="6A65EC4E" w:rsidRDefault="6A65EC4E" w14:paraId="7281A326" w14:textId="4E8F1175" w14:noSpellErr="1">
            <w:r w:rsidRPr="3927AF3A" w:rsidR="3794A404">
              <w:rPr>
                <w:b w:val="1"/>
                <w:bCs w:val="1"/>
              </w:rPr>
              <w:t>Conventional offer</w:t>
            </w:r>
          </w:p>
        </w:tc>
        <w:tc>
          <w:tcPr>
            <w:tcW w:w="3150" w:type="dxa"/>
            <w:tcMar/>
          </w:tcPr>
          <w:p w:rsidR="6A65EC4E" w:rsidRDefault="6A65EC4E" w14:paraId="462462DA" w14:textId="476CF839" w14:noSpellErr="1">
            <w:r w:rsidRPr="3927AF3A" w:rsidR="3794A404">
              <w:rPr>
                <w:b w:val="1"/>
                <w:bCs w:val="1"/>
              </w:rPr>
              <w:t>Where the economics become vulnerable</w:t>
            </w:r>
          </w:p>
        </w:tc>
        <w:tc>
          <w:tcPr>
            <w:tcW w:w="3476" w:type="dxa"/>
            <w:tcMar/>
          </w:tcPr>
          <w:p w:rsidR="6A65EC4E" w:rsidRDefault="6A65EC4E" w14:paraId="56B47443" w14:textId="404ADEFD" w14:noSpellErr="1">
            <w:r w:rsidRPr="3927AF3A" w:rsidR="3794A404">
              <w:rPr>
                <w:b w:val="1"/>
                <w:bCs w:val="1"/>
              </w:rPr>
              <w:t>What can remain valuable</w:t>
            </w:r>
          </w:p>
        </w:tc>
      </w:tr>
      <w:tr w:rsidR="6A65EC4E" w:rsidTr="3927AF3A" w14:paraId="497813B4">
        <w:tc>
          <w:tcPr>
            <w:tcW w:w="2400" w:type="dxa"/>
            <w:tcMar/>
          </w:tcPr>
          <w:p w:rsidR="6A65EC4E" w:rsidRDefault="6A65EC4E" w14:noSpellErr="1" w14:paraId="27F5643F" w14:textId="57603F72">
            <w:r w:rsidR="6A65EC4E">
              <w:rPr/>
              <w:t>Per-user pricing</w:t>
            </w:r>
          </w:p>
        </w:tc>
        <w:tc>
          <w:tcPr>
            <w:tcW w:w="3150" w:type="dxa"/>
            <w:tcMar/>
          </w:tcPr>
          <w:p w:rsidR="6A65EC4E" w:rsidRDefault="6A65EC4E" w14:noSpellErr="1" w14:paraId="6D7C605F" w14:textId="503E2636">
            <w:r w:rsidR="6A65EC4E">
              <w:rPr/>
              <w:t>Seats cease to track variable agent usage or service complexity</w:t>
            </w:r>
          </w:p>
        </w:tc>
        <w:tc>
          <w:tcPr>
            <w:tcW w:w="3476" w:type="dxa"/>
            <w:tcMar/>
          </w:tcPr>
          <w:p w:rsidR="6A65EC4E" w:rsidRDefault="6A65EC4E" w14:noSpellErr="1" w14:paraId="13B7503A" w14:textId="491C0CFA">
            <w:r w:rsidR="6A65EC4E">
              <w:rPr/>
              <w:t>A clear protected-population and service boundary</w:t>
            </w:r>
          </w:p>
        </w:tc>
      </w:tr>
      <w:tr w:rsidR="6A65EC4E" w:rsidTr="3927AF3A" w14:paraId="39BCDF12">
        <w:tc>
          <w:tcPr>
            <w:tcW w:w="2400" w:type="dxa"/>
            <w:tcMar/>
          </w:tcPr>
          <w:p w:rsidR="6A65EC4E" w:rsidRDefault="6A65EC4E" w14:noSpellErr="1" w14:paraId="599D24EB" w14:textId="60316D6F">
            <w:r w:rsidR="6A65EC4E">
              <w:rPr/>
              <w:t>Per-device pricing</w:t>
            </w:r>
          </w:p>
        </w:tc>
        <w:tc>
          <w:tcPr>
            <w:tcW w:w="3150" w:type="dxa"/>
            <w:tcMar/>
          </w:tcPr>
          <w:p w:rsidR="6A65EC4E" w:rsidRDefault="6A65EC4E" w14:noSpellErr="1" w14:paraId="661F8413" w14:textId="590F5433">
            <w:r w:rsidR="6A65EC4E">
              <w:rPr/>
              <w:t>Fewer customer-managed servers or routine node tasks</w:t>
            </w:r>
          </w:p>
        </w:tc>
        <w:tc>
          <w:tcPr>
            <w:tcW w:w="3476" w:type="dxa"/>
            <w:tcMar/>
          </w:tcPr>
          <w:p w:rsidR="6A65EC4E" w:rsidRDefault="6A65EC4E" w14:noSpellErr="1" w14:paraId="1C6F740A" w14:textId="51ED3AF7">
            <w:r w:rsidR="6A65EC4E">
              <w:rPr/>
              <w:t>Endpoint risk, physical support and lifecycle ownership</w:t>
            </w:r>
          </w:p>
        </w:tc>
      </w:tr>
      <w:tr w:rsidR="6A65EC4E" w:rsidTr="3927AF3A" w14:paraId="3EAC7BA4">
        <w:tc>
          <w:tcPr>
            <w:tcW w:w="2400" w:type="dxa"/>
            <w:tcMar/>
          </w:tcPr>
          <w:p w:rsidR="6A65EC4E" w:rsidRDefault="6A65EC4E" w14:noSpellErr="1" w14:paraId="7DED9EEA" w14:textId="69029B6C">
            <w:r w:rsidR="6A65EC4E">
              <w:rPr/>
              <w:t>Help desk-centric services</w:t>
            </w:r>
          </w:p>
        </w:tc>
        <w:tc>
          <w:tcPr>
            <w:tcW w:w="3150" w:type="dxa"/>
            <w:tcMar/>
          </w:tcPr>
          <w:p w:rsidR="6A65EC4E" w:rsidRDefault="6A65EC4E" w14:noSpellErr="1" w14:paraId="657772AD" w14:textId="61E08230">
            <w:r w:rsidR="6A65EC4E">
              <w:rPr/>
              <w:t>Known issues become self-service or automated resolution</w:t>
            </w:r>
          </w:p>
        </w:tc>
        <w:tc>
          <w:tcPr>
            <w:tcW w:w="3476" w:type="dxa"/>
            <w:tcMar/>
          </w:tcPr>
          <w:p w:rsidR="6A65EC4E" w:rsidRDefault="6A65EC4E" w14:noSpellErr="1" w14:paraId="685DD31F" w14:textId="5ABE68F4">
            <w:r w:rsidR="6A65EC4E">
              <w:rPr/>
              <w:t>Exception handling, user trust and accountable escalation</w:t>
            </w:r>
          </w:p>
        </w:tc>
      </w:tr>
      <w:tr w:rsidR="6A65EC4E" w:rsidTr="3927AF3A" w14:paraId="1754C506">
        <w:tc>
          <w:tcPr>
            <w:tcW w:w="2400" w:type="dxa"/>
            <w:tcMar/>
          </w:tcPr>
          <w:p w:rsidR="6A65EC4E" w:rsidRDefault="6A65EC4E" w14:noSpellErr="1" w14:paraId="20F44BD9" w14:textId="71D3C969">
            <w:r w:rsidR="6A65EC4E">
              <w:rPr/>
              <w:t>Reactive support / billable hours</w:t>
            </w:r>
          </w:p>
        </w:tc>
        <w:tc>
          <w:tcPr>
            <w:tcW w:w="3150" w:type="dxa"/>
            <w:tcMar/>
          </w:tcPr>
          <w:p w:rsidR="6A65EC4E" w:rsidRDefault="6A65EC4E" w14:noSpellErr="1" w14:paraId="4FFF26D0" w14:textId="6AB1B02D">
            <w:r w:rsidR="6A65EC4E">
              <w:rPr/>
              <w:t>Fewer paid hours for the same useful result</w:t>
            </w:r>
          </w:p>
        </w:tc>
        <w:tc>
          <w:tcPr>
            <w:tcW w:w="3476" w:type="dxa"/>
            <w:tcMar/>
          </w:tcPr>
          <w:p w:rsidR="6A65EC4E" w:rsidRDefault="6A65EC4E" w14:noSpellErr="1" w14:paraId="478BCC15" w14:textId="638F96F1">
            <w:r w:rsidR="6A65EC4E">
              <w:rPr/>
              <w:t>Rare expertise and bounded high-risk intervention</w:t>
            </w:r>
          </w:p>
        </w:tc>
      </w:tr>
      <w:tr w:rsidR="6A65EC4E" w:rsidTr="3927AF3A" w14:paraId="3BC037FF">
        <w:tc>
          <w:tcPr>
            <w:tcW w:w="2400" w:type="dxa"/>
            <w:tcMar/>
          </w:tcPr>
          <w:p w:rsidR="6A65EC4E" w:rsidRDefault="6A65EC4E" w14:noSpellErr="1" w14:paraId="5B29E0FE" w14:textId="7AA4F766">
            <w:r w:rsidR="6A65EC4E">
              <w:rPr/>
              <w:t>Infrastructure support</w:t>
            </w:r>
          </w:p>
        </w:tc>
        <w:tc>
          <w:tcPr>
            <w:tcW w:w="3150" w:type="dxa"/>
            <w:tcMar/>
          </w:tcPr>
          <w:p w:rsidR="6A65EC4E" w:rsidRDefault="6A65EC4E" w14:noSpellErr="1" w14:paraId="4981591E" w14:textId="7382DE2A">
            <w:r w:rsidR="6A65EC4E">
              <w:rPr/>
              <w:t>Platform-native operations and vendor managed services</w:t>
            </w:r>
          </w:p>
        </w:tc>
        <w:tc>
          <w:tcPr>
            <w:tcW w:w="3476" w:type="dxa"/>
            <w:tcMar/>
          </w:tcPr>
          <w:p w:rsidR="6A65EC4E" w:rsidRDefault="6A65EC4E" w14:noSpellErr="1" w14:paraId="23D944B0" w14:textId="6C60C4EE">
            <w:r w:rsidR="6A65EC4E">
              <w:rPr/>
              <w:t>Cross-platform architecture and business continuity</w:t>
            </w:r>
          </w:p>
        </w:tc>
      </w:tr>
      <w:tr w:rsidR="6A65EC4E" w:rsidTr="3927AF3A" w14:paraId="4B1E16F9">
        <w:tc>
          <w:tcPr>
            <w:tcW w:w="2400" w:type="dxa"/>
            <w:tcMar/>
          </w:tcPr>
          <w:p w:rsidR="6A65EC4E" w:rsidRDefault="6A65EC4E" w14:noSpellErr="1" w14:paraId="7A0B4B7E" w14:textId="03762563">
            <w:r w:rsidR="6A65EC4E">
              <w:rPr/>
              <w:t>Monitoring / remote management</w:t>
            </w:r>
          </w:p>
        </w:tc>
        <w:tc>
          <w:tcPr>
            <w:tcW w:w="3150" w:type="dxa"/>
            <w:tcMar/>
          </w:tcPr>
          <w:p w:rsidR="6A65EC4E" w:rsidRDefault="6A65EC4E" w14:noSpellErr="1" w14:paraId="1A5957C8" w14:textId="7C540C27">
            <w:r w:rsidR="6A65EC4E">
              <w:rPr/>
              <w:t>Collection and standard remediation become native features</w:t>
            </w:r>
          </w:p>
        </w:tc>
        <w:tc>
          <w:tcPr>
            <w:tcW w:w="3476" w:type="dxa"/>
            <w:tcMar/>
          </w:tcPr>
          <w:p w:rsidR="6A65EC4E" w:rsidRDefault="6A65EC4E" w14:noSpellErr="1" w14:paraId="192E17B9" w14:textId="7531F2EB">
            <w:r w:rsidR="6A65EC4E">
              <w:rPr/>
              <w:t>Detection quality, resilience and response outcomes</w:t>
            </w:r>
          </w:p>
        </w:tc>
      </w:tr>
      <w:tr w:rsidR="6A65EC4E" w:rsidTr="3927AF3A" w14:paraId="3B20AB2A">
        <w:tc>
          <w:tcPr>
            <w:tcW w:w="2400" w:type="dxa"/>
            <w:tcMar/>
          </w:tcPr>
          <w:p w:rsidR="6A65EC4E" w:rsidRDefault="6A65EC4E" w14:noSpellErr="1" w14:paraId="34C0E1BB" w14:textId="0C475360">
            <w:r w:rsidR="6A65EC4E">
              <w:rPr/>
              <w:t>Fixed-fee support</w:t>
            </w:r>
          </w:p>
        </w:tc>
        <w:tc>
          <w:tcPr>
            <w:tcW w:w="3150" w:type="dxa"/>
            <w:tcMar/>
          </w:tcPr>
          <w:p w:rsidR="6A65EC4E" w:rsidRDefault="6A65EC4E" w14:noSpellErr="1" w14:paraId="186C4FC6" w14:textId="05253A24">
            <w:r w:rsidR="6A65EC4E">
              <w:rPr/>
              <w:t>Scope creep and metered inputs outrun contract price</w:t>
            </w:r>
          </w:p>
        </w:tc>
        <w:tc>
          <w:tcPr>
            <w:tcW w:w="3476" w:type="dxa"/>
            <w:tcMar/>
          </w:tcPr>
          <w:p w:rsidR="6A65EC4E" w:rsidRDefault="6A65EC4E" w14:noSpellErr="1" w14:paraId="352F82E2" w14:textId="7E0320E8">
            <w:r w:rsidR="6A65EC4E">
              <w:rPr/>
              <w:t>Predictable accountability with disciplined scope</w:t>
            </w:r>
          </w:p>
        </w:tc>
      </w:tr>
    </w:tbl>
    <w:p w:rsidR="6A65EC4E" w:rsidRDefault="6A65EC4E" w14:noSpellErr="1" w14:paraId="2D2ACF2D" w14:textId="453BFAAE">
      <w:r w:rsidR="6A65EC4E">
        <w:rPr/>
        <w:t>The table is an analytical map, grounded in Microsoft's entitlement changes, AWS native management and ServiceNow's service-desk offer. It is not a market-share forecast. A provider can preserve the same billing unit while fundamentally improving delivery and value; conversely, an outcome-labelled contract can remain a labour-heavy and poorly scoped business. The operating model matters more than the invoice vocabulary. [R09; R13; R65; R66]</w:t>
      </w:r>
    </w:p>
    <w:p w:rsidR="6A65EC4E" w:rsidP="6A65EC4E" w:rsidRDefault="6A65EC4E" w14:paraId="5627A746" w14:textId="15CF3315" w14:noSpellErr="1">
      <w:pPr>
        <w:pStyle w:val="Heading2"/>
      </w:pPr>
      <w:r w:rsidRPr="3927AF3A" w:rsidR="3794A404">
        <w:rPr>
          <w:color w:val="006D77"/>
        </w:rPr>
        <w:t>5.2 Labour dependence, utilisation and scale</w:t>
      </w:r>
    </w:p>
    <w:p w:rsidR="6A65EC4E" w:rsidRDefault="6A65EC4E" w14:noSpellErr="1" w14:paraId="5CDA7497" w14:textId="4BA55FDF">
      <w:r w:rsidR="6A65EC4E">
        <w:rPr/>
        <w:t>Service Leadership links the fall in project gross margin from 23% to 12.9% between Q4 2023 and Q4 2024 to lower utilisation. That is a concrete example of staffing commitments amplifying a revenue shortfall. It is not proof that projects are inherently unattractive or that every MSP has the same margin. A project-heavy TSP must price scarce expertise and reusable assets, not assume that keeping a bench available guarantees future billable demand. [R02]</w:t>
      </w:r>
    </w:p>
    <w:p w:rsidR="6A65EC4E" w:rsidRDefault="6A65EC4E" w14:noSpellErr="1" w14:paraId="5B89D4A1" w14:textId="2D71FEFE">
      <w:r w:rsidR="6A65EC4E">
        <w:rPr/>
        <w:t>BLS projects computer-support-specialist employment to decline 3% over 2025-2035. The occupation includes in-house staff and is not an MSP census. The strategic implication is weaker confidence in growth through repeatedly adding junior handling capacity, not a prediction that all technicians disappear. Hiring constraints can coexist with lower total demand because security, integration and exception-management skills differ from routine support capacity. [R38; R34]</w:t>
      </w:r>
    </w:p>
    <w:p w:rsidR="6A65EC4E" w:rsidRDefault="6A65EC4E" w14:noSpellErr="1" w14:paraId="6D20AC11" w14:textId="74C55459">
      <w:r w:rsidR="6A65EC4E">
        <w:rPr/>
        <w:t>Labour arbitrage remains useful where language, location, coverage hours or scarce skills matter, but it is not a durable advantage if competing firms can automate the same repeatable work. The support study shows assistance can narrow knowledge gaps; AWS and ServiceNow demonstrate platform routes to standardised operational tasks. The resulting recommendation is to treat labour savings as a temporary advantage unless reinforced by customer context, reusable workflows, disciplined execution or differentiated risk ownership. [R15; R13; R65]</w:t>
      </w:r>
    </w:p>
    <w:p w:rsidR="6A65EC4E" w:rsidRDefault="6A65EC4E" w14:noSpellErr="1" w14:paraId="33709AA5" w14:textId="5416C5AE">
      <w:r w:rsidR="6A65EC4E">
        <w:rPr/>
        <w:t>Scale should be measured in reuse, not just headcount. A larger firm may spread platform, security and process investment across more customers, but inherited exceptions and duplicate tooling can consume that benefit. The Service Leadership annual release identifies scale and operational execution as relevant differentiators; its public release does not establish a universal minimum viable MSP size. Avoid turning an undisclosed scale threshold into a reason that every small provider must sell. [R01]</w:t>
      </w:r>
    </w:p>
    <w:p w:rsidR="6A65EC4E" w:rsidRDefault="6A65EC4E" w14:noSpellErr="1" w14:paraId="6A3527AB" w14:textId="190C92B9">
      <w:r w:rsidR="6A65EC4E">
        <w:rPr/>
        <w:t>A ticket-driven scorecard can conceal value erosion. Fewer incidents can improve a fixed-fee contract's margin, yet fewer billable hours can damage a time-and-materials practice. Conversely, low ticket volume can signal user avoidance rather than service quality. Analyse contribution per customer, rework and renewal together. Model M1 quantifies why a reduction in revenue can exceed a superficially similar percentage saving in labour. [M1]</w:t>
      </w:r>
    </w:p>
    <w:p w:rsidR="6A65EC4E" w:rsidP="6A65EC4E" w:rsidRDefault="6A65EC4E" w14:paraId="65A77717" w14:textId="6C0E2368" w14:noSpellErr="1">
      <w:pPr>
        <w:pStyle w:val="Heading2"/>
      </w:pPr>
      <w:r w:rsidRPr="3927AF3A" w:rsidR="3794A404">
        <w:rPr>
          <w:color w:val="006D77"/>
        </w:rPr>
        <w:t>5.3 Customer buying behaviour: the buying case moves upstream</w:t>
      </w:r>
    </w:p>
    <w:p w:rsidR="6A65EC4E" w:rsidRDefault="6A65EC4E" w14:noSpellErr="1" w14:paraId="108EE1D6" w14:textId="306EC486">
      <w:r w:rsidR="6A65EC4E">
        <w:rPr/>
        <w:t>CompTIA's 2026 outlook reports that 84% of respondents anticipated increased AI investment. This is buyer and industry intent, not realised MSP bookings. It suggests a conversation about productive workflows, data readiness, security and adoption, rather than infrastructure alone. However, the survey also identifies difficulty measuring AI returns; a credible provider should translate enthusiasm into a funded, measurable problem before building an offer. [R41]</w:t>
      </w:r>
    </w:p>
    <w:p w:rsidR="6A65EC4E" w:rsidRDefault="6A65EC4E" w14:noSpellErr="1" w14:paraId="729C05B7" w14:textId="49BBB01F">
      <w:r w:rsidR="6A65EC4E">
        <w:rPr/>
        <w:t>Kaseya's report says 71% of surveyed MSPs identified customer acquisition as their biggest challenge and 19% had difficulty demonstrating value. Its self-selected, North America-heavy sample cannot establish that the whole market is commoditising. Nevertheless, the findings support testing whether customers can distinguish the provider's outcome from a generic support bundle. Cross-survey changes in contract-size bands are not treated here as verified like-for-like price declines. [R40]</w:t>
      </w:r>
    </w:p>
    <w:p w:rsidR="6A65EC4E" w:rsidRDefault="6A65EC4E" w14:noSpellErr="1" w14:paraId="1C148B6E" w14:textId="43B463B4">
      <w:r w:rsidR="6A65EC4E">
        <w:rPr/>
        <w:t>ISG observes pricing pressure and provider-funded transformation inside enterprise contracts. The inference for an MSP is that customers may expect automation to be included rather than buy it as a premium add-on. That expectation need not eliminate the relationship: the buyer may still pay for accountability, resilience, integration and continuous improvement. The pressure falls on the part of the fee justified solely by administrative effort. [R05]</w:t>
      </w:r>
    </w:p>
    <w:p w:rsidR="6A65EC4E" w:rsidRDefault="6A65EC4E" w14:noSpellErr="1" w14:paraId="252390E1" w14:textId="355CFE04">
      <w:r w:rsidR="6A65EC4E">
        <w:rPr/>
        <w:t>There is no verified prevalence measure here showing that customers have abandoned per-seat pricing for outcome-based MSP contracts. IDC's managed-cloud abstract instead describes a need to rethink operating and commercial models. This supports a direction of travel, not a completed market transition. Segment buyers by their problem, maturity and risk: a small firm may still primarily want reliable help, while a larger or regulated customer may demand evidence across security and business processes. [R24]</w:t>
      </w:r>
    </w:p>
    <w:p w:rsidR="6A65EC4E" w:rsidRDefault="6A65EC4E" w14:noSpellErr="1" w14:paraId="39AAA148" w14:textId="1E21718A">
      <w:r w:rsidR="6A65EC4E">
        <w:rPr/>
        <w:t>The commercial recommendation is therefore evidence-led packaging: lead with the protected operation or business process, show what is automated, state what remains human-owned, and explain how success is measured. Sell AI strategy where it governs an investment decision, not as a generic presentation. Sell automation where a repeatable workflow can be maintained. Sell security where coverage and response responsibilities can be evidenced.</w:t>
      </w:r>
    </w:p>
    <w:p w:rsidR="6A65EC4E" w:rsidP="6A65EC4E" w:rsidRDefault="6A65EC4E" w14:paraId="41A0F40E" w14:textId="56886982" w14:noSpellErr="1">
      <w:pPr>
        <w:pStyle w:val="Heading2"/>
      </w:pPr>
      <w:r w:rsidRPr="3927AF3A" w:rsidR="3794A404">
        <w:rPr>
          <w:color w:val="006D77"/>
        </w:rPr>
        <w:t>5.4 Hyperscaler and SaaS disintermediation</w:t>
      </w:r>
    </w:p>
    <w:p w:rsidR="6A65EC4E" w:rsidRDefault="6A65EC4E" w14:noSpellErr="1" w14:paraId="411F895A" w14:textId="663B06E1">
      <w:r w:rsidR="6A65EC4E">
        <w:rPr/>
        <w:t>Disintermediation occurs when a function formerly assembled or operated by a provider becomes a native feature, self-service workflow or vendor-delivered managed service. The evidence establishes that this overlap exists; it does not quantify the MSP revenues displaced by it. Suppliers can simultaneously lower the need for routine administration and enlarge demand for integration, assurance and specialised operations. [R09; R13; R65; R66; R67]</w:t>
      </w:r>
    </w:p>
    <w:tbl>
      <w:tblPr>
        <w:tblStyle w:val="TableGrid"/>
        <w:tblW w:w="0" w:type="auto"/>
        <w:tblLook w:val="0000" w:firstRow="0" w:lastRow="0" w:firstColumn="0" w:lastColumn="0" w:noHBand="0" w:noVBand="0"/>
      </w:tblPr>
      <w:tblGrid>
        <w:gridCol w:w="2200"/>
        <w:gridCol w:w="2100"/>
        <w:gridCol w:w="2350"/>
        <w:gridCol w:w="2376"/>
      </w:tblGrid>
      <w:tr w:rsidR="6A65EC4E" w:rsidTr="3927AF3A" w14:paraId="7FBB883D">
        <w:trPr>
          <w:tblHeader/>
        </w:trPr>
        <w:tc>
          <w:tcPr>
            <w:tcW w:w="2200" w:type="dxa"/>
            <w:tcMar/>
          </w:tcPr>
          <w:p w:rsidR="6A65EC4E" w:rsidRDefault="6A65EC4E" w14:noSpellErr="1" w14:paraId="2268CB81" w14:textId="7BEE45EF">
            <w:r w:rsidR="6A65EC4E">
              <w:rPr/>
              <w:t>Supplier</w:t>
            </w:r>
          </w:p>
        </w:tc>
        <w:tc>
          <w:tcPr>
            <w:tcW w:w="2100" w:type="dxa"/>
            <w:tcMar/>
          </w:tcPr>
          <w:p w:rsidR="6A65EC4E" w:rsidRDefault="6A65EC4E" w14:paraId="38922F77" w14:textId="74CC2CB3" w14:noSpellErr="1">
            <w:r w:rsidRPr="3927AF3A" w:rsidR="3794A404">
              <w:rPr>
                <w:b w:val="1"/>
                <w:bCs w:val="1"/>
              </w:rPr>
              <w:t>Documented overlap</w:t>
            </w:r>
          </w:p>
        </w:tc>
        <w:tc>
          <w:tcPr>
            <w:tcW w:w="2350" w:type="dxa"/>
            <w:tcMar/>
          </w:tcPr>
          <w:p w:rsidR="6A65EC4E" w:rsidRDefault="6A65EC4E" w14:paraId="47F029F5" w14:textId="6DAA1377" w14:noSpellErr="1">
            <w:r w:rsidRPr="3927AF3A" w:rsidR="3794A404">
              <w:rPr>
                <w:b w:val="1"/>
                <w:bCs w:val="1"/>
              </w:rPr>
              <w:t>Value left for a provider: inference</w:t>
            </w:r>
          </w:p>
        </w:tc>
        <w:tc>
          <w:tcPr>
            <w:tcW w:w="2376" w:type="dxa"/>
            <w:tcMar/>
          </w:tcPr>
          <w:p w:rsidR="6A65EC4E" w:rsidRDefault="6A65EC4E" w14:paraId="7EE4CC23" w14:textId="6687FA3B" w14:noSpellErr="1">
            <w:r w:rsidRPr="3927AF3A" w:rsidR="3794A404">
              <w:rPr>
                <w:b w:val="1"/>
                <w:bCs w:val="1"/>
              </w:rPr>
              <w:t>Evidence limit</w:t>
            </w:r>
          </w:p>
        </w:tc>
      </w:tr>
      <w:tr w:rsidR="6A65EC4E" w:rsidTr="3927AF3A" w14:paraId="1DB1B8F5">
        <w:tc>
          <w:tcPr>
            <w:tcW w:w="2200" w:type="dxa"/>
            <w:tcMar/>
          </w:tcPr>
          <w:p w:rsidR="6A65EC4E" w:rsidRDefault="6A65EC4E" w14:noSpellErr="1" w14:paraId="6C8E6CAD" w14:textId="7D9D5AB0">
            <w:r w:rsidR="6A65EC4E">
              <w:rPr/>
              <w:t>Microsoft</w:t>
            </w:r>
          </w:p>
        </w:tc>
        <w:tc>
          <w:tcPr>
            <w:tcW w:w="2100" w:type="dxa"/>
            <w:tcMar/>
          </w:tcPr>
          <w:p w:rsidR="6A65EC4E" w:rsidRDefault="6A65EC4E" w14:noSpellErr="1" w14:paraId="31B1EFA2" w14:textId="767B4174">
            <w:r w:rsidR="6A65EC4E">
              <w:rPr/>
              <w:t>Bundled Security Copilot; Agent 365 governance control plane [R09; R29]</w:t>
            </w:r>
          </w:p>
        </w:tc>
        <w:tc>
          <w:tcPr>
            <w:tcW w:w="2350" w:type="dxa"/>
            <w:tcMar/>
          </w:tcPr>
          <w:p w:rsidR="6A65EC4E" w:rsidRDefault="6A65EC4E" w14:noSpellErr="1" w14:paraId="14975816" w14:textId="6F592838">
            <w:r w:rsidR="6A65EC4E">
              <w:rPr/>
              <w:t>Configure, integrate, validate, respond and improve across customer systems</w:t>
            </w:r>
          </w:p>
        </w:tc>
        <w:tc>
          <w:tcPr>
            <w:tcW w:w="2376" w:type="dxa"/>
            <w:tcMar/>
          </w:tcPr>
          <w:p w:rsidR="6A65EC4E" w:rsidRDefault="6A65EC4E" w14:noSpellErr="1" w14:paraId="7FE11399" w14:textId="68370EFC">
            <w:r w:rsidR="6A65EC4E">
              <w:rPr/>
              <w:t>Entitlement is not realised customer savings</w:t>
            </w:r>
          </w:p>
        </w:tc>
      </w:tr>
      <w:tr w:rsidR="6A65EC4E" w:rsidTr="3927AF3A" w14:paraId="1CB62E40">
        <w:tc>
          <w:tcPr>
            <w:tcW w:w="2200" w:type="dxa"/>
            <w:tcMar/>
          </w:tcPr>
          <w:p w:rsidR="6A65EC4E" w:rsidRDefault="6A65EC4E" w14:noSpellErr="1" w14:paraId="31DD8057" w14:textId="7F4C6F71">
            <w:r w:rsidR="6A65EC4E">
              <w:rPr/>
              <w:t>AWS</w:t>
            </w:r>
          </w:p>
        </w:tc>
        <w:tc>
          <w:tcPr>
            <w:tcW w:w="2100" w:type="dxa"/>
            <w:tcMar/>
          </w:tcPr>
          <w:p w:rsidR="6A65EC4E" w:rsidRDefault="6A65EC4E" w14:noSpellErr="1" w14:paraId="544A4A6A" w14:textId="782A5635">
            <w:r w:rsidR="6A65EC4E">
              <w:rPr/>
              <w:t>Systems Manager automation and Amazon Q queries; AMS managed operations; Transform modernisation [R65; R66; R32]</w:t>
            </w:r>
          </w:p>
        </w:tc>
        <w:tc>
          <w:tcPr>
            <w:tcW w:w="2350" w:type="dxa"/>
            <w:tcMar/>
          </w:tcPr>
          <w:p w:rsidR="6A65EC4E" w:rsidRDefault="6A65EC4E" w14:noSpellErr="1" w14:paraId="45D79B51" w14:textId="71083CF9">
            <w:r w:rsidR="6A65EC4E">
              <w:rPr/>
              <w:t>Architecture, business-rule validation, cross-cloud operation and accountable cutover</w:t>
            </w:r>
          </w:p>
        </w:tc>
        <w:tc>
          <w:tcPr>
            <w:tcW w:w="2376" w:type="dxa"/>
            <w:tcMar/>
          </w:tcPr>
          <w:p w:rsidR="6A65EC4E" w:rsidRDefault="6A65EC4E" w14:noSpellErr="1" w14:paraId="51525EB5" w14:textId="69E623BD">
            <w:r w:rsidR="6A65EC4E">
              <w:rPr/>
              <w:t>Transform speed claims are vendor assertions</w:t>
            </w:r>
          </w:p>
        </w:tc>
      </w:tr>
      <w:tr w:rsidR="6A65EC4E" w:rsidTr="3927AF3A" w14:paraId="206EE425">
        <w:tc>
          <w:tcPr>
            <w:tcW w:w="2200" w:type="dxa"/>
            <w:tcMar/>
          </w:tcPr>
          <w:p w:rsidR="6A65EC4E" w:rsidRDefault="6A65EC4E" w14:noSpellErr="1" w14:paraId="6038EF06" w14:textId="00FB8432">
            <w:r w:rsidR="6A65EC4E">
              <w:rPr/>
              <w:t>Google Cloud</w:t>
            </w:r>
          </w:p>
        </w:tc>
        <w:tc>
          <w:tcPr>
            <w:tcW w:w="2100" w:type="dxa"/>
            <w:tcMar/>
          </w:tcPr>
          <w:p w:rsidR="6A65EC4E" w:rsidRDefault="6A65EC4E" w14:noSpellErr="1" w14:paraId="329867CA" w14:textId="79D96AF6">
            <w:r w:rsidR="6A65EC4E">
              <w:rPr/>
              <w:t>Agent-building platform and announced threat-hunting / detection-engineering agents [R33]</w:t>
            </w:r>
          </w:p>
        </w:tc>
        <w:tc>
          <w:tcPr>
            <w:tcW w:w="2350" w:type="dxa"/>
            <w:tcMar/>
          </w:tcPr>
          <w:p w:rsidR="6A65EC4E" w:rsidRDefault="6A65EC4E" w14:noSpellErr="1" w14:paraId="5BEC71B4" w14:textId="72B751BA">
            <w:r w:rsidR="6A65EC4E">
              <w:rPr/>
              <w:t>Data context, control design, tuning, response authority and multi-platform assurance</w:t>
            </w:r>
          </w:p>
        </w:tc>
        <w:tc>
          <w:tcPr>
            <w:tcW w:w="2376" w:type="dxa"/>
            <w:tcMar/>
          </w:tcPr>
          <w:p w:rsidR="6A65EC4E" w:rsidRDefault="6A65EC4E" w14:noSpellErr="1" w14:paraId="68CD4DDF" w14:textId="6B95387E">
            <w:r w:rsidR="6A65EC4E">
              <w:rPr/>
              <w:t>Announcement; not all availability or efficacy verified</w:t>
            </w:r>
          </w:p>
        </w:tc>
      </w:tr>
      <w:tr w:rsidR="6A65EC4E" w:rsidTr="3927AF3A" w14:paraId="47B36566">
        <w:tc>
          <w:tcPr>
            <w:tcW w:w="2200" w:type="dxa"/>
            <w:tcMar/>
          </w:tcPr>
          <w:p w:rsidR="6A65EC4E" w:rsidRDefault="6A65EC4E" w14:noSpellErr="1" w14:paraId="501471C1" w14:textId="02AA98F3">
            <w:r w:rsidR="6A65EC4E">
              <w:rPr/>
              <w:t>ServiceNow / SaaS</w:t>
            </w:r>
          </w:p>
        </w:tc>
        <w:tc>
          <w:tcPr>
            <w:tcW w:w="2100" w:type="dxa"/>
            <w:tcMar/>
          </w:tcPr>
          <w:p w:rsidR="6A65EC4E" w:rsidRDefault="6A65EC4E" w14:noSpellErr="1" w14:paraId="5FF2EA5F" w14:textId="7B887FB7">
            <w:r w:rsidR="6A65EC4E">
              <w:rPr/>
              <w:t>L1 service-desk specialist available by May 2026; wider specialists announced [R12; R13]</w:t>
            </w:r>
          </w:p>
        </w:tc>
        <w:tc>
          <w:tcPr>
            <w:tcW w:w="2350" w:type="dxa"/>
            <w:tcMar/>
          </w:tcPr>
          <w:p w:rsidR="6A65EC4E" w:rsidRDefault="6A65EC4E" w14:noSpellErr="1" w14:paraId="4548CE94" w14:textId="7466667B">
            <w:r w:rsidR="6A65EC4E">
              <w:rPr/>
              <w:t>Process redesign, integration, knowledge quality and exception ownership</w:t>
            </w:r>
          </w:p>
        </w:tc>
        <w:tc>
          <w:tcPr>
            <w:tcW w:w="2376" w:type="dxa"/>
            <w:tcMar/>
          </w:tcPr>
          <w:p w:rsidR="6A65EC4E" w:rsidRDefault="6A65EC4E" w14:noSpellErr="1" w14:paraId="5A3E11C5" w14:textId="6D444D3F">
            <w:r w:rsidR="6A65EC4E">
              <w:rPr/>
              <w:t>Do not generalise internal deflection testimonials</w:t>
            </w:r>
          </w:p>
        </w:tc>
      </w:tr>
    </w:tbl>
    <w:p w:rsidR="6A65EC4E" w:rsidRDefault="6A65EC4E" w14:noSpellErr="1" w14:paraId="3D8BC314" w14:textId="3A2EB673">
      <w:r w:rsidR="6A65EC4E">
        <w:rPr/>
        <w:t>AWS Managed Services supplies a particularly direct counterexample to the idea that a hyperscaler only sells infrastructure: its Accelerate plan includes monitoring, patching and expert service-desk access. Yet AWS also markets independent MSP solutions through its marketplace. The platform is both a competitor and a distribution or delivery component; the provider must decide what it adds beyond the supplier's own scope. [R66; R67]</w:t>
      </w:r>
    </w:p>
    <w:p w:rsidR="6A65EC4E" w:rsidRDefault="6A65EC4E" w14:noSpellErr="1" w14:paraId="53C2AB6C" w14:textId="7B26D6CD">
      <w:r w:rsidR="6A65EC4E">
        <w:rPr/>
        <w:t>Native automation also shows why attributing every change to generative AI would be mistaken. AWS documents runbooks, approvals and operational controls alongside natural-language node queries. An MSP should compare the total cost and coverage of its stack against the customer's existing platform entitlements before buying overlapping tools. The defensible margin lies in complete, trustworthy service, not the number of consoles operated. [R65]</w:t>
      </w:r>
    </w:p>
    <w:p w:rsidR="6A65EC4E" w:rsidP="6A65EC4E" w:rsidRDefault="6A65EC4E" w14:paraId="5C8851E9" w14:textId="1C4E7700" w14:noSpellErr="1">
      <w:pPr>
        <w:pStyle w:val="Heading2"/>
      </w:pPr>
      <w:r w:rsidRPr="3927AF3A" w:rsidR="3794A404">
        <w:rPr>
          <w:color w:val="006D77"/>
        </w:rPr>
        <w:t>5.5 Security as a managed service: stronger demand, harder promises</w:t>
      </w:r>
    </w:p>
    <w:p w:rsidR="6A65EC4E" w:rsidRDefault="6A65EC4E" w14:noSpellErr="1" w14:paraId="2B07D5E2" w14:textId="55BA8870">
      <w:r w:rsidR="6A65EC4E">
        <w:rPr/>
        <w:t>Gartner's February 2026 public abstract forecasts USD244 billion information-security spending, with 11.6% constant-currency growth. This supports security as a demand adjacency, not an MSP-specific revenue forecast. The total includes products and multiple service categories; it cannot establish that a small managed-SOC practice will earn superior margins. This report does not substitute a secondary report of a different analyst's market definition for an original-source estimate. [R68]</w:t>
      </w:r>
    </w:p>
    <w:p w:rsidR="6A65EC4E" w:rsidRDefault="6A65EC4E" w14:noSpellErr="1" w14:paraId="42CF98FD" w14:textId="7E154D19">
      <w:r w:rsidR="6A65EC4E">
        <w:rPr/>
        <w:t>The 2026 Verizon DBIR summary reports vulnerability exploitation in 31% of breaches and third-party involvement in 48%. Its contributor-sourced incident corpus concerns 2025, not the entire economy. The provider implication is to join prevention, identity, response and recovery into an accountable service. Third-party involvement is not a statistic saying MSPs caused those breaches, but it makes provider access and supply-chain controls important to the buying decision. [R36]</w:t>
      </w:r>
    </w:p>
    <w:tbl>
      <w:tblPr>
        <w:tblStyle w:val="TableGrid"/>
        <w:tblW w:w="0" w:type="auto"/>
        <w:tblLook w:val="0000" w:firstRow="0" w:lastRow="0" w:firstColumn="0" w:lastColumn="0" w:noHBand="0" w:noVBand="0"/>
      </w:tblPr>
      <w:tblGrid>
        <w:gridCol w:w="2400"/>
        <w:gridCol w:w="3150"/>
        <w:gridCol w:w="3476"/>
      </w:tblGrid>
      <w:tr w:rsidR="6A65EC4E" w:rsidTr="3927AF3A" w14:paraId="31A34573">
        <w:trPr>
          <w:tblHeader/>
        </w:trPr>
        <w:tc>
          <w:tcPr>
            <w:tcW w:w="2400" w:type="dxa"/>
            <w:tcMar/>
          </w:tcPr>
          <w:p w:rsidR="6A65EC4E" w:rsidRDefault="6A65EC4E" w14:paraId="2DF49D6C" w14:textId="24403C26" w14:noSpellErr="1">
            <w:r w:rsidRPr="3927AF3A" w:rsidR="3794A404">
              <w:rPr>
                <w:b w:val="1"/>
                <w:bCs w:val="1"/>
              </w:rPr>
              <w:t>Contract distinction used in this report</w:t>
            </w:r>
          </w:p>
        </w:tc>
        <w:tc>
          <w:tcPr>
            <w:tcW w:w="3150" w:type="dxa"/>
            <w:tcMar/>
          </w:tcPr>
          <w:p w:rsidR="6A65EC4E" w:rsidRDefault="6A65EC4E" w14:paraId="268A1920" w14:textId="1D1E22EA" w14:noSpellErr="1">
            <w:r w:rsidRPr="3927AF3A" w:rsidR="3794A404">
              <w:rPr>
                <w:b w:val="1"/>
                <w:bCs w:val="1"/>
              </w:rPr>
              <w:t>What the customer should receive</w:t>
            </w:r>
          </w:p>
        </w:tc>
        <w:tc>
          <w:tcPr>
            <w:tcW w:w="3476" w:type="dxa"/>
            <w:tcMar/>
          </w:tcPr>
          <w:p w:rsidR="6A65EC4E" w:rsidRDefault="6A65EC4E" w14:paraId="6A0B9088" w14:textId="15FC09AE" w14:noSpellErr="1">
            <w:r w:rsidRPr="3927AF3A" w:rsidR="3794A404">
              <w:rPr>
                <w:b w:val="1"/>
                <w:bCs w:val="1"/>
              </w:rPr>
              <w:t>What is insufficient</w:t>
            </w:r>
          </w:p>
        </w:tc>
      </w:tr>
      <w:tr w:rsidR="6A65EC4E" w:rsidTr="3927AF3A" w14:paraId="3B60CA3B">
        <w:tc>
          <w:tcPr>
            <w:tcW w:w="2400" w:type="dxa"/>
            <w:tcMar/>
          </w:tcPr>
          <w:p w:rsidR="6A65EC4E" w:rsidRDefault="6A65EC4E" w14:noSpellErr="1" w14:paraId="484E9504" w14:textId="2D116A23">
            <w:r w:rsidR="6A65EC4E">
              <w:rPr/>
              <w:t>MDR</w:t>
            </w:r>
          </w:p>
        </w:tc>
        <w:tc>
          <w:tcPr>
            <w:tcW w:w="3150" w:type="dxa"/>
            <w:tcMar/>
          </w:tcPr>
          <w:p w:rsidR="6A65EC4E" w:rsidRDefault="6A65EC4E" w14:noSpellErr="1" w14:paraId="329E4905" w14:textId="25EF50E7">
            <w:r w:rsidR="6A65EC4E">
              <w:rPr/>
              <w:t>Detection, investigation, escalation and agreed response responsibility</w:t>
            </w:r>
          </w:p>
        </w:tc>
        <w:tc>
          <w:tcPr>
            <w:tcW w:w="3476" w:type="dxa"/>
            <w:tcMar/>
          </w:tcPr>
          <w:p w:rsidR="6A65EC4E" w:rsidRDefault="6A65EC4E" w14:noSpellErr="1" w14:paraId="3D3BA663" w14:textId="1ECD37AB">
            <w:r w:rsidR="6A65EC4E">
              <w:rPr/>
              <w:t>An endpoint licence with no response owner</w:t>
            </w:r>
          </w:p>
        </w:tc>
      </w:tr>
      <w:tr w:rsidR="6A65EC4E" w:rsidTr="3927AF3A" w14:paraId="35C083E6">
        <w:tc>
          <w:tcPr>
            <w:tcW w:w="2400" w:type="dxa"/>
            <w:tcMar/>
          </w:tcPr>
          <w:p w:rsidR="6A65EC4E" w:rsidRDefault="6A65EC4E" w14:noSpellErr="1" w14:paraId="7577B3D0" w14:textId="35E29820">
            <w:r w:rsidR="6A65EC4E">
              <w:rPr/>
              <w:t>XDR</w:t>
            </w:r>
          </w:p>
        </w:tc>
        <w:tc>
          <w:tcPr>
            <w:tcW w:w="3150" w:type="dxa"/>
            <w:tcMar/>
          </w:tcPr>
          <w:p w:rsidR="6A65EC4E" w:rsidRDefault="6A65EC4E" w14:noSpellErr="1" w14:paraId="19693907" w14:textId="2EC07EE4">
            <w:r w:rsidR="6A65EC4E">
              <w:rPr/>
              <w:t>Integrated detection and investigation capability across relevant signals</w:t>
            </w:r>
          </w:p>
        </w:tc>
        <w:tc>
          <w:tcPr>
            <w:tcW w:w="3476" w:type="dxa"/>
            <w:tcMar/>
          </w:tcPr>
          <w:p w:rsidR="6A65EC4E" w:rsidRDefault="6A65EC4E" w14:noSpellErr="1" w14:paraId="3966B5D0" w14:textId="279E65A8">
            <w:r w:rsidR="6A65EC4E">
              <w:rPr/>
              <w:t>A platform name presented as a complete operating service</w:t>
            </w:r>
          </w:p>
        </w:tc>
      </w:tr>
      <w:tr w:rsidR="6A65EC4E" w:rsidTr="3927AF3A" w14:paraId="29C0D621">
        <w:tc>
          <w:tcPr>
            <w:tcW w:w="2400" w:type="dxa"/>
            <w:tcMar/>
          </w:tcPr>
          <w:p w:rsidR="6A65EC4E" w:rsidRDefault="6A65EC4E" w14:noSpellErr="1" w14:paraId="1DCA71C5" w14:textId="3EB3C61D">
            <w:r w:rsidR="6A65EC4E">
              <w:rPr/>
              <w:t>Managed SOC</w:t>
            </w:r>
          </w:p>
        </w:tc>
        <w:tc>
          <w:tcPr>
            <w:tcW w:w="3150" w:type="dxa"/>
            <w:tcMar/>
          </w:tcPr>
          <w:p w:rsidR="6A65EC4E" w:rsidRDefault="6A65EC4E" w14:noSpellErr="1" w14:paraId="51CEFBD5" w14:textId="3791ACE1">
            <w:r w:rsidR="6A65EC4E">
              <w:rPr/>
              <w:t>Ongoing people, process and technology coverage with service commitments</w:t>
            </w:r>
          </w:p>
        </w:tc>
        <w:tc>
          <w:tcPr>
            <w:tcW w:w="3476" w:type="dxa"/>
            <w:tcMar/>
          </w:tcPr>
          <w:p w:rsidR="6A65EC4E" w:rsidRDefault="6A65EC4E" w14:noSpellErr="1" w14:paraId="5CB1C663" w14:textId="306F93A5">
            <w:r w:rsidR="6A65EC4E">
              <w:rPr/>
              <w:t>An alert mailbox without staffed coverage and escalation</w:t>
            </w:r>
          </w:p>
        </w:tc>
      </w:tr>
      <w:tr w:rsidR="6A65EC4E" w:rsidTr="3927AF3A" w14:paraId="7D4FBC1E">
        <w:tc>
          <w:tcPr>
            <w:tcW w:w="2400" w:type="dxa"/>
            <w:tcMar/>
          </w:tcPr>
          <w:p w:rsidR="6A65EC4E" w:rsidRDefault="6A65EC4E" w14:noSpellErr="1" w14:paraId="71475BDF" w14:textId="4784F41A">
            <w:r w:rsidR="6A65EC4E">
              <w:rPr/>
              <w:t>Threat hunting</w:t>
            </w:r>
          </w:p>
        </w:tc>
        <w:tc>
          <w:tcPr>
            <w:tcW w:w="3150" w:type="dxa"/>
            <w:tcMar/>
          </w:tcPr>
          <w:p w:rsidR="6A65EC4E" w:rsidRDefault="6A65EC4E" w14:noSpellErr="1" w14:paraId="34EE8022" w14:textId="4062DADE">
            <w:r w:rsidR="6A65EC4E">
              <w:rPr/>
              <w:t>A scoped proactive investigation and evidence of findings</w:t>
            </w:r>
          </w:p>
        </w:tc>
        <w:tc>
          <w:tcPr>
            <w:tcW w:w="3476" w:type="dxa"/>
            <w:tcMar/>
          </w:tcPr>
          <w:p w:rsidR="6A65EC4E" w:rsidRDefault="6A65EC4E" w14:noSpellErr="1" w14:paraId="4298FA3D" w14:textId="3940C1A2">
            <w:r w:rsidR="6A65EC4E">
              <w:rPr/>
              <w:t>Counting hunts without testing coverage or outcomes</w:t>
            </w:r>
          </w:p>
        </w:tc>
      </w:tr>
      <w:tr w:rsidR="6A65EC4E" w:rsidTr="3927AF3A" w14:paraId="770844A1">
        <w:tc>
          <w:tcPr>
            <w:tcW w:w="2400" w:type="dxa"/>
            <w:tcMar/>
          </w:tcPr>
          <w:p w:rsidR="6A65EC4E" w:rsidRDefault="6A65EC4E" w14:noSpellErr="1" w14:paraId="7C3C870C" w14:textId="50562217">
            <w:r w:rsidR="6A65EC4E">
              <w:rPr/>
              <w:t>Compliance services</w:t>
            </w:r>
          </w:p>
        </w:tc>
        <w:tc>
          <w:tcPr>
            <w:tcW w:w="3150" w:type="dxa"/>
            <w:tcMar/>
          </w:tcPr>
          <w:p w:rsidR="6A65EC4E" w:rsidRDefault="6A65EC4E" w14:noSpellErr="1" w14:paraId="4B0A2FD0" w14:textId="493408DB">
            <w:r w:rsidR="6A65EC4E">
              <w:rPr/>
              <w:t>Control mapping, evidence maintenance and remediation tracking</w:t>
            </w:r>
          </w:p>
        </w:tc>
        <w:tc>
          <w:tcPr>
            <w:tcW w:w="3476" w:type="dxa"/>
            <w:tcMar/>
          </w:tcPr>
          <w:p w:rsidR="6A65EC4E" w:rsidRDefault="6A65EC4E" w14:noSpellErr="1" w14:paraId="37E02BD7" w14:textId="4211EF9F">
            <w:r w:rsidR="6A65EC4E">
              <w:rPr/>
              <w:t>A claim that buying a tool guarantees legal compliance</w:t>
            </w:r>
          </w:p>
        </w:tc>
      </w:tr>
      <w:tr w:rsidR="6A65EC4E" w:rsidTr="3927AF3A" w14:paraId="52F9C981">
        <w:tc>
          <w:tcPr>
            <w:tcW w:w="2400" w:type="dxa"/>
            <w:tcMar/>
          </w:tcPr>
          <w:p w:rsidR="6A65EC4E" w:rsidRDefault="6A65EC4E" w14:noSpellErr="1" w14:paraId="68B39C51" w14:textId="59275014">
            <w:r w:rsidR="6A65EC4E">
              <w:rPr/>
              <w:t>Identity protection</w:t>
            </w:r>
          </w:p>
        </w:tc>
        <w:tc>
          <w:tcPr>
            <w:tcW w:w="3150" w:type="dxa"/>
            <w:tcMar/>
          </w:tcPr>
          <w:p w:rsidR="6A65EC4E" w:rsidRDefault="6A65EC4E" w14:noSpellErr="1" w14:paraId="7F6417E1" w14:textId="520536D8">
            <w:r w:rsidR="6A65EC4E">
              <w:rPr/>
              <w:t>Privilege, access lifecycle and policy assurance</w:t>
            </w:r>
          </w:p>
        </w:tc>
        <w:tc>
          <w:tcPr>
            <w:tcW w:w="3476" w:type="dxa"/>
            <w:tcMar/>
          </w:tcPr>
          <w:p w:rsidR="6A65EC4E" w:rsidRDefault="6A65EC4E" w14:noSpellErr="1" w14:paraId="696E3DC9" w14:textId="4AE31D9C">
            <w:r w:rsidR="6A65EC4E">
              <w:rPr/>
              <w:t>Assuming multifactor authentication alone resolves identity risk</w:t>
            </w:r>
          </w:p>
        </w:tc>
      </w:tr>
    </w:tbl>
    <w:p w:rsidR="6A65EC4E" w:rsidRDefault="6A65EC4E" w14:noSpellErr="1" w14:paraId="6E557E61" w14:textId="311D1088">
      <w:r w:rsidR="6A65EC4E">
        <w:rPr/>
        <w:t>The table defines recommended service boundaries, not certification standards. A generalist can assemble a strong offer with a specialist MDR or SOC partner rather than build every capability internally. The commercial test is ownership of the whole response chain, including what happens after an alert, whether recovery works, and how evidence is retained. Liability and subcontractor scope must match the promise.</w:t>
      </w:r>
    </w:p>
    <w:p w:rsidR="6A65EC4E" w:rsidP="6A65EC4E" w:rsidRDefault="6A65EC4E" w14:paraId="1FD5CA91" w14:textId="47ADD314" w14:noSpellErr="1">
      <w:pPr>
        <w:pStyle w:val="Heading3"/>
      </w:pPr>
      <w:r w:rsidRPr="3927AF3A" w:rsidR="3794A404">
        <w:rPr>
          <w:color w:val="006D77"/>
        </w:rPr>
        <w:t>Will security-focused providers outperform generalists?</w:t>
      </w:r>
    </w:p>
    <w:p w:rsidR="6A65EC4E" w:rsidRDefault="6A65EC4E" w14:noSpellErr="1" w14:paraId="5406EC1B" w14:textId="5D25D960">
      <w:r w:rsidR="6A65EC4E">
        <w:rPr/>
        <w:t>A capable security-led provider has a plausible advantage over an otherwise comparable maintenance-only provider, but the research does not establish a universal ten-year outperformance rate. Microsoft bundles security assistance and Google announces hunting automation, so security labour can also be commoditised. The defensible offer combines operational response, identity and data context, assurance and a trusted customer relationship, rather than reselling another security product. [R09; R33; R68]</w:t>
      </w:r>
    </w:p>
    <w:p w:rsidR="6A65EC4E" w:rsidRDefault="6A65EC4E" w14:noSpellErr="1" w14:paraId="36CFA121" w14:textId="3DFF4813">
      <w:r w:rsidR="6A65EC4E">
        <w:rPr/>
        <w:t>ISC2's 2025 study did not publish a workforce-gap estimate, and reported continuing budget and hiring constraints. A shortage narrative is not permission to assume unlimited pricing power. MITRE's managed-services evaluations explicitly do not rank providers. Use technical evaluations as one due-diligence input, not as an industry-wide profitability league table or a substitute for customer-specific evidence of response capability. [R34; R54]</w:t>
      </w:r>
    </w:p>
    <w:p w:rsidR="6A65EC4E" w:rsidRDefault="6A65EC4E" w14:noSpellErr="1" w14:paraId="41929FD7" w14:textId="4D9375F8">
      <w:r w:rsidR="6A65EC4E">
        <w:rPr/>
        <w:t>For Australian providers, ASD reports average self-reported business cybercrime cost of A$80,850 per report in FY2024-25. This is a reporting-population measure, not the loss probability or expected annual loss of a typical MSP customer. The later FY2025-26 edition was not available in the reviewed material. Use Australian threat evidence to prioritise controls and discuss resilience, not to derive a service price by multiplying a headline average. [R37]</w:t>
      </w:r>
    </w:p>
    <w:p w:rsidR="6A65EC4E" w:rsidRDefault="6A65EC4E" w14:noSpellErr="1" w14:paraId="39218B42" w14:textId="7A4C3784">
      <w:r w:rsidR="6A65EC4E">
        <w:rPr/>
        <w:t>Compliance and AI governance can support recurring work because customer processes, access and systems require ongoing assurance. The recommendation is to maintain evidence and drive remediation within an agreed framework, with jurisdiction-specific professional advice where necessary. Do not promise certification, legal compliance or absence of breaches as an automatic consequence of the subscription. Microsoft's guidance itself retains human oversight for critical agent actions. [R64]</w:t>
      </w:r>
    </w:p>
    <w:p w:rsidR="6A65EC4E" w:rsidP="6A65EC4E" w:rsidRDefault="6A65EC4E" w14:paraId="7AB5EFA7" w14:textId="7F03F492" w14:noSpellErr="1">
      <w:pPr>
        <w:pStyle w:val="Heading2"/>
      </w:pPr>
      <w:r w:rsidRPr="3927AF3A" w:rsidR="3794A404">
        <w:rPr>
          <w:color w:val="006D77"/>
        </w:rPr>
        <w:t>5.6 Lessons from earlier platform shifts</w:t>
      </w:r>
    </w:p>
    <w:p w:rsidR="6A65EC4E" w:rsidRDefault="6A65EC4E" w14:noSpellErr="1" w14:paraId="163AB267" w14:textId="64332A18">
      <w:r w:rsidR="6A65EC4E">
        <w:rPr/>
        <w:t>Historical analogies are mechanism tests, not forecasts. They show that customer demand can survive while the means of delivery, profit pool and ownership change. They also show that incumbents can adapt. The relevant question is not whether technology services will still be needed, but whether the current provider retains a differentiated and financeable role. [R71; R72; R73; R44; R45]</w:t>
      </w:r>
    </w:p>
    <w:tbl>
      <w:tblPr>
        <w:tblStyle w:val="TableGrid"/>
        <w:tblW w:w="0" w:type="auto"/>
        <w:tblLook w:val="0000" w:firstRow="0" w:lastRow="0" w:firstColumn="0" w:lastColumn="0" w:noHBand="0" w:noVBand="0"/>
      </w:tblPr>
      <w:tblGrid>
        <w:gridCol w:w="2400"/>
        <w:gridCol w:w="3150"/>
        <w:gridCol w:w="3476"/>
      </w:tblGrid>
      <w:tr w:rsidR="6A65EC4E" w:rsidTr="3927AF3A" w14:paraId="2031D99E">
        <w:trPr>
          <w:tblHeader/>
        </w:trPr>
        <w:tc>
          <w:tcPr>
            <w:tcW w:w="2400" w:type="dxa"/>
            <w:tcMar/>
          </w:tcPr>
          <w:p w:rsidR="6A65EC4E" w:rsidRDefault="6A65EC4E" w14:noSpellErr="1" w14:paraId="1BC4B744" w14:textId="3009CD6D">
            <w:r w:rsidR="6A65EC4E">
              <w:rPr/>
              <w:t>Case</w:t>
            </w:r>
          </w:p>
        </w:tc>
        <w:tc>
          <w:tcPr>
            <w:tcW w:w="3150" w:type="dxa"/>
            <w:tcMar/>
          </w:tcPr>
          <w:p w:rsidR="6A65EC4E" w:rsidRDefault="6A65EC4E" w14:paraId="1DA8A423" w14:textId="28E7B431" w14:noSpellErr="1">
            <w:r w:rsidRPr="3927AF3A" w:rsidR="3794A404">
              <w:rPr>
                <w:b w:val="1"/>
                <w:bCs w:val="1"/>
              </w:rPr>
              <w:t>Original evidence</w:t>
            </w:r>
          </w:p>
        </w:tc>
        <w:tc>
          <w:tcPr>
            <w:tcW w:w="3476" w:type="dxa"/>
            <w:tcMar/>
          </w:tcPr>
          <w:p w:rsidR="6A65EC4E" w:rsidRDefault="6A65EC4E" w14:paraId="4E3A0BBC" w14:textId="21C59AF5" w14:noSpellErr="1">
            <w:r w:rsidRPr="3927AF3A" w:rsidR="3794A404">
              <w:rPr>
                <w:b w:val="1"/>
                <w:bCs w:val="1"/>
              </w:rPr>
              <w:t>MSP lesson and limitation</w:t>
            </w:r>
          </w:p>
        </w:tc>
      </w:tr>
      <w:tr w:rsidR="6A65EC4E" w:rsidTr="3927AF3A" w14:paraId="23937C07">
        <w:tc>
          <w:tcPr>
            <w:tcW w:w="2400" w:type="dxa"/>
            <w:tcMar/>
          </w:tcPr>
          <w:p w:rsidR="6A65EC4E" w:rsidRDefault="6A65EC4E" w14:noSpellErr="1" w14:paraId="290F3E18" w14:textId="38DAFB6A">
            <w:r w:rsidR="6A65EC4E">
              <w:rPr/>
              <w:t>Blockbuster: retail intermediary</w:t>
            </w:r>
          </w:p>
        </w:tc>
        <w:tc>
          <w:tcPr>
            <w:tcW w:w="3150" w:type="dxa"/>
            <w:tcMar/>
          </w:tcPr>
          <w:p w:rsidR="6A65EC4E" w:rsidRDefault="6A65EC4E" w14:noSpellErr="1" w14:paraId="306BC9EF" w14:textId="31B8E22E">
            <w:r w:rsidR="6A65EC4E">
              <w:rPr/>
              <w:t>FY2009 filing identifies digital competition; Chapter 11 in September 2010; 2011 filing distinguishes sold operations from original shareholder claims [R71; R72; R73]</w:t>
            </w:r>
          </w:p>
        </w:tc>
        <w:tc>
          <w:tcPr>
            <w:tcW w:w="3476" w:type="dxa"/>
            <w:tcMar/>
          </w:tcPr>
          <w:p w:rsidR="6A65EC4E" w:rsidRDefault="6A65EC4E" w14:noSpellErr="1" w14:paraId="567EA768" w14:textId="2A96C8F2">
            <w:r w:rsidR="6A65EC4E">
              <w:rPr/>
              <w:t>A brand or service can continue while owner value fails. Debt, stores and execution matter; not a pure technology experiment.</w:t>
            </w:r>
          </w:p>
        </w:tc>
      </w:tr>
      <w:tr w:rsidR="6A65EC4E" w:rsidTr="3927AF3A" w14:paraId="78FB8E66">
        <w:tc>
          <w:tcPr>
            <w:tcW w:w="2400" w:type="dxa"/>
            <w:tcMar/>
          </w:tcPr>
          <w:p w:rsidR="6A65EC4E" w:rsidRDefault="6A65EC4E" w14:noSpellErr="1" w14:paraId="6536ABDC" w14:textId="41AC2967">
            <w:r w:rsidR="6A65EC4E">
              <w:rPr/>
              <w:t>Rackspace: hosting to cloud</w:t>
            </w:r>
          </w:p>
        </w:tc>
        <w:tc>
          <w:tcPr>
            <w:tcW w:w="3150" w:type="dxa"/>
            <w:tcMar/>
          </w:tcPr>
          <w:p w:rsidR="6A65EC4E" w:rsidRDefault="6A65EC4E" w14:noSpellErr="1" w14:paraId="2165043D" w14:textId="3A8A102B">
            <w:r w:rsidR="6A65EC4E">
              <w:rPr/>
              <w:t>FY2025 private-cloud revenue -6%; public cloud +1% [R44]</w:t>
            </w:r>
          </w:p>
        </w:tc>
        <w:tc>
          <w:tcPr>
            <w:tcW w:w="3476" w:type="dxa"/>
            <w:tcMar/>
          </w:tcPr>
          <w:p w:rsidR="6A65EC4E" w:rsidRDefault="6A65EC4E" w14:noSpellErr="1" w14:paraId="7A625745" w14:textId="3367F6EF">
            <w:r w:rsidR="6A65EC4E">
              <w:rPr/>
              <w:t>A growing destination platform need not rescue every legacy service. A surviving company is not proof of unchanged economics.</w:t>
            </w:r>
          </w:p>
        </w:tc>
      </w:tr>
      <w:tr w:rsidR="6A65EC4E" w:rsidTr="3927AF3A" w14:paraId="2AEB9C61">
        <w:tc>
          <w:tcPr>
            <w:tcW w:w="2400" w:type="dxa"/>
            <w:tcMar/>
          </w:tcPr>
          <w:p w:rsidR="6A65EC4E" w:rsidRDefault="6A65EC4E" w14:noSpellErr="1" w14:paraId="6462160C" w14:textId="4A7D5764">
            <w:r w:rsidR="6A65EC4E">
              <w:rPr/>
              <w:t>Kyndryl: infrastructure outsourcing</w:t>
            </w:r>
          </w:p>
        </w:tc>
        <w:tc>
          <w:tcPr>
            <w:tcW w:w="3150" w:type="dxa"/>
            <w:tcMar/>
          </w:tcPr>
          <w:p w:rsidR="6A65EC4E" w:rsidRDefault="6A65EC4E" w14:noSpellErr="1" w14:paraId="2108CA14" w14:textId="435B3E28">
            <w:r w:rsidR="6A65EC4E">
              <w:rPr/>
              <w:t>FY2026 revenue -3% constant currency; Consult +18%; hyperscaler-related revenue +59% [R22]</w:t>
            </w:r>
          </w:p>
        </w:tc>
        <w:tc>
          <w:tcPr>
            <w:tcW w:w="3476" w:type="dxa"/>
            <w:tcMar/>
          </w:tcPr>
          <w:p w:rsidR="6A65EC4E" w:rsidRDefault="6A65EC4E" w14:noSpellErr="1" w14:paraId="4A7AA0E4" w14:textId="3C3924EC">
            <w:r w:rsidR="6A65EC4E">
              <w:rPr/>
              <w:t>Adjacency and mix change can matter more than protecting the old base. Company-specific metrics, not MSP benchmarks.</w:t>
            </w:r>
          </w:p>
        </w:tc>
      </w:tr>
      <w:tr w:rsidR="6A65EC4E" w:rsidTr="3927AF3A" w14:paraId="5CC86FD7">
        <w:tc>
          <w:tcPr>
            <w:tcW w:w="2400" w:type="dxa"/>
            <w:tcMar/>
          </w:tcPr>
          <w:p w:rsidR="6A65EC4E" w:rsidRDefault="6A65EC4E" w14:noSpellErr="1" w14:paraId="4CD0A855" w14:textId="534E8561">
            <w:r w:rsidR="6A65EC4E">
              <w:rPr/>
              <w:t>CDW: product and service intermediation</w:t>
            </w:r>
          </w:p>
        </w:tc>
        <w:tc>
          <w:tcPr>
            <w:tcW w:w="3150" w:type="dxa"/>
            <w:tcMar/>
          </w:tcPr>
          <w:p w:rsidR="6A65EC4E" w:rsidRDefault="6A65EC4E" w14:noSpellErr="1" w14:paraId="6B6CB6D4" w14:textId="4C2C6C25">
            <w:r w:rsidR="6A65EC4E">
              <w:rPr/>
              <w:t>FY2025 sales +6.8%; operating margin 7.4%; Q4 mix affected by netted-down revenue [R45]</w:t>
            </w:r>
          </w:p>
        </w:tc>
        <w:tc>
          <w:tcPr>
            <w:tcW w:w="3476" w:type="dxa"/>
            <w:tcMar/>
          </w:tcPr>
          <w:p w:rsidR="6A65EC4E" w:rsidRDefault="6A65EC4E" w14:noSpellErr="1" w14:paraId="4C44283F" w14:textId="450A52E9">
            <w:r w:rsidR="6A65EC4E">
              <w:rPr/>
              <w:t>Intermediation can survive. Revenue recognition and mix complicate comparisons; no universal reseller margin ceiling follows.</w:t>
            </w:r>
          </w:p>
        </w:tc>
      </w:tr>
      <w:tr w:rsidR="6A65EC4E" w:rsidTr="3927AF3A" w14:paraId="58F69B9A">
        <w:tc>
          <w:tcPr>
            <w:tcW w:w="2400" w:type="dxa"/>
            <w:tcMar/>
          </w:tcPr>
          <w:p w:rsidR="6A65EC4E" w:rsidRDefault="6A65EC4E" w14:noSpellErr="1" w14:paraId="248812EF" w14:textId="5C1FB35E">
            <w:r w:rsidR="6A65EC4E">
              <w:rPr/>
              <w:t>Travel agents: survival counterexample</w:t>
            </w:r>
          </w:p>
        </w:tc>
        <w:tc>
          <w:tcPr>
            <w:tcW w:w="3150" w:type="dxa"/>
            <w:tcMar/>
          </w:tcPr>
          <w:p w:rsidR="6A65EC4E" w:rsidRDefault="6A65EC4E" w14:noSpellErr="1" w14:paraId="7E5C6FBD" w14:textId="54FD9A22">
            <w:r w:rsidR="6A65EC4E">
              <w:rPr/>
              <w:t>BLS reports 61,500 jobs in 2025 and approximately flat 2025-2035 employment outlook [R39]</w:t>
            </w:r>
          </w:p>
        </w:tc>
        <w:tc>
          <w:tcPr>
            <w:tcW w:w="3476" w:type="dxa"/>
            <w:tcMar/>
          </w:tcPr>
          <w:p w:rsidR="6A65EC4E" w:rsidRDefault="6A65EC4E" w14:noSpellErr="1" w14:paraId="4BC9D081" w14:textId="4DDB80E6">
            <w:r w:rsidR="6A65EC4E">
              <w:rPr/>
              <w:t>Digital access does not imply zero advisers. This report does not assert an unverified historical decline series.</w:t>
            </w:r>
          </w:p>
        </w:tc>
      </w:tr>
    </w:tbl>
    <w:p w:rsidR="6A65EC4E" w:rsidRDefault="6A65EC4E" w14:noSpellErr="1" w14:paraId="5670090F" w14:textId="738C4867">
      <w:r w:rsidR="6A65EC4E">
        <w:rPr/>
        <w:t>Blockbuster is especially useful for a sceptical owner because its filing already described digital delivery initiatives. Awareness and an innovation portfolio were not the same as a successful economic transition. Its subsequent filings show bankruptcy and an asset sale, while the operating brand continued under different ownership. That is a warning about timing, financing and owner returns, not evidence that every MSP must share the same fate. [R71, Item 1; R72, Item 1.03; R73, Item 7.01]</w:t>
      </w:r>
    </w:p>
    <w:p w:rsidR="6A65EC4E" w:rsidRDefault="6A65EC4E" w14:noSpellErr="1" w14:paraId="67C6B5D0" w14:textId="42B17FBD">
      <w:r w:rsidR="6A65EC4E">
        <w:rPr/>
        <w:t>The cross-case conclusion is deliberately narrower than an extinction narrative: platform shifts reduce the protection offered by control over a distribution step or routine activity. Providers that change the source of value may endure; others can shrink, sell under pressure or fail financially. None of these cases supplies a numerical MSP closure forecast. [R22; R44; R45; R71; R72; R73]</w:t>
      </w:r>
    </w:p>
    <w:p w:rsidR="6A65EC4E" w:rsidP="6A65EC4E" w:rsidRDefault="6A65EC4E" w14:paraId="4882C07B" w14:textId="7403CBC6" w14:noSpellErr="1">
      <w:pPr>
        <w:pStyle w:val="Heading1"/>
      </w:pPr>
      <w:r w:rsidRPr="3927AF3A" w:rsidR="3794A404">
        <w:rPr>
          <w:color w:val="17365D" w:themeColor="text2" w:themeTint="FF" w:themeShade="BF"/>
        </w:rPr>
        <w:t>6. Financial Analysis</w:t>
      </w:r>
    </w:p>
    <w:p w:rsidR="6A65EC4E" w:rsidRDefault="6A65EC4E" w14:noSpellErr="1" w14:paraId="24530B84" w14:textId="6C3AD509">
      <w:r w:rsidR="6A65EC4E">
        <w:rPr/>
        <w:t>The test is deliberately uncomfortable for a successful owner: can a profitable provider grow revenue while its economics deteriorate? Model M1 starts with an illustrative conventional MSP at USD5.00 million annual revenue, 25.0 full-time-equivalent staff and 16.5% EBITDA margin. This is a transparent reference business, not a claim about the population's median scale, staffing or profitability. All future values are nominal planning scenarios, not externally sourced forecasts. [M1]</w:t>
      </w:r>
    </w:p>
    <w:p w:rsidR="6A65EC4E" w:rsidP="6A65EC4E" w:rsidRDefault="6A65EC4E" w14:paraId="15AFE7EF" w14:textId="73546E1C" w14:noSpellErr="1">
      <w:pPr>
        <w:pStyle w:val="Heading2"/>
      </w:pPr>
      <w:r w:rsidRPr="3927AF3A" w:rsidR="3794A404">
        <w:rPr>
          <w:color w:val="006D77"/>
        </w:rPr>
        <w:t>6.1 Current service economics</w:t>
      </w:r>
    </w:p>
    <w:tbl>
      <w:tblPr>
        <w:tblStyle w:val="TableGrid"/>
        <w:tblW w:w="0" w:type="auto"/>
        <w:tblLook w:val="0000" w:firstRow="0" w:lastRow="0" w:firstColumn="0" w:lastColumn="0" w:noHBand="0" w:noVBand="0"/>
      </w:tblPr>
      <w:tblGrid>
        <w:gridCol w:w="3500"/>
        <w:gridCol w:w="1842"/>
        <w:gridCol w:w="1842"/>
        <w:gridCol w:w="1842"/>
      </w:tblGrid>
      <w:tr w:rsidR="6A65EC4E" w:rsidTr="3927AF3A" w14:paraId="5FFFDA1C">
        <w:trPr>
          <w:tblHeader/>
        </w:trPr>
        <w:tc>
          <w:tcPr>
            <w:tcW w:w="3500" w:type="dxa"/>
            <w:tcMar/>
          </w:tcPr>
          <w:p w:rsidR="6A65EC4E" w:rsidRDefault="6A65EC4E" w14:paraId="5A24DB7B" w14:textId="230EE97E" w14:noSpellErr="1">
            <w:r w:rsidRPr="3927AF3A" w:rsidR="3794A404">
              <w:rPr>
                <w:b w:val="1"/>
                <w:bCs w:val="1"/>
              </w:rPr>
              <w:t>2026 service line</w:t>
            </w:r>
          </w:p>
        </w:tc>
        <w:tc>
          <w:tcPr>
            <w:tcW w:w="1842" w:type="dxa"/>
            <w:tcMar/>
          </w:tcPr>
          <w:p w:rsidR="6A65EC4E" w:rsidRDefault="6A65EC4E" w14:noSpellErr="1" w14:paraId="3129F57C" w14:textId="1BECD042">
            <w:r w:rsidR="6A65EC4E">
              <w:rPr/>
              <w:t>Revenue, USDm</w:t>
            </w:r>
          </w:p>
        </w:tc>
        <w:tc>
          <w:tcPr>
            <w:tcW w:w="1842" w:type="dxa"/>
            <w:tcMar/>
          </w:tcPr>
          <w:p w:rsidR="6A65EC4E" w:rsidRDefault="6A65EC4E" w14:noSpellErr="1" w14:paraId="2947315E" w14:textId="14CAB706">
            <w:r w:rsidR="6A65EC4E">
              <w:rPr/>
              <w:t>Gross margin</w:t>
            </w:r>
          </w:p>
        </w:tc>
        <w:tc>
          <w:tcPr>
            <w:tcW w:w="1842" w:type="dxa"/>
            <w:tcMar/>
          </w:tcPr>
          <w:p w:rsidR="6A65EC4E" w:rsidRDefault="6A65EC4E" w14:noSpellErr="1" w14:paraId="43CD6DBD" w14:textId="0DA89DCA">
            <w:r w:rsidR="6A65EC4E">
              <w:rPr/>
              <w:t>Gross profit, USDm</w:t>
            </w:r>
          </w:p>
        </w:tc>
      </w:tr>
      <w:tr w:rsidR="6A65EC4E" w:rsidTr="3927AF3A" w14:paraId="4D7AEC4D">
        <w:tc>
          <w:tcPr>
            <w:tcW w:w="3500" w:type="dxa"/>
            <w:tcMar/>
          </w:tcPr>
          <w:p w:rsidR="6A65EC4E" w:rsidRDefault="6A65EC4E" w14:noSpellErr="1" w14:paraId="6D130610" w14:textId="24BDFE3F">
            <w:r w:rsidR="6A65EC4E">
              <w:rPr/>
              <w:t>Core managed support</w:t>
            </w:r>
          </w:p>
        </w:tc>
        <w:tc>
          <w:tcPr>
            <w:tcW w:w="1842" w:type="dxa"/>
            <w:tcMar/>
          </w:tcPr>
          <w:p w:rsidR="6A65EC4E" w:rsidRDefault="6A65EC4E" w14:noSpellErr="1" w14:paraId="2284255A" w14:textId="1D9BE503">
            <w:r w:rsidR="6A65EC4E">
              <w:rPr/>
              <w:t>3.5000</w:t>
            </w:r>
          </w:p>
        </w:tc>
        <w:tc>
          <w:tcPr>
            <w:tcW w:w="1842" w:type="dxa"/>
            <w:tcMar/>
          </w:tcPr>
          <w:p w:rsidR="6A65EC4E" w:rsidRDefault="6A65EC4E" w14:noSpellErr="1" w14:paraId="3E34E2AF" w14:textId="1679CBC7">
            <w:r w:rsidR="6A65EC4E">
              <w:rPr/>
              <w:t>50.0%</w:t>
            </w:r>
          </w:p>
        </w:tc>
        <w:tc>
          <w:tcPr>
            <w:tcW w:w="1842" w:type="dxa"/>
            <w:tcMar/>
          </w:tcPr>
          <w:p w:rsidR="6A65EC4E" w:rsidRDefault="6A65EC4E" w14:noSpellErr="1" w14:paraId="687550D1" w14:textId="0F57B28B">
            <w:r w:rsidR="6A65EC4E">
              <w:rPr/>
              <w:t>1.7500</w:t>
            </w:r>
          </w:p>
        </w:tc>
      </w:tr>
      <w:tr w:rsidR="6A65EC4E" w:rsidTr="3927AF3A" w14:paraId="12D8B3E7">
        <w:tc>
          <w:tcPr>
            <w:tcW w:w="3500" w:type="dxa"/>
            <w:tcMar/>
          </w:tcPr>
          <w:p w:rsidR="6A65EC4E" w:rsidRDefault="6A65EC4E" w14:noSpellErr="1" w14:paraId="14164EC7" w14:textId="266D1300">
            <w:r w:rsidR="6A65EC4E">
              <w:rPr/>
              <w:t>Security and compliance</w:t>
            </w:r>
          </w:p>
        </w:tc>
        <w:tc>
          <w:tcPr>
            <w:tcW w:w="1842" w:type="dxa"/>
            <w:tcMar/>
          </w:tcPr>
          <w:p w:rsidR="6A65EC4E" w:rsidRDefault="6A65EC4E" w14:noSpellErr="1" w14:paraId="60BA2BB7" w14:textId="1F4AF9C4">
            <w:r w:rsidR="6A65EC4E">
              <w:rPr/>
              <w:t>0.7500</w:t>
            </w:r>
          </w:p>
        </w:tc>
        <w:tc>
          <w:tcPr>
            <w:tcW w:w="1842" w:type="dxa"/>
            <w:tcMar/>
          </w:tcPr>
          <w:p w:rsidR="6A65EC4E" w:rsidRDefault="6A65EC4E" w14:noSpellErr="1" w14:paraId="4E7F0922" w14:textId="1828E088">
            <w:r w:rsidR="6A65EC4E">
              <w:rPr/>
              <w:t>45.0%</w:t>
            </w:r>
          </w:p>
        </w:tc>
        <w:tc>
          <w:tcPr>
            <w:tcW w:w="1842" w:type="dxa"/>
            <w:tcMar/>
          </w:tcPr>
          <w:p w:rsidR="6A65EC4E" w:rsidRDefault="6A65EC4E" w14:noSpellErr="1" w14:paraId="4C80FD2E" w14:textId="1106C74C">
            <w:r w:rsidR="6A65EC4E">
              <w:rPr/>
              <w:t>0.3375</w:t>
            </w:r>
          </w:p>
        </w:tc>
      </w:tr>
      <w:tr w:rsidR="6A65EC4E" w:rsidTr="3927AF3A" w14:paraId="6024F1D3">
        <w:tc>
          <w:tcPr>
            <w:tcW w:w="3500" w:type="dxa"/>
            <w:tcMar/>
          </w:tcPr>
          <w:p w:rsidR="6A65EC4E" w:rsidRDefault="6A65EC4E" w14:noSpellErr="1" w14:paraId="4E88950C" w14:textId="281C27C1">
            <w:r w:rsidR="6A65EC4E">
              <w:rPr/>
              <w:t>Projects and advisory</w:t>
            </w:r>
          </w:p>
        </w:tc>
        <w:tc>
          <w:tcPr>
            <w:tcW w:w="1842" w:type="dxa"/>
            <w:tcMar/>
          </w:tcPr>
          <w:p w:rsidR="6A65EC4E" w:rsidRDefault="6A65EC4E" w14:noSpellErr="1" w14:paraId="1F361E15" w14:textId="20FA0E85">
            <w:r w:rsidR="6A65EC4E">
              <w:rPr/>
              <w:t>0.5000</w:t>
            </w:r>
          </w:p>
        </w:tc>
        <w:tc>
          <w:tcPr>
            <w:tcW w:w="1842" w:type="dxa"/>
            <w:tcMar/>
          </w:tcPr>
          <w:p w:rsidR="6A65EC4E" w:rsidRDefault="6A65EC4E" w14:noSpellErr="1" w14:paraId="6DEBD6AF" w14:textId="19D7F549">
            <w:r w:rsidR="6A65EC4E">
              <w:rPr/>
              <w:t>40.0%</w:t>
            </w:r>
          </w:p>
        </w:tc>
        <w:tc>
          <w:tcPr>
            <w:tcW w:w="1842" w:type="dxa"/>
            <w:tcMar/>
          </w:tcPr>
          <w:p w:rsidR="6A65EC4E" w:rsidRDefault="6A65EC4E" w14:noSpellErr="1" w14:paraId="74F490CA" w14:textId="12B5DC0D">
            <w:r w:rsidR="6A65EC4E">
              <w:rPr/>
              <w:t>0.2000</w:t>
            </w:r>
          </w:p>
        </w:tc>
      </w:tr>
      <w:tr w:rsidR="6A65EC4E" w:rsidTr="3927AF3A" w14:paraId="5983C329">
        <w:tc>
          <w:tcPr>
            <w:tcW w:w="3500" w:type="dxa"/>
            <w:tcMar/>
          </w:tcPr>
          <w:p w:rsidR="6A65EC4E" w:rsidRDefault="6A65EC4E" w14:noSpellErr="1" w14:paraId="397471E0" w14:textId="29CB3C82">
            <w:r w:rsidR="6A65EC4E">
              <w:rPr/>
              <w:t>Resale</w:t>
            </w:r>
          </w:p>
        </w:tc>
        <w:tc>
          <w:tcPr>
            <w:tcW w:w="1842" w:type="dxa"/>
            <w:tcMar/>
          </w:tcPr>
          <w:p w:rsidR="6A65EC4E" w:rsidRDefault="6A65EC4E" w14:noSpellErr="1" w14:paraId="684C4D46" w14:textId="22A92346">
            <w:r w:rsidR="6A65EC4E">
              <w:rPr/>
              <w:t>0.2500</w:t>
            </w:r>
          </w:p>
        </w:tc>
        <w:tc>
          <w:tcPr>
            <w:tcW w:w="1842" w:type="dxa"/>
            <w:tcMar/>
          </w:tcPr>
          <w:p w:rsidR="6A65EC4E" w:rsidRDefault="6A65EC4E" w14:noSpellErr="1" w14:paraId="280EA2F7" w14:textId="1B870A0A">
            <w:r w:rsidR="6A65EC4E">
              <w:rPr/>
              <w:t>15.0%</w:t>
            </w:r>
          </w:p>
        </w:tc>
        <w:tc>
          <w:tcPr>
            <w:tcW w:w="1842" w:type="dxa"/>
            <w:tcMar/>
          </w:tcPr>
          <w:p w:rsidR="6A65EC4E" w:rsidRDefault="6A65EC4E" w14:noSpellErr="1" w14:paraId="1AC5E51A" w14:textId="1464F0CE">
            <w:r w:rsidR="6A65EC4E">
              <w:rPr/>
              <w:t>0.0375</w:t>
            </w:r>
          </w:p>
        </w:tc>
      </w:tr>
      <w:tr w:rsidR="6A65EC4E" w:rsidTr="3927AF3A" w14:paraId="1090FBDE">
        <w:tc>
          <w:tcPr>
            <w:tcW w:w="3500" w:type="dxa"/>
            <w:tcMar/>
          </w:tcPr>
          <w:p w:rsidR="6A65EC4E" w:rsidRDefault="6A65EC4E" w14:noSpellErr="1" w14:paraId="5FA54FFA" w14:textId="2B7A5143">
            <w:r w:rsidR="6A65EC4E">
              <w:rPr/>
              <w:t>Total</w:t>
            </w:r>
          </w:p>
        </w:tc>
        <w:tc>
          <w:tcPr>
            <w:tcW w:w="1842" w:type="dxa"/>
            <w:tcMar/>
          </w:tcPr>
          <w:p w:rsidR="6A65EC4E" w:rsidRDefault="6A65EC4E" w14:noSpellErr="1" w14:paraId="26F44D39" w14:textId="24583807">
            <w:r w:rsidR="6A65EC4E">
              <w:rPr/>
              <w:t>5.0000</w:t>
            </w:r>
          </w:p>
        </w:tc>
        <w:tc>
          <w:tcPr>
            <w:tcW w:w="1842" w:type="dxa"/>
            <w:tcMar/>
          </w:tcPr>
          <w:p w:rsidR="6A65EC4E" w:rsidRDefault="6A65EC4E" w14:noSpellErr="1" w14:paraId="6D9E7C11" w14:textId="1D361ECB">
            <w:r w:rsidR="6A65EC4E">
              <w:rPr/>
              <w:t>46.5%</w:t>
            </w:r>
          </w:p>
        </w:tc>
        <w:tc>
          <w:tcPr>
            <w:tcW w:w="1842" w:type="dxa"/>
            <w:tcMar/>
          </w:tcPr>
          <w:p w:rsidR="6A65EC4E" w:rsidRDefault="6A65EC4E" w14:noSpellErr="1" w14:paraId="5C08FE28" w14:textId="1614058F">
            <w:r w:rsidR="6A65EC4E">
              <w:rPr/>
              <w:t>2.3250</w:t>
            </w:r>
          </w:p>
        </w:tc>
      </w:tr>
    </w:tbl>
    <w:p w:rsidR="6A65EC4E" w:rsidRDefault="6A65EC4E" w14:noSpellErr="1" w14:paraId="73DC9638" w14:textId="515BF2C1">
      <w:r w:rsidR="6A65EC4E">
        <w:rPr/>
        <w:t>Core support includes help desk, infrastructure support, monitoring and device management inside one managed-services bundle; these activities are not counted again as separate revenues. Security includes a managed platform plus provider delivery. Resale is recognised gross solely within this model and is not a uniform Microsoft CSP margin. Gross profit of USD2.325 million less USD1.500 million operating overhead gives USD0.825 million EBITDA. Direct core labour is USD1.350 million and core tools USD0.400 million. [M1]</w:t>
      </w:r>
    </w:p>
    <w:p w:rsidR="6A65EC4E" w:rsidRDefault="6A65EC4E" w14:noSpellErr="1" w14:paraId="70BF7DEF" w14:textId="2C18B986">
      <w:r w:rsidR="6A65EC4E">
        <w:rPr/>
        <w:t>Baseline revenue per employee is USD200,000; excluding resale it is USD190,000, while gross profit per employee is USD93,000. An assumed USD100,000 loaded annual labour cost translates the model's delivery and indirect labour spending into FTE equivalents. This is not a wage survey or a staffing forecast. Gross profit per employee and cash contribution per customer are more informative steering measures than revenue per employee when licence accounting or service mix changes. [M1]</w:t>
      </w:r>
    </w:p>
    <w:p w:rsidR="6A65EC4E" w:rsidP="6A65EC4E" w:rsidRDefault="6A65EC4E" w14:paraId="2866DC39" w14:textId="7FC3469C" w14:noSpellErr="1">
      <w:pPr>
        <w:pStyle w:val="Heading2"/>
      </w:pPr>
      <w:r w:rsidRPr="3927AF3A" w:rsidR="3794A404">
        <w:rPr>
          <w:color w:val="006D77"/>
        </w:rPr>
        <w:t>6.2 Scenario assumptions: separate adoption from value capture</w:t>
      </w:r>
    </w:p>
    <w:p w:rsidR="6A65EC4E" w:rsidRDefault="6A65EC4E" w14:noSpellErr="1" w14:paraId="2506B62C" w14:textId="641BCD5C">
      <w:r w:rsidR="6A65EC4E">
        <w:rPr/>
        <w:t>The scenarios vary both market conditions and management execution; they must not be read as an experiment proving that AI alone causes the difference. The bull case combines retained demand, execution and differentiated sales. The base case includes some new services but limited productivity capture. The bear case combines customer contraction, price pressure and weak redesign. The exact assumptions below are author-selected stress inputs; Section 6.3 explains the source anchors and what they do not establish. [M1]</w:t>
      </w:r>
    </w:p>
    <w:tbl>
      <w:tblPr>
        <w:tblStyle w:val="TableGrid"/>
        <w:tblW w:w="0" w:type="auto"/>
        <w:tblLook w:val="0000" w:firstRow="0" w:lastRow="0" w:firstColumn="0" w:lastColumn="0" w:noHBand="0" w:noVBand="0"/>
      </w:tblPr>
      <w:tblGrid>
        <w:gridCol w:w="2200"/>
        <w:gridCol w:w="2100"/>
        <w:gridCol w:w="2350"/>
        <w:gridCol w:w="2376"/>
      </w:tblGrid>
      <w:tr w:rsidR="6A65EC4E" w:rsidTr="3927AF3A" w14:paraId="2A1EB587">
        <w:trPr>
          <w:tblHeader/>
        </w:trPr>
        <w:tc>
          <w:tcPr>
            <w:tcW w:w="2200" w:type="dxa"/>
            <w:tcMar/>
          </w:tcPr>
          <w:p w:rsidR="6A65EC4E" w:rsidRDefault="6A65EC4E" w14:paraId="1B249CC6" w14:textId="72698763" w14:noSpellErr="1">
            <w:r w:rsidRPr="3927AF3A" w:rsidR="3794A404">
              <w:rPr>
                <w:b w:val="1"/>
                <w:bCs w:val="1"/>
              </w:rPr>
              <w:t>Planning input</w:t>
            </w:r>
          </w:p>
        </w:tc>
        <w:tc>
          <w:tcPr>
            <w:tcW w:w="2100" w:type="dxa"/>
            <w:tcMar/>
          </w:tcPr>
          <w:p w:rsidR="6A65EC4E" w:rsidRDefault="6A65EC4E" w14:noSpellErr="1" w14:paraId="3A140C95" w14:textId="6B476E27">
            <w:r w:rsidR="6A65EC4E">
              <w:rPr/>
              <w:t>Bull</w:t>
            </w:r>
          </w:p>
        </w:tc>
        <w:tc>
          <w:tcPr>
            <w:tcW w:w="2350" w:type="dxa"/>
            <w:tcMar/>
          </w:tcPr>
          <w:p w:rsidR="6A65EC4E" w:rsidRDefault="6A65EC4E" w14:noSpellErr="1" w14:paraId="5E5BDFC1" w14:textId="642554EB">
            <w:r w:rsidR="6A65EC4E">
              <w:rPr/>
              <w:t>Base</w:t>
            </w:r>
          </w:p>
        </w:tc>
        <w:tc>
          <w:tcPr>
            <w:tcW w:w="2376" w:type="dxa"/>
            <w:tcMar/>
          </w:tcPr>
          <w:p w:rsidR="6A65EC4E" w:rsidRDefault="6A65EC4E" w14:noSpellErr="1" w14:paraId="6E664A54" w14:textId="5D033BAF">
            <w:r w:rsidR="6A65EC4E">
              <w:rPr/>
              <w:t>Bear</w:t>
            </w:r>
          </w:p>
        </w:tc>
      </w:tr>
      <w:tr w:rsidR="6A65EC4E" w:rsidTr="3927AF3A" w14:paraId="15DEEB9C">
        <w:tc>
          <w:tcPr>
            <w:tcW w:w="2200" w:type="dxa"/>
            <w:tcMar/>
          </w:tcPr>
          <w:p w:rsidR="6A65EC4E" w:rsidRDefault="6A65EC4E" w14:noSpellErr="1" w14:paraId="2F064097" w14:textId="74189C24">
            <w:r w:rsidR="6A65EC4E">
              <w:rPr/>
              <w:t>Core workload growth, annually</w:t>
            </w:r>
          </w:p>
        </w:tc>
        <w:tc>
          <w:tcPr>
            <w:tcW w:w="2100" w:type="dxa"/>
            <w:tcMar/>
          </w:tcPr>
          <w:p w:rsidR="6A65EC4E" w:rsidRDefault="6A65EC4E" w14:noSpellErr="1" w14:paraId="23ADE8CC" w14:textId="6CF682E8">
            <w:r w:rsidR="6A65EC4E">
              <w:rPr/>
              <w:t>+3%</w:t>
            </w:r>
          </w:p>
        </w:tc>
        <w:tc>
          <w:tcPr>
            <w:tcW w:w="2350" w:type="dxa"/>
            <w:tcMar/>
          </w:tcPr>
          <w:p w:rsidR="6A65EC4E" w:rsidRDefault="6A65EC4E" w14:noSpellErr="1" w14:paraId="34AC81AE" w14:textId="65D469AC">
            <w:r w:rsidR="6A65EC4E">
              <w:rPr/>
              <w:t>0%</w:t>
            </w:r>
          </w:p>
        </w:tc>
        <w:tc>
          <w:tcPr>
            <w:tcW w:w="2376" w:type="dxa"/>
            <w:tcMar/>
          </w:tcPr>
          <w:p w:rsidR="6A65EC4E" w:rsidRDefault="6A65EC4E" w14:noSpellErr="1" w14:paraId="1A0B7385" w14:textId="5EB25070">
            <w:r w:rsidR="6A65EC4E">
              <w:rPr/>
              <w:t>-4%</w:t>
            </w:r>
          </w:p>
        </w:tc>
      </w:tr>
      <w:tr w:rsidR="6A65EC4E" w:rsidTr="3927AF3A" w14:paraId="2F2F701C">
        <w:tc>
          <w:tcPr>
            <w:tcW w:w="2200" w:type="dxa"/>
            <w:tcMar/>
          </w:tcPr>
          <w:p w:rsidR="6A65EC4E" w:rsidRDefault="6A65EC4E" w14:noSpellErr="1" w14:paraId="7A191A21" w14:textId="75C7B0E5">
            <w:r w:rsidR="6A65EC4E">
              <w:rPr/>
              <w:t>Core price change, annually</w:t>
            </w:r>
          </w:p>
        </w:tc>
        <w:tc>
          <w:tcPr>
            <w:tcW w:w="2100" w:type="dxa"/>
            <w:tcMar/>
          </w:tcPr>
          <w:p w:rsidR="6A65EC4E" w:rsidRDefault="6A65EC4E" w14:noSpellErr="1" w14:paraId="2AC999FE" w14:textId="6EA597A9">
            <w:r w:rsidR="6A65EC4E">
              <w:rPr/>
              <w:t>-1%</w:t>
            </w:r>
          </w:p>
        </w:tc>
        <w:tc>
          <w:tcPr>
            <w:tcW w:w="2350" w:type="dxa"/>
            <w:tcMar/>
          </w:tcPr>
          <w:p w:rsidR="6A65EC4E" w:rsidRDefault="6A65EC4E" w14:noSpellErr="1" w14:paraId="58E47802" w14:textId="67837E6D">
            <w:r w:rsidR="6A65EC4E">
              <w:rPr/>
              <w:t>-2%</w:t>
            </w:r>
          </w:p>
        </w:tc>
        <w:tc>
          <w:tcPr>
            <w:tcW w:w="2376" w:type="dxa"/>
            <w:tcMar/>
          </w:tcPr>
          <w:p w:rsidR="6A65EC4E" w:rsidRDefault="6A65EC4E" w14:noSpellErr="1" w14:paraId="5CE913F6" w14:textId="60616531">
            <w:r w:rsidR="6A65EC4E">
              <w:rPr/>
              <w:t>-4%</w:t>
            </w:r>
          </w:p>
        </w:tc>
      </w:tr>
      <w:tr w:rsidR="6A65EC4E" w:rsidTr="3927AF3A" w14:paraId="52023D2C">
        <w:tc>
          <w:tcPr>
            <w:tcW w:w="2200" w:type="dxa"/>
            <w:tcMar/>
          </w:tcPr>
          <w:p w:rsidR="6A65EC4E" w:rsidRDefault="6A65EC4E" w14:noSpellErr="1" w14:paraId="558334DB" w14:textId="7776C5A6">
            <w:r w:rsidR="6A65EC4E">
              <w:rPr/>
              <w:t>Security revenue growth, annually</w:t>
            </w:r>
          </w:p>
        </w:tc>
        <w:tc>
          <w:tcPr>
            <w:tcW w:w="2100" w:type="dxa"/>
            <w:tcMar/>
          </w:tcPr>
          <w:p w:rsidR="6A65EC4E" w:rsidRDefault="6A65EC4E" w14:noSpellErr="1" w14:paraId="72CFC8E1" w14:textId="7054AC6A">
            <w:r w:rsidR="6A65EC4E">
              <w:rPr/>
              <w:t>+15%</w:t>
            </w:r>
          </w:p>
        </w:tc>
        <w:tc>
          <w:tcPr>
            <w:tcW w:w="2350" w:type="dxa"/>
            <w:tcMar/>
          </w:tcPr>
          <w:p w:rsidR="6A65EC4E" w:rsidRDefault="6A65EC4E" w14:noSpellErr="1" w14:paraId="18C9E19D" w14:textId="6932932E">
            <w:r w:rsidR="6A65EC4E">
              <w:rPr/>
              <w:t>+10%</w:t>
            </w:r>
          </w:p>
        </w:tc>
        <w:tc>
          <w:tcPr>
            <w:tcW w:w="2376" w:type="dxa"/>
            <w:tcMar/>
          </w:tcPr>
          <w:p w:rsidR="6A65EC4E" w:rsidRDefault="6A65EC4E" w14:noSpellErr="1" w14:paraId="4C2B4F75" w14:textId="621079F2">
            <w:r w:rsidR="6A65EC4E">
              <w:rPr/>
              <w:t>+4%</w:t>
            </w:r>
          </w:p>
        </w:tc>
      </w:tr>
      <w:tr w:rsidR="6A65EC4E" w:rsidTr="3927AF3A" w14:paraId="5371E345">
        <w:tc>
          <w:tcPr>
            <w:tcW w:w="2200" w:type="dxa"/>
            <w:tcMar/>
          </w:tcPr>
          <w:p w:rsidR="6A65EC4E" w:rsidRDefault="6A65EC4E" w14:noSpellErr="1" w14:paraId="4B2324C3" w14:textId="7925DA67">
            <w:r w:rsidR="6A65EC4E">
              <w:rPr/>
              <w:t>Legacy project revenue, annually</w:t>
            </w:r>
          </w:p>
        </w:tc>
        <w:tc>
          <w:tcPr>
            <w:tcW w:w="2100" w:type="dxa"/>
            <w:tcMar/>
          </w:tcPr>
          <w:p w:rsidR="6A65EC4E" w:rsidRDefault="6A65EC4E" w14:noSpellErr="1" w14:paraId="2CF61448" w14:textId="7203C12B">
            <w:r w:rsidR="6A65EC4E">
              <w:rPr/>
              <w:t>0%</w:t>
            </w:r>
          </w:p>
        </w:tc>
        <w:tc>
          <w:tcPr>
            <w:tcW w:w="2350" w:type="dxa"/>
            <w:tcMar/>
          </w:tcPr>
          <w:p w:rsidR="6A65EC4E" w:rsidRDefault="6A65EC4E" w14:noSpellErr="1" w14:paraId="3F93CDA2" w14:textId="6AE1A7EF">
            <w:r w:rsidR="6A65EC4E">
              <w:rPr/>
              <w:t>-3%</w:t>
            </w:r>
          </w:p>
        </w:tc>
        <w:tc>
          <w:tcPr>
            <w:tcW w:w="2376" w:type="dxa"/>
            <w:tcMar/>
          </w:tcPr>
          <w:p w:rsidR="6A65EC4E" w:rsidRDefault="6A65EC4E" w14:noSpellErr="1" w14:paraId="65096D06" w14:textId="63BF8EB3">
            <w:r w:rsidR="6A65EC4E">
              <w:rPr/>
              <w:t>-7%</w:t>
            </w:r>
          </w:p>
        </w:tc>
      </w:tr>
      <w:tr w:rsidR="6A65EC4E" w:rsidTr="3927AF3A" w14:paraId="7FD09846">
        <w:tc>
          <w:tcPr>
            <w:tcW w:w="2200" w:type="dxa"/>
            <w:tcMar/>
          </w:tcPr>
          <w:p w:rsidR="6A65EC4E" w:rsidRDefault="6A65EC4E" w14:noSpellErr="1" w14:paraId="498EC206" w14:textId="7AD4EF28">
            <w:r w:rsidR="6A65EC4E">
              <w:rPr/>
              <w:t>Resale revenue, annually</w:t>
            </w:r>
          </w:p>
        </w:tc>
        <w:tc>
          <w:tcPr>
            <w:tcW w:w="2100" w:type="dxa"/>
            <w:tcMar/>
          </w:tcPr>
          <w:p w:rsidR="6A65EC4E" w:rsidRDefault="6A65EC4E" w14:noSpellErr="1" w14:paraId="74C8721E" w14:textId="73B2D5EC">
            <w:r w:rsidR="6A65EC4E">
              <w:rPr/>
              <w:t>0%</w:t>
            </w:r>
          </w:p>
        </w:tc>
        <w:tc>
          <w:tcPr>
            <w:tcW w:w="2350" w:type="dxa"/>
            <w:tcMar/>
          </w:tcPr>
          <w:p w:rsidR="6A65EC4E" w:rsidRDefault="6A65EC4E" w14:noSpellErr="1" w14:paraId="46DB37D4" w14:textId="6C90BCB0">
            <w:r w:rsidR="6A65EC4E">
              <w:rPr/>
              <w:t>-3%</w:t>
            </w:r>
          </w:p>
        </w:tc>
        <w:tc>
          <w:tcPr>
            <w:tcW w:w="2376" w:type="dxa"/>
            <w:tcMar/>
          </w:tcPr>
          <w:p w:rsidR="6A65EC4E" w:rsidRDefault="6A65EC4E" w14:noSpellErr="1" w14:paraId="62E75707" w14:textId="656EA374">
            <w:r w:rsidR="6A65EC4E">
              <w:rPr/>
              <w:t>-5%</w:t>
            </w:r>
          </w:p>
        </w:tc>
      </w:tr>
      <w:tr w:rsidR="6A65EC4E" w:rsidTr="3927AF3A" w14:paraId="648B68C5">
        <w:tc>
          <w:tcPr>
            <w:tcW w:w="2200" w:type="dxa"/>
            <w:tcMar/>
          </w:tcPr>
          <w:p w:rsidR="6A65EC4E" w:rsidRDefault="6A65EC4E" w14:noSpellErr="1" w14:paraId="5C0A5253" w14:textId="7C8403E9">
            <w:r w:rsidR="6A65EC4E">
              <w:rPr/>
              <w:t>Core labour hours eliminated by 2030</w:t>
            </w:r>
          </w:p>
        </w:tc>
        <w:tc>
          <w:tcPr>
            <w:tcW w:w="2100" w:type="dxa"/>
            <w:tcMar/>
          </w:tcPr>
          <w:p w:rsidR="6A65EC4E" w:rsidRDefault="6A65EC4E" w14:noSpellErr="1" w14:paraId="73A6CA11" w14:textId="7561EAAD">
            <w:r w:rsidR="6A65EC4E">
              <w:rPr/>
              <w:t>30%</w:t>
            </w:r>
          </w:p>
        </w:tc>
        <w:tc>
          <w:tcPr>
            <w:tcW w:w="2350" w:type="dxa"/>
            <w:tcMar/>
          </w:tcPr>
          <w:p w:rsidR="6A65EC4E" w:rsidRDefault="6A65EC4E" w14:noSpellErr="1" w14:paraId="3F150262" w14:textId="6E3FD171">
            <w:r w:rsidR="6A65EC4E">
              <w:rPr/>
              <w:t>18%</w:t>
            </w:r>
          </w:p>
        </w:tc>
        <w:tc>
          <w:tcPr>
            <w:tcW w:w="2376" w:type="dxa"/>
            <w:tcMar/>
          </w:tcPr>
          <w:p w:rsidR="6A65EC4E" w:rsidRDefault="6A65EC4E" w14:noSpellErr="1" w14:paraId="69E2A751" w14:textId="671DB835">
            <w:r w:rsidR="6A65EC4E">
              <w:rPr/>
              <w:t>5%</w:t>
            </w:r>
          </w:p>
        </w:tc>
      </w:tr>
      <w:tr w:rsidR="6A65EC4E" w:rsidTr="3927AF3A" w14:paraId="6B536A03">
        <w:tc>
          <w:tcPr>
            <w:tcW w:w="2200" w:type="dxa"/>
            <w:tcMar/>
          </w:tcPr>
          <w:p w:rsidR="6A65EC4E" w:rsidRDefault="6A65EC4E" w14:noSpellErr="1" w14:paraId="6BD845A0" w14:textId="7E3318AA">
            <w:r w:rsidR="6A65EC4E">
              <w:rPr/>
              <w:t>Incremental core AI tools, 2030</w:t>
            </w:r>
          </w:p>
        </w:tc>
        <w:tc>
          <w:tcPr>
            <w:tcW w:w="2100" w:type="dxa"/>
            <w:tcMar/>
          </w:tcPr>
          <w:p w:rsidR="6A65EC4E" w:rsidRDefault="6A65EC4E" w14:noSpellErr="1" w14:paraId="393A78EC" w14:textId="7710FF6E">
            <w:r w:rsidR="6A65EC4E">
              <w:rPr/>
              <w:t>USD100k</w:t>
            </w:r>
          </w:p>
        </w:tc>
        <w:tc>
          <w:tcPr>
            <w:tcW w:w="2350" w:type="dxa"/>
            <w:tcMar/>
          </w:tcPr>
          <w:p w:rsidR="6A65EC4E" w:rsidRDefault="6A65EC4E" w14:noSpellErr="1" w14:paraId="1B94D09F" w14:textId="6FEEE632">
            <w:r w:rsidR="6A65EC4E">
              <w:rPr/>
              <w:t>USD80k</w:t>
            </w:r>
          </w:p>
        </w:tc>
        <w:tc>
          <w:tcPr>
            <w:tcW w:w="2376" w:type="dxa"/>
            <w:tcMar/>
          </w:tcPr>
          <w:p w:rsidR="6A65EC4E" w:rsidRDefault="6A65EC4E" w14:noSpellErr="1" w14:paraId="458375EB" w14:textId="68CCCCF6">
            <w:r w:rsidR="6A65EC4E">
              <w:rPr/>
              <w:t>USD30k</w:t>
            </w:r>
          </w:p>
        </w:tc>
      </w:tr>
      <w:tr w:rsidR="6A65EC4E" w:rsidTr="3927AF3A" w14:paraId="75C91A1A">
        <w:tc>
          <w:tcPr>
            <w:tcW w:w="2200" w:type="dxa"/>
            <w:tcMar/>
          </w:tcPr>
          <w:p w:rsidR="6A65EC4E" w:rsidRDefault="6A65EC4E" w14:noSpellErr="1" w14:paraId="62E9D078" w14:textId="7FE22D6B">
            <w:r w:rsidR="6A65EC4E">
              <w:rPr/>
              <w:t>Net new AI/data/automation revenue added each year</w:t>
            </w:r>
          </w:p>
        </w:tc>
        <w:tc>
          <w:tcPr>
            <w:tcW w:w="2100" w:type="dxa"/>
            <w:tcMar/>
          </w:tcPr>
          <w:p w:rsidR="6A65EC4E" w:rsidRDefault="6A65EC4E" w14:noSpellErr="1" w14:paraId="40896473" w14:textId="78C0142F">
            <w:r w:rsidR="6A65EC4E">
              <w:rPr/>
              <w:t>USD250k</w:t>
            </w:r>
          </w:p>
        </w:tc>
        <w:tc>
          <w:tcPr>
            <w:tcW w:w="2350" w:type="dxa"/>
            <w:tcMar/>
          </w:tcPr>
          <w:p w:rsidR="6A65EC4E" w:rsidRDefault="6A65EC4E" w14:noSpellErr="1" w14:paraId="31E5DDE1" w14:textId="719DFAF3">
            <w:r w:rsidR="6A65EC4E">
              <w:rPr/>
              <w:t>USD150k</w:t>
            </w:r>
          </w:p>
        </w:tc>
        <w:tc>
          <w:tcPr>
            <w:tcW w:w="2376" w:type="dxa"/>
            <w:tcMar/>
          </w:tcPr>
          <w:p w:rsidR="6A65EC4E" w:rsidRDefault="6A65EC4E" w14:noSpellErr="1" w14:paraId="70FDC903" w14:textId="6A7BE1B7">
            <w:r w:rsidR="6A65EC4E">
              <w:rPr/>
              <w:t>Nil</w:t>
            </w:r>
          </w:p>
        </w:tc>
      </w:tr>
      <w:tr w:rsidR="6A65EC4E" w:rsidTr="3927AF3A" w14:paraId="70BA8DB2">
        <w:tc>
          <w:tcPr>
            <w:tcW w:w="2200" w:type="dxa"/>
            <w:tcMar/>
          </w:tcPr>
          <w:p w:rsidR="6A65EC4E" w:rsidRDefault="6A65EC4E" w14:noSpellErr="1" w14:paraId="63A0F320" w14:textId="0191422C">
            <w:r w:rsidR="6A65EC4E">
              <w:rPr/>
              <w:t>New-service gross margin</w:t>
            </w:r>
          </w:p>
        </w:tc>
        <w:tc>
          <w:tcPr>
            <w:tcW w:w="2100" w:type="dxa"/>
            <w:tcMar/>
          </w:tcPr>
          <w:p w:rsidR="6A65EC4E" w:rsidRDefault="6A65EC4E" w14:noSpellErr="1" w14:paraId="3CA00E25" w14:textId="7A6F28F0">
            <w:r w:rsidR="6A65EC4E">
              <w:rPr/>
              <w:t>55%</w:t>
            </w:r>
          </w:p>
        </w:tc>
        <w:tc>
          <w:tcPr>
            <w:tcW w:w="2350" w:type="dxa"/>
            <w:tcMar/>
          </w:tcPr>
          <w:p w:rsidR="6A65EC4E" w:rsidRDefault="6A65EC4E" w14:noSpellErr="1" w14:paraId="3B9357C9" w14:textId="734D0FB4">
            <w:r w:rsidR="6A65EC4E">
              <w:rPr/>
              <w:t>45%</w:t>
            </w:r>
          </w:p>
        </w:tc>
        <w:tc>
          <w:tcPr>
            <w:tcW w:w="2376" w:type="dxa"/>
            <w:tcMar/>
          </w:tcPr>
          <w:p w:rsidR="6A65EC4E" w:rsidRDefault="6A65EC4E" w14:noSpellErr="1" w14:paraId="32F6BBA1" w14:textId="6C2AF678">
            <w:r w:rsidR="6A65EC4E">
              <w:rPr/>
              <w:t>Not applicable</w:t>
            </w:r>
          </w:p>
        </w:tc>
      </w:tr>
      <w:tr w:rsidR="6A65EC4E" w:rsidTr="3927AF3A" w14:paraId="4BA15A39">
        <w:tc>
          <w:tcPr>
            <w:tcW w:w="2200" w:type="dxa"/>
            <w:tcMar/>
          </w:tcPr>
          <w:p w:rsidR="6A65EC4E" w:rsidRDefault="6A65EC4E" w14:noSpellErr="1" w14:paraId="6E291E53" w14:textId="034056ED">
            <w:r w:rsidR="6A65EC4E">
              <w:rPr/>
              <w:t>2030 security / projects / resale gross margin</w:t>
            </w:r>
          </w:p>
        </w:tc>
        <w:tc>
          <w:tcPr>
            <w:tcW w:w="2100" w:type="dxa"/>
            <w:tcMar/>
          </w:tcPr>
          <w:p w:rsidR="6A65EC4E" w:rsidRDefault="6A65EC4E" w14:noSpellErr="1" w14:paraId="501EF252" w14:textId="7C1E3DB1">
            <w:r w:rsidR="6A65EC4E">
              <w:rPr/>
              <w:t>55 / 45 / 12%</w:t>
            </w:r>
          </w:p>
        </w:tc>
        <w:tc>
          <w:tcPr>
            <w:tcW w:w="2350" w:type="dxa"/>
            <w:tcMar/>
          </w:tcPr>
          <w:p w:rsidR="6A65EC4E" w:rsidRDefault="6A65EC4E" w14:noSpellErr="1" w14:paraId="465587EF" w14:textId="74FC2475">
            <w:r w:rsidR="6A65EC4E">
              <w:rPr/>
              <w:t>50 / 40 / 12%</w:t>
            </w:r>
          </w:p>
        </w:tc>
        <w:tc>
          <w:tcPr>
            <w:tcW w:w="2376" w:type="dxa"/>
            <w:tcMar/>
          </w:tcPr>
          <w:p w:rsidR="6A65EC4E" w:rsidRDefault="6A65EC4E" w14:noSpellErr="1" w14:paraId="27A991A6" w14:textId="6DDA0B39">
            <w:r w:rsidR="6A65EC4E">
              <w:rPr/>
              <w:t>40 / 30 / 10%</w:t>
            </w:r>
          </w:p>
        </w:tc>
      </w:tr>
      <w:tr w:rsidR="6A65EC4E" w:rsidTr="3927AF3A" w14:paraId="5B94266A">
        <w:tc>
          <w:tcPr>
            <w:tcW w:w="2200" w:type="dxa"/>
            <w:tcMar/>
          </w:tcPr>
          <w:p w:rsidR="6A65EC4E" w:rsidRDefault="6A65EC4E" w14:noSpellErr="1" w14:paraId="390C3D4E" w14:textId="04EF6BAE">
            <w:r w:rsidR="6A65EC4E">
              <w:rPr/>
              <w:t>2027-2030 transition expense, by year</w:t>
            </w:r>
          </w:p>
        </w:tc>
        <w:tc>
          <w:tcPr>
            <w:tcW w:w="2100" w:type="dxa"/>
            <w:tcMar/>
          </w:tcPr>
          <w:p w:rsidR="6A65EC4E" w:rsidRDefault="6A65EC4E" w14:noSpellErr="1" w14:paraId="2EBDDDA2" w14:textId="7DCD5272">
            <w:r w:rsidR="6A65EC4E">
              <w:rPr/>
              <w:t>250 / 250 / 150 / 100k</w:t>
            </w:r>
          </w:p>
        </w:tc>
        <w:tc>
          <w:tcPr>
            <w:tcW w:w="2350" w:type="dxa"/>
            <w:tcMar/>
          </w:tcPr>
          <w:p w:rsidR="6A65EC4E" w:rsidRDefault="6A65EC4E" w14:noSpellErr="1" w14:paraId="25AD4754" w14:textId="76AB3936">
            <w:r w:rsidR="6A65EC4E">
              <w:rPr/>
              <w:t>150 / 150 / 100 / 75k</w:t>
            </w:r>
          </w:p>
        </w:tc>
        <w:tc>
          <w:tcPr>
            <w:tcW w:w="2376" w:type="dxa"/>
            <w:tcMar/>
          </w:tcPr>
          <w:p w:rsidR="6A65EC4E" w:rsidRDefault="6A65EC4E" w14:noSpellErr="1" w14:paraId="35DD8642" w14:textId="6F891FFA">
            <w:r w:rsidR="6A65EC4E">
              <w:rPr/>
              <w:t>25 / 25 / 25 / 25k</w:t>
            </w:r>
          </w:p>
        </w:tc>
      </w:tr>
      <w:tr w:rsidR="6A65EC4E" w:rsidTr="3927AF3A" w14:paraId="12F9513F">
        <w:tc>
          <w:tcPr>
            <w:tcW w:w="2200" w:type="dxa"/>
            <w:tcMar/>
          </w:tcPr>
          <w:p w:rsidR="6A65EC4E" w:rsidRDefault="6A65EC4E" w14:noSpellErr="1" w14:paraId="2D8CE5F9" w14:textId="069E806F">
            <w:r w:rsidR="6A65EC4E">
              <w:rPr/>
              <w:t>Wage and core tool inflation, annually</w:t>
            </w:r>
          </w:p>
        </w:tc>
        <w:tc>
          <w:tcPr>
            <w:tcW w:w="2100" w:type="dxa"/>
            <w:tcMar/>
          </w:tcPr>
          <w:p w:rsidR="6A65EC4E" w:rsidRDefault="6A65EC4E" w14:noSpellErr="1" w14:paraId="317A785B" w14:textId="7F7C6733">
            <w:r w:rsidR="6A65EC4E">
              <w:rPr/>
              <w:t>3.5%</w:t>
            </w:r>
          </w:p>
        </w:tc>
        <w:tc>
          <w:tcPr>
            <w:tcW w:w="2350" w:type="dxa"/>
            <w:tcMar/>
          </w:tcPr>
          <w:p w:rsidR="6A65EC4E" w:rsidRDefault="6A65EC4E" w14:noSpellErr="1" w14:paraId="31BEF97A" w14:textId="785A4DF7">
            <w:r w:rsidR="6A65EC4E">
              <w:rPr/>
              <w:t>3.5%</w:t>
            </w:r>
          </w:p>
        </w:tc>
        <w:tc>
          <w:tcPr>
            <w:tcW w:w="2376" w:type="dxa"/>
            <w:tcMar/>
          </w:tcPr>
          <w:p w:rsidR="6A65EC4E" w:rsidRDefault="6A65EC4E" w14:noSpellErr="1" w14:paraId="4F85E5F7" w14:textId="713834BB">
            <w:r w:rsidR="6A65EC4E">
              <w:rPr/>
              <w:t>3.5%</w:t>
            </w:r>
          </w:p>
        </w:tc>
      </w:tr>
    </w:tbl>
    <w:p w:rsidR="6A65EC4E" w:rsidRDefault="6A65EC4E" w14:noSpellErr="1" w14:paraId="2DBF4EDE" w14:textId="1748E711">
      <w:r w:rsidR="6A65EC4E">
        <w:rPr/>
        <w:t>All input amounts are USD. Automation ramps linearly from zero incremental savings in 2026 to the stated 2030 hours reduction. Existing automation is already reflected in baseline costs. Workload growth incorporates customer retention and demand, avoiding a second separate churn deduction. New-service annual additions are net retained revenues, not pipeline bookings. Realisation requires contracts, capacity and renewal; none is assumed to occur merely because a provider adds an AI label. [M1]</w:t>
      </w:r>
    </w:p>
    <w:p w:rsidR="6A65EC4E" w:rsidRDefault="6A65EC4E" w14:noSpellErr="1" w14:paraId="1FF3F51A" w14:textId="3B4EE673">
      <w:r w:rsidR="6A65EC4E">
        <w:rPr/>
        <w:t>Future services are grouped to avoid double counting: security and compliance remain one line; AI advisory, implementation, governance, data services and business-process automation form the new-services line. Reusable managed workflows can mature into recurring subscriptions, but project revenue is not automatically recurring. The model does not assume that every outcome-based or AI consulting contract is intrinsically high-margin. [M1]</w:t>
      </w:r>
    </w:p>
    <w:p w:rsidR="6A65EC4E" w:rsidP="6A65EC4E" w:rsidRDefault="6A65EC4E" w14:paraId="5F21A92C" w14:textId="2A1E41FE" w14:noSpellErr="1">
      <w:pPr>
        <w:pStyle w:val="Heading2"/>
      </w:pPr>
      <w:r w:rsidRPr="3927AF3A" w:rsidR="3794A404">
        <w:rPr>
          <w:color w:val="006D77"/>
        </w:rPr>
        <w:t>6.3 Evidence anchors and unsupported precision avoided</w:t>
      </w:r>
    </w:p>
    <w:p w:rsidR="6A65EC4E" w:rsidRDefault="6A65EC4E" w14:noSpellErr="1" w14:paraId="54D19888" w14:textId="1ECAA259">
      <w:r w:rsidR="6A65EC4E">
        <w:rPr/>
        <w:t>A 16.5% starting EBITDA margin represents a successful illustrative provider, not a typical MSP. The older public Service Leadership average is 11.1% for Q4 2024; the June 2026 release reports best-in-class TSP adjusted EBITDA of at least 19%, not a new population average. These are separate periods and commercial-panel definitions. They provide context for the model, not statistical validation of its starting point. [R01; R02; M1]</w:t>
      </w:r>
    </w:p>
    <w:tbl>
      <w:tblPr>
        <w:tblStyle w:val="TableGrid"/>
        <w:tblW w:w="0" w:type="auto"/>
        <w:tblLook w:val="0000" w:firstRow="0" w:lastRow="0" w:firstColumn="0" w:lastColumn="0" w:noHBand="0" w:noVBand="0"/>
      </w:tblPr>
      <w:tblGrid>
        <w:gridCol w:w="2400"/>
        <w:gridCol w:w="3150"/>
        <w:gridCol w:w="3476"/>
      </w:tblGrid>
      <w:tr w:rsidR="6A65EC4E" w:rsidTr="3927AF3A" w14:paraId="1E05AD89">
        <w:trPr>
          <w:tblHeader/>
        </w:trPr>
        <w:tc>
          <w:tcPr>
            <w:tcW w:w="2400" w:type="dxa"/>
            <w:tcMar/>
          </w:tcPr>
          <w:p w:rsidR="6A65EC4E" w:rsidRDefault="6A65EC4E" w14:paraId="46902824" w14:textId="4D8DB68F" w14:noSpellErr="1">
            <w:r w:rsidRPr="3927AF3A" w:rsidR="3794A404">
              <w:rPr>
                <w:b w:val="1"/>
                <w:bCs w:val="1"/>
              </w:rPr>
              <w:t>Model assumption family</w:t>
            </w:r>
          </w:p>
        </w:tc>
        <w:tc>
          <w:tcPr>
            <w:tcW w:w="3150" w:type="dxa"/>
            <w:tcMar/>
          </w:tcPr>
          <w:p w:rsidR="6A65EC4E" w:rsidRDefault="6A65EC4E" w14:paraId="4D227CC5" w14:textId="466B9D53" w14:noSpellErr="1">
            <w:r w:rsidRPr="3927AF3A" w:rsidR="3794A404">
              <w:rPr>
                <w:b w:val="1"/>
                <w:bCs w:val="1"/>
              </w:rPr>
              <w:t>Credible directional anchor</w:t>
            </w:r>
          </w:p>
        </w:tc>
        <w:tc>
          <w:tcPr>
            <w:tcW w:w="3476" w:type="dxa"/>
            <w:tcMar/>
          </w:tcPr>
          <w:p w:rsidR="6A65EC4E" w:rsidRDefault="6A65EC4E" w14:paraId="452E3A05" w14:textId="3F498417" w14:noSpellErr="1">
            <w:r w:rsidRPr="3927AF3A" w:rsidR="3794A404">
              <w:rPr>
                <w:b w:val="1"/>
                <w:bCs w:val="1"/>
              </w:rPr>
              <w:t>What remains an author assumption</w:t>
            </w:r>
          </w:p>
        </w:tc>
      </w:tr>
      <w:tr w:rsidR="6A65EC4E" w:rsidTr="3927AF3A" w14:paraId="6E138051">
        <w:tc>
          <w:tcPr>
            <w:tcW w:w="2400" w:type="dxa"/>
            <w:tcMar/>
          </w:tcPr>
          <w:p w:rsidR="6A65EC4E" w:rsidRDefault="6A65EC4E" w14:noSpellErr="1" w14:paraId="6E2E6D94" w14:textId="565EE48C">
            <w:r w:rsidR="6A65EC4E">
              <w:rPr/>
              <w:t>USD5m scale; 25 FTEs; service mix</w:t>
            </w:r>
          </w:p>
        </w:tc>
        <w:tc>
          <w:tcPr>
            <w:tcW w:w="3150" w:type="dxa"/>
            <w:tcMar/>
          </w:tcPr>
          <w:p w:rsidR="6A65EC4E" w:rsidRDefault="6A65EC4E" w14:noSpellErr="1" w14:paraId="3A47C532" w14:textId="4F3CCB50">
            <w:r w:rsidR="6A65EC4E">
              <w:rPr/>
              <w:t>Public comparable disclosures show why accounting mix matters [R45; R46]</w:t>
            </w:r>
          </w:p>
        </w:tc>
        <w:tc>
          <w:tcPr>
            <w:tcW w:w="3476" w:type="dxa"/>
            <w:tcMar/>
          </w:tcPr>
          <w:p w:rsidR="6A65EC4E" w:rsidRDefault="6A65EC4E" w14:noSpellErr="1" w14:paraId="4660C579" w14:textId="481AB214">
            <w:r w:rsidR="6A65EC4E">
              <w:rPr/>
              <w:t>All scale and staffing inputs; no verified MSP median RPE obtained</w:t>
            </w:r>
          </w:p>
        </w:tc>
      </w:tr>
      <w:tr w:rsidR="6A65EC4E" w:rsidTr="3927AF3A" w14:paraId="53CA7611">
        <w:tc>
          <w:tcPr>
            <w:tcW w:w="2400" w:type="dxa"/>
            <w:tcMar/>
          </w:tcPr>
          <w:p w:rsidR="6A65EC4E" w:rsidRDefault="6A65EC4E" w14:noSpellErr="1" w14:paraId="6924CB95" w14:textId="5F301289">
            <w:r w:rsidR="6A65EC4E">
              <w:rPr/>
              <w:t>Baseline / future service margins</w:t>
            </w:r>
          </w:p>
        </w:tc>
        <w:tc>
          <w:tcPr>
            <w:tcW w:w="3150" w:type="dxa"/>
            <w:tcMar/>
          </w:tcPr>
          <w:p w:rsidR="6A65EC4E" w:rsidRDefault="6A65EC4E" w14:noSpellErr="1" w14:paraId="6B1C7D13" w14:textId="580DF94D">
            <w:r w:rsidR="6A65EC4E">
              <w:rPr/>
              <w:t>Older project-margin stress and best-in-class profitability show wide variability [R01; R02]</w:t>
            </w:r>
          </w:p>
        </w:tc>
        <w:tc>
          <w:tcPr>
            <w:tcW w:w="3476" w:type="dxa"/>
            <w:tcMar/>
          </w:tcPr>
          <w:p w:rsidR="6A65EC4E" w:rsidRDefault="6A65EC4E" w14:noSpellErr="1" w14:paraId="2ADCDC74" w14:textId="50EBE011">
            <w:r w:rsidR="6A65EC4E">
              <w:rPr/>
              <w:t>Every model service-line margin, including 40% projects</w:t>
            </w:r>
          </w:p>
        </w:tc>
      </w:tr>
      <w:tr w:rsidR="6A65EC4E" w:rsidTr="3927AF3A" w14:paraId="5EBDF4A9">
        <w:tc>
          <w:tcPr>
            <w:tcW w:w="2400" w:type="dxa"/>
            <w:tcMar/>
          </w:tcPr>
          <w:p w:rsidR="6A65EC4E" w:rsidRDefault="6A65EC4E" w14:noSpellErr="1" w14:paraId="737DDA50" w14:textId="68014086">
            <w:r w:rsidR="6A65EC4E">
              <w:rPr/>
              <w:t>Core price and demand changes</w:t>
            </w:r>
          </w:p>
        </w:tc>
        <w:tc>
          <w:tcPr>
            <w:tcW w:w="3150" w:type="dxa"/>
            <w:tcMar/>
          </w:tcPr>
          <w:p w:rsidR="6A65EC4E" w:rsidRDefault="6A65EC4E" w14:noSpellErr="1" w14:paraId="6A7E0460" w14:textId="60DF274A">
            <w:r w:rsidR="6A65EC4E">
              <w:rPr/>
              <w:t>ISG reports enterprise pricing pressure; platforms add native capabilities [R05; R09; R65]</w:t>
            </w:r>
          </w:p>
        </w:tc>
        <w:tc>
          <w:tcPr>
            <w:tcW w:w="3476" w:type="dxa"/>
            <w:tcMar/>
          </w:tcPr>
          <w:p w:rsidR="6A65EC4E" w:rsidRDefault="6A65EC4E" w14:noSpellErr="1" w14:paraId="105932AE" w14:textId="59BD0E0E">
            <w:r w:rsidR="6A65EC4E">
              <w:rPr/>
              <w:t>The exact -1% to -4% annual price inputs; not SME estimates</w:t>
            </w:r>
          </w:p>
        </w:tc>
      </w:tr>
      <w:tr w:rsidR="6A65EC4E" w:rsidTr="3927AF3A" w14:paraId="209E7A58">
        <w:tc>
          <w:tcPr>
            <w:tcW w:w="2400" w:type="dxa"/>
            <w:tcMar/>
          </w:tcPr>
          <w:p w:rsidR="6A65EC4E" w:rsidRDefault="6A65EC4E" w14:noSpellErr="1" w14:paraId="66010680" w14:textId="70D26E83">
            <w:r w:rsidR="6A65EC4E">
              <w:rPr/>
              <w:t>Labour and AI cost savings</w:t>
            </w:r>
          </w:p>
        </w:tc>
        <w:tc>
          <w:tcPr>
            <w:tcW w:w="3150" w:type="dxa"/>
            <w:tcMar/>
          </w:tcPr>
          <w:p w:rsidR="6A65EC4E" w:rsidRDefault="6A65EC4E" w14:noSpellErr="1" w14:paraId="4D656056" w14:textId="69B05547">
            <w:r w:rsidR="6A65EC4E">
              <w:rPr/>
              <w:t>Published support study +15% productivity; BLS wage / occupation evidence [R15; R38]</w:t>
            </w:r>
          </w:p>
        </w:tc>
        <w:tc>
          <w:tcPr>
            <w:tcW w:w="3476" w:type="dxa"/>
            <w:tcMar/>
          </w:tcPr>
          <w:p w:rsidR="6A65EC4E" w:rsidRDefault="6A65EC4E" w14:noSpellErr="1" w14:paraId="4DBA6C62" w14:textId="628E3C0B">
            <w:r w:rsidR="6A65EC4E">
              <w:rPr/>
              <w:t>3.5% inflation, USD100k loaded wage and 5-30% hours reduction</w:t>
            </w:r>
          </w:p>
        </w:tc>
      </w:tr>
      <w:tr w:rsidR="6A65EC4E" w:rsidTr="3927AF3A" w14:paraId="68C15CDF">
        <w:tc>
          <w:tcPr>
            <w:tcW w:w="2400" w:type="dxa"/>
            <w:tcMar/>
          </w:tcPr>
          <w:p w:rsidR="6A65EC4E" w:rsidRDefault="6A65EC4E" w14:noSpellErr="1" w14:paraId="4F4B5A6D" w14:textId="79A39C80">
            <w:r w:rsidR="6A65EC4E">
              <w:rPr/>
              <w:t>Security / new-service growth</w:t>
            </w:r>
          </w:p>
        </w:tc>
        <w:tc>
          <w:tcPr>
            <w:tcW w:w="3150" w:type="dxa"/>
            <w:tcMar/>
          </w:tcPr>
          <w:p w:rsidR="6A65EC4E" w:rsidRDefault="6A65EC4E" w14:noSpellErr="1" w14:paraId="4861A190" w14:textId="72818344">
            <w:r w:rsidR="6A65EC4E">
              <w:rPr/>
              <w:t>Security spending forecast, partner agent services and AI investment intent [R68; R29; R41]</w:t>
            </w:r>
          </w:p>
        </w:tc>
        <w:tc>
          <w:tcPr>
            <w:tcW w:w="3476" w:type="dxa"/>
            <w:tcMar/>
          </w:tcPr>
          <w:p w:rsidR="6A65EC4E" w:rsidRDefault="6A65EC4E" w14:noSpellErr="1" w14:paraId="17A4DB01" w14:textId="6B5F6A08">
            <w:r w:rsidR="6A65EC4E">
              <w:rPr/>
              <w:t>Provider growth rates, net new sales, margins and retention</w:t>
            </w:r>
          </w:p>
        </w:tc>
      </w:tr>
      <w:tr w:rsidR="6A65EC4E" w:rsidTr="3927AF3A" w14:paraId="4D611F13">
        <w:tc>
          <w:tcPr>
            <w:tcW w:w="2400" w:type="dxa"/>
            <w:tcMar/>
          </w:tcPr>
          <w:p w:rsidR="6A65EC4E" w:rsidRDefault="6A65EC4E" w14:noSpellErr="1" w14:paraId="48FCE5C7" w14:textId="0274CA7D">
            <w:r w:rsidR="6A65EC4E">
              <w:rPr/>
              <w:t>Transition cost, overhead and valuation</w:t>
            </w:r>
          </w:p>
        </w:tc>
        <w:tc>
          <w:tcPr>
            <w:tcW w:w="3150" w:type="dxa"/>
            <w:tcMar/>
          </w:tcPr>
          <w:p w:rsidR="6A65EC4E" w:rsidRDefault="6A65EC4E" w14:noSpellErr="1" w14:paraId="2AD395AB" w14:textId="7B52B141">
            <w:r w:rsidR="6A65EC4E">
              <w:rPr/>
              <w:t>Public filings separate costs, adjustments and cash measures [R21; R23; R45]</w:t>
            </w:r>
          </w:p>
        </w:tc>
        <w:tc>
          <w:tcPr>
            <w:tcW w:w="3476" w:type="dxa"/>
            <w:tcMar/>
          </w:tcPr>
          <w:p w:rsidR="6A65EC4E" w:rsidRDefault="6A65EC4E" w14:noSpellErr="1" w14:paraId="30400942" w14:textId="74309805">
            <w:r w:rsidR="6A65EC4E">
              <w:rPr/>
              <w:t>All budgets, overhead elasticities and 4x/6x/8x multiples</w:t>
            </w:r>
          </w:p>
        </w:tc>
      </w:tr>
    </w:tbl>
    <w:p w:rsidR="6A65EC4E" w:rsidRDefault="6A65EC4E" w14:noSpellErr="1" w14:paraId="2C082F10" w14:textId="4BE4D448">
      <w:r w:rsidR="6A65EC4E">
        <w:rPr/>
        <w:t>No credible public source can validate these exact company-specific assumptions. They are exposed rather than disguised as forecasts. In particular, a 40% project gross margin is intentionally much stronger than the stressed historical panel result and presumes effective scoping and utilisation. A more project-dependent or less profitable starting business would have less headroom. The model should be recalibrated before being used to fund an acquisition or approve a restructuring. [R02; M1]</w:t>
      </w:r>
    </w:p>
    <w:p w:rsidR="6A65EC4E" w:rsidRDefault="6A65EC4E" w14:noSpellErr="1" w14:paraId="76EA991A" w14:textId="1C38FE83">
      <w:r w:rsidR="6A65EC4E">
        <w:rPr/>
        <w:t>Do not calibrate EBITDA against a survey's net-profit bands or a listed company's operating margin. Accenture's FY2025 release, for example, separates 14.7% GAAP operating margin from 15.6% adjusted operating margin. Neither is an SME MSP EBITDA benchmark. Similarly, CDW identifies netted-down revenue mix as a margin influence. This report keeps those observations as accounting cautions rather than forcing unlike metrics into a single peer average. [R21; R45]</w:t>
      </w:r>
    </w:p>
    <w:p w:rsidR="6A65EC4E" w:rsidP="6A65EC4E" w:rsidRDefault="6A65EC4E" w14:paraId="3DE1AA28" w14:textId="28E67E1C" w14:noSpellErr="1">
      <w:pPr>
        <w:pStyle w:val="Heading2"/>
      </w:pPr>
      <w:r w:rsidRPr="3927AF3A" w:rsidR="3794A404">
        <w:rPr>
          <w:color w:val="006D77"/>
        </w:rPr>
        <w:t>6.4 Reproducible equations and cost treatment</w:t>
      </w:r>
    </w:p>
    <w:p w:rsidR="6A65EC4E" w:rsidRDefault="6A65EC4E" w14:noSpellErr="1" w14:paraId="5427C490" w14:textId="2502C713">
      <w:r w:rsidR="6A65EC4E">
        <w:rPr/>
        <w:t>Let t be years after 2026, v annual core workload growth, p annual core price change, a the 2030 core-hours reduction, and w = 1.035^t. Core revenue = 3.5m x (1+v)^t x (1+p)^t. Core labour = 1.35m x (1+v)^t x w x (1-a x t/4). Core tools = 0.4m x (1+v)^t x w, plus incremental AI cost ramping linearly to the case's 2030 amount. Core gross profit is revenue less those costs. [M1]</w:t>
      </w:r>
    </w:p>
    <w:p w:rsidR="6A65EC4E" w:rsidRDefault="6A65EC4E" w14:noSpellErr="1" w14:paraId="320C25A9" w14:textId="34E9F920">
      <w:r w:rsidR="6A65EC4E">
        <w:rPr/>
        <w:t>Security, projects and resale revenue each equal baseline revenue multiplied by (1+their growth rate)^t. Their gross margins interpolate linearly between baseline and 2030 assumptions. New-services revenue equals the annual retained-revenue increment multiplied by t, at the stated new-service margin. Total gross profit sums all service-line gross profits. Operating overhead = 1.5m x [0.60 x w + 0.40 x total revenue/5m]. EBITDA = gross profit minus operating overhead minus transition expense. Transition spending is expensed, not capitalised away. [M1]</w:t>
      </w:r>
    </w:p>
    <w:p w:rsidR="6A65EC4E" w:rsidRDefault="6A65EC4E" w14:noSpellErr="1" w14:paraId="330A39CB" w14:textId="164C128A">
      <w:r w:rsidR="6A65EC4E">
        <w:rPr/>
        <w:t>FTEs are cost equivalents, not announced job reductions. Core FTEs equal core labour divided by the indexed loaded wage. Security labour starts at 24% of revenue and ends at 19%, 22% or 24%; project labour starts at 50% and ends at 45%, 50% or 55%, respectively. New-service labour is 30% of revenue in bull and 40% in base. Indirect FTEs = 7.2 x [0.60 + 0.40 x total revenue/(5m x w)]. Other delivery costs are the residual within each stated gross margin. [M1]</w:t>
      </w:r>
    </w:p>
    <w:p w:rsidR="6A65EC4E" w:rsidRDefault="6A65EC4E" w14:noSpellErr="1" w14:paraId="305D28B5" w14:textId="2E271BF1">
      <w:r w:rsidR="6A65EC4E">
        <w:rPr/>
        <w:t>The model assumes released hours can be converted into reduced hiring, attrition or redeployment with equivalent economic value. That is an optimistic execution condition, not a consequence of installing a tool. To illustrate the distinction, releasing 15% of baseline core labour but converting only 60% of that capacity into cash savings leaves just USD41,500 after USD80,000 incremental AI cost. Separate capacity gained, service quality improved and cash actually saved in management reporting. [M1]</w:t>
      </w:r>
    </w:p>
    <w:p w:rsidR="6A65EC4E" w:rsidRDefault="6A65EC4E" w14:noSpellErr="1" w14:paraId="7924CB6F" w14:textId="506D35D0">
      <w:r w:rsidR="6A65EC4E">
        <w:rPr/>
        <w:t>EBITDA is not free cash flow. Acquisition payments, working capital, capital expenditure, debt service, taxes, distributions and changes in customer payment terms are excluded. The transition budgets include incremental capability-building expenditure; recurring delivery wages and platform costs remain in service costs or overhead. A real investment decision must add its balance sheet, debt covenants, renewal schedule and customer concentration to this operating model. [M1]</w:t>
      </w:r>
    </w:p>
    <w:p w:rsidR="6A65EC4E" w:rsidP="6A65EC4E" w:rsidRDefault="6A65EC4E" w14:paraId="192CEB46" w14:textId="1B7A2D57" w14:noSpellErr="1">
      <w:pPr>
        <w:pStyle w:val="Heading2"/>
      </w:pPr>
      <w:r w:rsidRPr="3927AF3A" w:rsidR="3794A404">
        <w:rPr>
          <w:color w:val="006D77"/>
        </w:rPr>
        <w:t>6.5 Results: growth is not the same as resilience</w:t>
      </w:r>
    </w:p>
    <w:tbl>
      <w:tblPr>
        <w:tblStyle w:val="TableGrid"/>
        <w:tblW w:w="0" w:type="auto"/>
        <w:tblLook w:val="0000" w:firstRow="0" w:lastRow="0" w:firstColumn="0" w:lastColumn="0" w:noHBand="0" w:noVBand="0"/>
      </w:tblPr>
      <w:tblGrid>
        <w:gridCol w:w="2400"/>
        <w:gridCol w:w="1656"/>
        <w:gridCol w:w="1656"/>
        <w:gridCol w:w="1657"/>
        <w:gridCol w:w="1657"/>
      </w:tblGrid>
      <w:tr w:rsidR="6A65EC4E" w:rsidTr="3927AF3A" w14:paraId="541F4209">
        <w:trPr>
          <w:tblHeader/>
        </w:trPr>
        <w:tc>
          <w:tcPr>
            <w:tcW w:w="2400" w:type="dxa"/>
            <w:tcMar/>
          </w:tcPr>
          <w:p w:rsidR="6A65EC4E" w:rsidRDefault="6A65EC4E" w14:noSpellErr="1" w14:paraId="12FBF613" w14:textId="33FDB4E9">
            <w:r w:rsidR="6A65EC4E">
              <w:rPr/>
              <w:t>Measure</w:t>
            </w:r>
          </w:p>
        </w:tc>
        <w:tc>
          <w:tcPr>
            <w:tcW w:w="1656" w:type="dxa"/>
            <w:tcMar/>
          </w:tcPr>
          <w:p w:rsidR="6A65EC4E" w:rsidRDefault="6A65EC4E" w14:noSpellErr="1" w14:paraId="1E0E7904" w14:textId="2CDB9BAD">
            <w:r w:rsidR="6A65EC4E">
              <w:rPr/>
              <w:t>2026</w:t>
            </w:r>
          </w:p>
        </w:tc>
        <w:tc>
          <w:tcPr>
            <w:tcW w:w="1656" w:type="dxa"/>
            <w:tcMar/>
          </w:tcPr>
          <w:p w:rsidR="6A65EC4E" w:rsidRDefault="6A65EC4E" w14:noSpellErr="1" w14:paraId="6A23E1AD" w14:textId="25B98271">
            <w:r w:rsidR="6A65EC4E">
              <w:rPr/>
              <w:t>2030 bull</w:t>
            </w:r>
          </w:p>
        </w:tc>
        <w:tc>
          <w:tcPr>
            <w:tcW w:w="1657" w:type="dxa"/>
            <w:tcMar/>
          </w:tcPr>
          <w:p w:rsidR="6A65EC4E" w:rsidRDefault="6A65EC4E" w14:noSpellErr="1" w14:paraId="7427B3DE" w14:textId="1E976935">
            <w:r w:rsidR="6A65EC4E">
              <w:rPr/>
              <w:t>2030 base</w:t>
            </w:r>
          </w:p>
        </w:tc>
        <w:tc>
          <w:tcPr>
            <w:tcW w:w="1657" w:type="dxa"/>
            <w:tcMar/>
          </w:tcPr>
          <w:p w:rsidR="6A65EC4E" w:rsidRDefault="6A65EC4E" w14:noSpellErr="1" w14:paraId="5B271684" w14:textId="17754FF9">
            <w:r w:rsidR="6A65EC4E">
              <w:rPr/>
              <w:t>2030 bear</w:t>
            </w:r>
          </w:p>
        </w:tc>
      </w:tr>
      <w:tr w:rsidR="6A65EC4E" w:rsidTr="3927AF3A" w14:paraId="6647CC21">
        <w:tc>
          <w:tcPr>
            <w:tcW w:w="2400" w:type="dxa"/>
            <w:tcMar/>
          </w:tcPr>
          <w:p w:rsidR="6A65EC4E" w:rsidRDefault="6A65EC4E" w14:paraId="7DC1A974" w14:textId="2E8AB06E" w14:noSpellErr="1">
            <w:r w:rsidRPr="3927AF3A" w:rsidR="3794A404">
              <w:rPr>
                <w:b w:val="1"/>
                <w:bCs w:val="1"/>
              </w:rPr>
              <w:t>Revenue, USDm</w:t>
            </w:r>
          </w:p>
        </w:tc>
        <w:tc>
          <w:tcPr>
            <w:tcW w:w="1656" w:type="dxa"/>
            <w:tcMar/>
          </w:tcPr>
          <w:p w:rsidR="6A65EC4E" w:rsidRDefault="6A65EC4E" w14:noSpellErr="1" w14:paraId="31C95DF5" w14:textId="27689732">
            <w:r w:rsidR="6A65EC4E">
              <w:rPr/>
              <w:t>5.000</w:t>
            </w:r>
          </w:p>
        </w:tc>
        <w:tc>
          <w:tcPr>
            <w:tcW w:w="1656" w:type="dxa"/>
            <w:tcMar/>
          </w:tcPr>
          <w:p w:rsidR="6A65EC4E" w:rsidRDefault="6A65EC4E" w14:noSpellErr="1" w14:paraId="2864AEE9" w14:textId="20467DF6">
            <w:r w:rsidR="6A65EC4E">
              <w:rPr/>
              <w:t>6.846</w:t>
            </w:r>
          </w:p>
        </w:tc>
        <w:tc>
          <w:tcPr>
            <w:tcW w:w="1657" w:type="dxa"/>
            <w:tcMar/>
          </w:tcPr>
          <w:p w:rsidR="6A65EC4E" w:rsidRDefault="6A65EC4E" w14:noSpellErr="1" w14:paraId="398738C0" w14:textId="192464BA">
            <w:r w:rsidR="6A65EC4E">
              <w:rPr/>
              <w:t>5.590</w:t>
            </w:r>
          </w:p>
        </w:tc>
        <w:tc>
          <w:tcPr>
            <w:tcW w:w="1657" w:type="dxa"/>
            <w:tcMar/>
          </w:tcPr>
          <w:p w:rsidR="6A65EC4E" w:rsidRDefault="6A65EC4E" w14:noSpellErr="1" w14:paraId="550EDC66" w14:textId="12024B7E">
            <w:r w:rsidR="6A65EC4E">
              <w:rPr/>
              <w:t>3.980</w:t>
            </w:r>
          </w:p>
        </w:tc>
      </w:tr>
      <w:tr w:rsidR="6A65EC4E" w:rsidTr="3927AF3A" w14:paraId="765E7142">
        <w:tc>
          <w:tcPr>
            <w:tcW w:w="2400" w:type="dxa"/>
            <w:tcMar/>
          </w:tcPr>
          <w:p w:rsidR="6A65EC4E" w:rsidRDefault="6A65EC4E" w14:noSpellErr="1" w14:paraId="474EF7BA" w14:textId="2917ABF3">
            <w:r w:rsidR="6A65EC4E">
              <w:rPr/>
              <w:t>Revenue CAGR, 2026-2030</w:t>
            </w:r>
          </w:p>
        </w:tc>
        <w:tc>
          <w:tcPr>
            <w:tcW w:w="1656" w:type="dxa"/>
            <w:tcMar/>
          </w:tcPr>
          <w:p w:rsidR="6A65EC4E" w:rsidRDefault="6A65EC4E" w14:noSpellErr="1" w14:paraId="6D49035D" w14:textId="21F592B7">
            <w:r w:rsidR="6A65EC4E">
              <w:rPr/>
              <w:t>Not applicable</w:t>
            </w:r>
          </w:p>
        </w:tc>
        <w:tc>
          <w:tcPr>
            <w:tcW w:w="1656" w:type="dxa"/>
            <w:tcMar/>
          </w:tcPr>
          <w:p w:rsidR="6A65EC4E" w:rsidRDefault="6A65EC4E" w14:noSpellErr="1" w14:paraId="7C4847C5" w14:textId="1AD3797B">
            <w:r w:rsidR="6A65EC4E">
              <w:rPr/>
              <w:t>8.2%</w:t>
            </w:r>
          </w:p>
        </w:tc>
        <w:tc>
          <w:tcPr>
            <w:tcW w:w="1657" w:type="dxa"/>
            <w:tcMar/>
          </w:tcPr>
          <w:p w:rsidR="6A65EC4E" w:rsidRDefault="6A65EC4E" w14:noSpellErr="1" w14:paraId="2FBE970C" w14:textId="13B1603F">
            <w:r w:rsidR="6A65EC4E">
              <w:rPr/>
              <w:t>2.8%</w:t>
            </w:r>
          </w:p>
        </w:tc>
        <w:tc>
          <w:tcPr>
            <w:tcW w:w="1657" w:type="dxa"/>
            <w:tcMar/>
          </w:tcPr>
          <w:p w:rsidR="6A65EC4E" w:rsidRDefault="6A65EC4E" w14:noSpellErr="1" w14:paraId="63910E06" w14:textId="0C8F4703">
            <w:r w:rsidR="6A65EC4E">
              <w:rPr/>
              <w:t>-5.5%</w:t>
            </w:r>
          </w:p>
        </w:tc>
      </w:tr>
      <w:tr w:rsidR="6A65EC4E" w:rsidTr="3927AF3A" w14:paraId="12B62705">
        <w:tc>
          <w:tcPr>
            <w:tcW w:w="2400" w:type="dxa"/>
            <w:tcMar/>
          </w:tcPr>
          <w:p w:rsidR="6A65EC4E" w:rsidRDefault="6A65EC4E" w14:paraId="38CB690A" w14:textId="23A4A778" w14:noSpellErr="1">
            <w:r w:rsidRPr="3927AF3A" w:rsidR="3794A404">
              <w:rPr>
                <w:b w:val="1"/>
                <w:bCs w:val="1"/>
              </w:rPr>
              <w:t>Gross profit, USDm</w:t>
            </w:r>
          </w:p>
        </w:tc>
        <w:tc>
          <w:tcPr>
            <w:tcW w:w="1656" w:type="dxa"/>
            <w:tcMar/>
          </w:tcPr>
          <w:p w:rsidR="6A65EC4E" w:rsidRDefault="6A65EC4E" w14:noSpellErr="1" w14:paraId="72391930" w14:textId="1C828E3C">
            <w:r w:rsidR="6A65EC4E">
              <w:rPr/>
              <w:t>2.325</w:t>
            </w:r>
          </w:p>
        </w:tc>
        <w:tc>
          <w:tcPr>
            <w:tcW w:w="1656" w:type="dxa"/>
            <w:tcMar/>
          </w:tcPr>
          <w:p w:rsidR="6A65EC4E" w:rsidRDefault="6A65EC4E" w14:noSpellErr="1" w14:paraId="225D0F09" w14:textId="15607500">
            <w:r w:rsidR="6A65EC4E">
              <w:rPr/>
              <w:t>3.473</w:t>
            </w:r>
          </w:p>
        </w:tc>
        <w:tc>
          <w:tcPr>
            <w:tcW w:w="1657" w:type="dxa"/>
            <w:tcMar/>
          </w:tcPr>
          <w:p w:rsidR="6A65EC4E" w:rsidRDefault="6A65EC4E" w14:noSpellErr="1" w14:paraId="47E7DAA8" w14:textId="0E3E5BC4">
            <w:r w:rsidR="6A65EC4E">
              <w:rPr/>
              <w:t>2.442</w:t>
            </w:r>
          </w:p>
        </w:tc>
        <w:tc>
          <w:tcPr>
            <w:tcW w:w="1657" w:type="dxa"/>
            <w:tcMar/>
          </w:tcPr>
          <w:p w:rsidR="6A65EC4E" w:rsidRDefault="6A65EC4E" w14:noSpellErr="1" w14:paraId="49987E3E" w14:textId="071C4288">
            <w:r w:rsidR="6A65EC4E">
              <w:rPr/>
              <w:t>1.339</w:t>
            </w:r>
          </w:p>
        </w:tc>
      </w:tr>
      <w:tr w:rsidR="6A65EC4E" w:rsidTr="3927AF3A" w14:paraId="5C0754FE">
        <w:tc>
          <w:tcPr>
            <w:tcW w:w="2400" w:type="dxa"/>
            <w:tcMar/>
          </w:tcPr>
          <w:p w:rsidR="6A65EC4E" w:rsidRDefault="6A65EC4E" w14:paraId="6BC9D2B8" w14:textId="1E31A2FD" w14:noSpellErr="1">
            <w:r w:rsidRPr="3927AF3A" w:rsidR="3794A404">
              <w:rPr>
                <w:b w:val="1"/>
                <w:bCs w:val="1"/>
              </w:rPr>
              <w:t>Gross margin</w:t>
            </w:r>
          </w:p>
        </w:tc>
        <w:tc>
          <w:tcPr>
            <w:tcW w:w="1656" w:type="dxa"/>
            <w:tcMar/>
          </w:tcPr>
          <w:p w:rsidR="6A65EC4E" w:rsidRDefault="6A65EC4E" w14:noSpellErr="1" w14:paraId="17810562" w14:textId="170F89C1">
            <w:r w:rsidR="6A65EC4E">
              <w:rPr/>
              <w:t>46.5%</w:t>
            </w:r>
          </w:p>
        </w:tc>
        <w:tc>
          <w:tcPr>
            <w:tcW w:w="1656" w:type="dxa"/>
            <w:tcMar/>
          </w:tcPr>
          <w:p w:rsidR="6A65EC4E" w:rsidRDefault="6A65EC4E" w14:noSpellErr="1" w14:paraId="1EF52EA7" w14:textId="0FED7085">
            <w:r w:rsidR="6A65EC4E">
              <w:rPr/>
              <w:t>50.7%</w:t>
            </w:r>
          </w:p>
        </w:tc>
        <w:tc>
          <w:tcPr>
            <w:tcW w:w="1657" w:type="dxa"/>
            <w:tcMar/>
          </w:tcPr>
          <w:p w:rsidR="6A65EC4E" w:rsidRDefault="6A65EC4E" w14:noSpellErr="1" w14:paraId="2CD6195C" w14:textId="08CB5749">
            <w:r w:rsidR="6A65EC4E">
              <w:rPr/>
              <w:t>43.7%</w:t>
            </w:r>
          </w:p>
        </w:tc>
        <w:tc>
          <w:tcPr>
            <w:tcW w:w="1657" w:type="dxa"/>
            <w:tcMar/>
          </w:tcPr>
          <w:p w:rsidR="6A65EC4E" w:rsidRDefault="6A65EC4E" w14:noSpellErr="1" w14:paraId="75D56618" w14:textId="01A93E0D">
            <w:r w:rsidR="6A65EC4E">
              <w:rPr/>
              <w:t>33.6%</w:t>
            </w:r>
          </w:p>
        </w:tc>
      </w:tr>
      <w:tr w:rsidR="6A65EC4E" w:rsidTr="3927AF3A" w14:paraId="28835965">
        <w:tc>
          <w:tcPr>
            <w:tcW w:w="2400" w:type="dxa"/>
            <w:tcMar/>
          </w:tcPr>
          <w:p w:rsidR="6A65EC4E" w:rsidRDefault="6A65EC4E" w14:noSpellErr="1" w14:paraId="1C98452E" w14:textId="18BE9E82">
            <w:r w:rsidR="6A65EC4E">
              <w:rPr/>
              <w:t>Overhead, USDm</w:t>
            </w:r>
          </w:p>
        </w:tc>
        <w:tc>
          <w:tcPr>
            <w:tcW w:w="1656" w:type="dxa"/>
            <w:tcMar/>
          </w:tcPr>
          <w:p w:rsidR="6A65EC4E" w:rsidRDefault="6A65EC4E" w14:noSpellErr="1" w14:paraId="425C20B6" w14:textId="119C8546">
            <w:r w:rsidR="6A65EC4E">
              <w:rPr/>
              <w:t>1.500</w:t>
            </w:r>
          </w:p>
        </w:tc>
        <w:tc>
          <w:tcPr>
            <w:tcW w:w="1656" w:type="dxa"/>
            <w:tcMar/>
          </w:tcPr>
          <w:p w:rsidR="6A65EC4E" w:rsidRDefault="6A65EC4E" w14:noSpellErr="1" w14:paraId="429A9411" w14:textId="0A7A6C0A">
            <w:r w:rsidR="6A65EC4E">
              <w:rPr/>
              <w:t>1.854</w:t>
            </w:r>
          </w:p>
        </w:tc>
        <w:tc>
          <w:tcPr>
            <w:tcW w:w="1657" w:type="dxa"/>
            <w:tcMar/>
          </w:tcPr>
          <w:p w:rsidR="6A65EC4E" w:rsidRDefault="6A65EC4E" w14:noSpellErr="1" w14:paraId="3ABE0164" w14:textId="035852CE">
            <w:r w:rsidR="6A65EC4E">
              <w:rPr/>
              <w:t>1.704</w:t>
            </w:r>
          </w:p>
        </w:tc>
        <w:tc>
          <w:tcPr>
            <w:tcW w:w="1657" w:type="dxa"/>
            <w:tcMar/>
          </w:tcPr>
          <w:p w:rsidR="6A65EC4E" w:rsidRDefault="6A65EC4E" w14:noSpellErr="1" w14:paraId="6F19AF18" w14:textId="7C363992">
            <w:r w:rsidR="6A65EC4E">
              <w:rPr/>
              <w:t>1.510</w:t>
            </w:r>
          </w:p>
        </w:tc>
      </w:tr>
      <w:tr w:rsidR="6A65EC4E" w:rsidTr="3927AF3A" w14:paraId="5A33EDF5">
        <w:tc>
          <w:tcPr>
            <w:tcW w:w="2400" w:type="dxa"/>
            <w:tcMar/>
          </w:tcPr>
          <w:p w:rsidR="6A65EC4E" w:rsidRDefault="6A65EC4E" w14:noSpellErr="1" w14:paraId="126D311B" w14:textId="134B9A07">
            <w:r w:rsidR="6A65EC4E">
              <w:rPr/>
              <w:t>Transition expense, USDm</w:t>
            </w:r>
          </w:p>
        </w:tc>
        <w:tc>
          <w:tcPr>
            <w:tcW w:w="1656" w:type="dxa"/>
            <w:tcMar/>
          </w:tcPr>
          <w:p w:rsidR="6A65EC4E" w:rsidRDefault="6A65EC4E" w14:noSpellErr="1" w14:paraId="2D93C9F4" w14:textId="0C2980CB">
            <w:r w:rsidR="6A65EC4E">
              <w:rPr/>
              <w:t>0.000</w:t>
            </w:r>
          </w:p>
        </w:tc>
        <w:tc>
          <w:tcPr>
            <w:tcW w:w="1656" w:type="dxa"/>
            <w:tcMar/>
          </w:tcPr>
          <w:p w:rsidR="6A65EC4E" w:rsidRDefault="6A65EC4E" w14:noSpellErr="1" w14:paraId="6D858065" w14:textId="0507678F">
            <w:r w:rsidR="6A65EC4E">
              <w:rPr/>
              <w:t>0.100</w:t>
            </w:r>
          </w:p>
        </w:tc>
        <w:tc>
          <w:tcPr>
            <w:tcW w:w="1657" w:type="dxa"/>
            <w:tcMar/>
          </w:tcPr>
          <w:p w:rsidR="6A65EC4E" w:rsidRDefault="6A65EC4E" w14:noSpellErr="1" w14:paraId="56182714" w14:textId="7DE54E53">
            <w:r w:rsidR="6A65EC4E">
              <w:rPr/>
              <w:t>0.075</w:t>
            </w:r>
          </w:p>
        </w:tc>
        <w:tc>
          <w:tcPr>
            <w:tcW w:w="1657" w:type="dxa"/>
            <w:tcMar/>
          </w:tcPr>
          <w:p w:rsidR="6A65EC4E" w:rsidRDefault="6A65EC4E" w14:noSpellErr="1" w14:paraId="29C4FB51" w14:textId="76C33517">
            <w:r w:rsidR="6A65EC4E">
              <w:rPr/>
              <w:t>0.025</w:t>
            </w:r>
          </w:p>
        </w:tc>
      </w:tr>
      <w:tr w:rsidR="6A65EC4E" w:rsidTr="3927AF3A" w14:paraId="55DE1659">
        <w:tc>
          <w:tcPr>
            <w:tcW w:w="2400" w:type="dxa"/>
            <w:tcMar/>
          </w:tcPr>
          <w:p w:rsidR="6A65EC4E" w:rsidRDefault="6A65EC4E" w14:noSpellErr="1" w14:paraId="531DFE34" w14:textId="0DD8958C">
            <w:r w:rsidR="6A65EC4E">
              <w:rPr/>
              <w:t>EBITDA, USDm</w:t>
            </w:r>
          </w:p>
        </w:tc>
        <w:tc>
          <w:tcPr>
            <w:tcW w:w="1656" w:type="dxa"/>
            <w:tcMar/>
          </w:tcPr>
          <w:p w:rsidR="6A65EC4E" w:rsidRDefault="6A65EC4E" w14:noSpellErr="1" w14:paraId="4DC957AE" w14:textId="06B67C50">
            <w:r w:rsidR="6A65EC4E">
              <w:rPr/>
              <w:t>0.825</w:t>
            </w:r>
          </w:p>
        </w:tc>
        <w:tc>
          <w:tcPr>
            <w:tcW w:w="1656" w:type="dxa"/>
            <w:tcMar/>
          </w:tcPr>
          <w:p w:rsidR="6A65EC4E" w:rsidRDefault="6A65EC4E" w14:noSpellErr="1" w14:paraId="18347D9E" w14:textId="7F946314">
            <w:r w:rsidR="6A65EC4E">
              <w:rPr/>
              <w:t>1.519</w:t>
            </w:r>
          </w:p>
        </w:tc>
        <w:tc>
          <w:tcPr>
            <w:tcW w:w="1657" w:type="dxa"/>
            <w:tcMar/>
          </w:tcPr>
          <w:p w:rsidR="6A65EC4E" w:rsidRDefault="6A65EC4E" w14:noSpellErr="1" w14:paraId="604496E7" w14:textId="787249D8">
            <w:r w:rsidR="6A65EC4E">
              <w:rPr/>
              <w:t>0.663</w:t>
            </w:r>
          </w:p>
        </w:tc>
        <w:tc>
          <w:tcPr>
            <w:tcW w:w="1657" w:type="dxa"/>
            <w:tcMar/>
          </w:tcPr>
          <w:p w:rsidR="6A65EC4E" w:rsidRDefault="6A65EC4E" w14:noSpellErr="1" w14:paraId="7DEA3AF3" w14:textId="7150309C">
            <w:r w:rsidR="6A65EC4E">
              <w:rPr/>
              <w:t>-0.197</w:t>
            </w:r>
          </w:p>
        </w:tc>
      </w:tr>
      <w:tr w:rsidR="6A65EC4E" w:rsidTr="3927AF3A" w14:paraId="2CFA64BD">
        <w:tc>
          <w:tcPr>
            <w:tcW w:w="2400" w:type="dxa"/>
            <w:tcMar/>
          </w:tcPr>
          <w:p w:rsidR="6A65EC4E" w:rsidRDefault="6A65EC4E" w14:noSpellErr="1" w14:paraId="42ECAB77" w14:textId="08659111">
            <w:r w:rsidR="6A65EC4E">
              <w:rPr/>
              <w:t>EBITDA margin</w:t>
            </w:r>
          </w:p>
        </w:tc>
        <w:tc>
          <w:tcPr>
            <w:tcW w:w="1656" w:type="dxa"/>
            <w:tcMar/>
          </w:tcPr>
          <w:p w:rsidR="6A65EC4E" w:rsidRDefault="6A65EC4E" w14:noSpellErr="1" w14:paraId="4D7BC781" w14:textId="014377D5">
            <w:r w:rsidR="6A65EC4E">
              <w:rPr/>
              <w:t>16.5%</w:t>
            </w:r>
          </w:p>
        </w:tc>
        <w:tc>
          <w:tcPr>
            <w:tcW w:w="1656" w:type="dxa"/>
            <w:tcMar/>
          </w:tcPr>
          <w:p w:rsidR="6A65EC4E" w:rsidRDefault="6A65EC4E" w14:noSpellErr="1" w14:paraId="51B62938" w14:textId="7A215E99">
            <w:r w:rsidR="6A65EC4E">
              <w:rPr/>
              <w:t>22.2%</w:t>
            </w:r>
          </w:p>
        </w:tc>
        <w:tc>
          <w:tcPr>
            <w:tcW w:w="1657" w:type="dxa"/>
            <w:tcMar/>
          </w:tcPr>
          <w:p w:rsidR="6A65EC4E" w:rsidRDefault="6A65EC4E" w14:noSpellErr="1" w14:paraId="3968D9CE" w14:textId="72FF455D">
            <w:r w:rsidR="6A65EC4E">
              <w:rPr/>
              <w:t>11.9%</w:t>
            </w:r>
          </w:p>
        </w:tc>
        <w:tc>
          <w:tcPr>
            <w:tcW w:w="1657" w:type="dxa"/>
            <w:tcMar/>
          </w:tcPr>
          <w:p w:rsidR="6A65EC4E" w:rsidRDefault="6A65EC4E" w14:noSpellErr="1" w14:paraId="6278D6AD" w14:textId="6BDD2C21">
            <w:r w:rsidR="6A65EC4E">
              <w:rPr/>
              <w:t>-4.9%</w:t>
            </w:r>
          </w:p>
        </w:tc>
      </w:tr>
      <w:tr w:rsidR="6A65EC4E" w:rsidTr="3927AF3A" w14:paraId="4B862566">
        <w:tc>
          <w:tcPr>
            <w:tcW w:w="2400" w:type="dxa"/>
            <w:tcMar/>
          </w:tcPr>
          <w:p w:rsidR="6A65EC4E" w:rsidRDefault="6A65EC4E" w14:noSpellErr="1" w14:paraId="7C6C426A" w14:textId="02F28C96">
            <w:r w:rsidR="6A65EC4E">
              <w:rPr/>
              <w:t>FTE cost equivalents</w:t>
            </w:r>
          </w:p>
        </w:tc>
        <w:tc>
          <w:tcPr>
            <w:tcW w:w="1656" w:type="dxa"/>
            <w:tcMar/>
          </w:tcPr>
          <w:p w:rsidR="6A65EC4E" w:rsidRDefault="6A65EC4E" w14:noSpellErr="1" w14:paraId="4D8C91E2" w14:textId="7BD0735A">
            <w:r w:rsidR="6A65EC4E">
              <w:rPr/>
              <w:t>25.0</w:t>
            </w:r>
          </w:p>
        </w:tc>
        <w:tc>
          <w:tcPr>
            <w:tcW w:w="1656" w:type="dxa"/>
            <w:tcMar/>
          </w:tcPr>
          <w:p w:rsidR="6A65EC4E" w:rsidRDefault="6A65EC4E" w14:noSpellErr="1" w14:paraId="65F6D4C3" w14:textId="74AE5A1E">
            <w:r w:rsidR="6A65EC4E">
              <w:rPr/>
              <w:t>25.1</w:t>
            </w:r>
          </w:p>
        </w:tc>
        <w:tc>
          <w:tcPr>
            <w:tcW w:w="1657" w:type="dxa"/>
            <w:tcMar/>
          </w:tcPr>
          <w:p w:rsidR="6A65EC4E" w:rsidRDefault="6A65EC4E" w14:noSpellErr="1" w14:paraId="265E424B" w14:textId="6D8C40E2">
            <w:r w:rsidR="6A65EC4E">
              <w:rPr/>
              <w:t>24.3</w:t>
            </w:r>
          </w:p>
        </w:tc>
        <w:tc>
          <w:tcPr>
            <w:tcW w:w="1657" w:type="dxa"/>
            <w:tcMar/>
          </w:tcPr>
          <w:p w:rsidR="6A65EC4E" w:rsidRDefault="6A65EC4E" w14:noSpellErr="1" w14:paraId="2EED046F" w14:textId="666A27A6">
            <w:r w:rsidR="6A65EC4E">
              <w:rPr/>
              <w:t>20.8</w:t>
            </w:r>
          </w:p>
        </w:tc>
      </w:tr>
      <w:tr w:rsidR="6A65EC4E" w:rsidTr="3927AF3A" w14:paraId="13195402">
        <w:tc>
          <w:tcPr>
            <w:tcW w:w="2400" w:type="dxa"/>
            <w:tcMar/>
          </w:tcPr>
          <w:p w:rsidR="6A65EC4E" w:rsidRDefault="6A65EC4E" w14:noSpellErr="1" w14:paraId="3D004B7B" w14:textId="7D7F881B">
            <w:r w:rsidR="6A65EC4E">
              <w:rPr/>
              <w:t>Revenue per FTE, USDk</w:t>
            </w:r>
          </w:p>
        </w:tc>
        <w:tc>
          <w:tcPr>
            <w:tcW w:w="1656" w:type="dxa"/>
            <w:tcMar/>
          </w:tcPr>
          <w:p w:rsidR="6A65EC4E" w:rsidRDefault="6A65EC4E" w14:noSpellErr="1" w14:paraId="30E7B16F" w14:textId="765D6EDF">
            <w:r w:rsidR="6A65EC4E">
              <w:rPr/>
              <w:t>200.0</w:t>
            </w:r>
          </w:p>
        </w:tc>
        <w:tc>
          <w:tcPr>
            <w:tcW w:w="1656" w:type="dxa"/>
            <w:tcMar/>
          </w:tcPr>
          <w:p w:rsidR="6A65EC4E" w:rsidRDefault="6A65EC4E" w14:noSpellErr="1" w14:paraId="1ED255F0" w14:textId="6F3B55A3">
            <w:r w:rsidR="6A65EC4E">
              <w:rPr/>
              <w:t>272.3</w:t>
            </w:r>
          </w:p>
        </w:tc>
        <w:tc>
          <w:tcPr>
            <w:tcW w:w="1657" w:type="dxa"/>
            <w:tcMar/>
          </w:tcPr>
          <w:p w:rsidR="6A65EC4E" w:rsidRDefault="6A65EC4E" w14:noSpellErr="1" w14:paraId="2588EC8E" w14:textId="68193C67">
            <w:r w:rsidR="6A65EC4E">
              <w:rPr/>
              <w:t>229.9</w:t>
            </w:r>
          </w:p>
        </w:tc>
        <w:tc>
          <w:tcPr>
            <w:tcW w:w="1657" w:type="dxa"/>
            <w:tcMar/>
          </w:tcPr>
          <w:p w:rsidR="6A65EC4E" w:rsidRDefault="6A65EC4E" w14:noSpellErr="1" w14:paraId="7B1666F6" w14:textId="60F7232B">
            <w:r w:rsidR="6A65EC4E">
              <w:rPr/>
              <w:t>191.0</w:t>
            </w:r>
          </w:p>
        </w:tc>
      </w:tr>
    </w:tbl>
    <w:p w:rsidR="6A65EC4E" w:rsidRDefault="6A65EC4E" w14:noSpellErr="1" w14:paraId="124AA95B" w14:textId="236E2FBF">
      <w:r w:rsidR="6A65EC4E">
        <w:rPr/>
        <w:t>All table values are calculated from Model M1; rounding may affect displayed totals. In the base case, revenue rises 11.8% by 2030 but EBITDA falls 19.6%. In bull, revenue rises 36.9% while EBITDA rises 84.1%, with broadly unchanged FTE equivalents. In bear, the company remains almost at break-even in 2029 before becoming loss-making in 2030. These are conditional model outcomes, not probabilities or predictions about the industry. [M1]</w:t>
      </w:r>
    </w:p>
    <w:tbl>
      <w:tblPr>
        <w:tblStyle w:val="TableGrid"/>
        <w:tblW w:w="0" w:type="auto"/>
        <w:tblLook w:val="0000" w:firstRow="0" w:lastRow="0" w:firstColumn="0" w:lastColumn="0" w:noHBand="0" w:noVBand="0"/>
      </w:tblPr>
      <w:tblGrid>
        <w:gridCol w:w="3500"/>
        <w:gridCol w:w="1842"/>
        <w:gridCol w:w="1842"/>
        <w:gridCol w:w="1842"/>
      </w:tblGrid>
      <w:tr w:rsidR="6A65EC4E" w:rsidTr="3927AF3A" w14:paraId="68010C22">
        <w:trPr>
          <w:tblHeader/>
        </w:trPr>
        <w:tc>
          <w:tcPr>
            <w:tcW w:w="3500" w:type="dxa"/>
            <w:tcMar/>
          </w:tcPr>
          <w:p w:rsidR="6A65EC4E" w:rsidRDefault="6A65EC4E" w14:noSpellErr="1" w14:paraId="27C1BDE8" w14:textId="0F21E415">
            <w:r w:rsidR="6A65EC4E">
              <w:rPr/>
              <w:t>Year</w:t>
            </w:r>
          </w:p>
        </w:tc>
        <w:tc>
          <w:tcPr>
            <w:tcW w:w="1842" w:type="dxa"/>
            <w:tcMar/>
          </w:tcPr>
          <w:p w:rsidR="6A65EC4E" w:rsidRDefault="6A65EC4E" w14:paraId="7279A24B" w14:textId="07FFCAD9" w14:noSpellErr="1">
            <w:r w:rsidRPr="3927AF3A" w:rsidR="3794A404">
              <w:rPr>
                <w:b w:val="1"/>
                <w:bCs w:val="1"/>
              </w:rPr>
              <w:t>Bull EBITDA, USDm</w:t>
            </w:r>
          </w:p>
        </w:tc>
        <w:tc>
          <w:tcPr>
            <w:tcW w:w="1842" w:type="dxa"/>
            <w:tcMar/>
          </w:tcPr>
          <w:p w:rsidR="6A65EC4E" w:rsidRDefault="6A65EC4E" w14:paraId="7A00E124" w14:textId="00DDB19D" w14:noSpellErr="1">
            <w:r w:rsidRPr="3927AF3A" w:rsidR="3794A404">
              <w:rPr>
                <w:b w:val="1"/>
                <w:bCs w:val="1"/>
              </w:rPr>
              <w:t>Base EBITDA, USDm</w:t>
            </w:r>
          </w:p>
        </w:tc>
        <w:tc>
          <w:tcPr>
            <w:tcW w:w="1842" w:type="dxa"/>
            <w:tcMar/>
          </w:tcPr>
          <w:p w:rsidR="6A65EC4E" w:rsidRDefault="6A65EC4E" w14:paraId="399DBECB" w14:textId="79BB9861" w14:noSpellErr="1">
            <w:r w:rsidRPr="3927AF3A" w:rsidR="3794A404">
              <w:rPr>
                <w:b w:val="1"/>
                <w:bCs w:val="1"/>
              </w:rPr>
              <w:t>Bear EBITDA, USDm</w:t>
            </w:r>
          </w:p>
        </w:tc>
      </w:tr>
      <w:tr w:rsidR="6A65EC4E" w:rsidTr="3927AF3A" w14:paraId="5858EE9B">
        <w:tc>
          <w:tcPr>
            <w:tcW w:w="3500" w:type="dxa"/>
            <w:tcMar/>
          </w:tcPr>
          <w:p w:rsidR="6A65EC4E" w:rsidRDefault="6A65EC4E" w14:noSpellErr="1" w14:paraId="3A68D82D" w14:textId="10D0F8D6">
            <w:r w:rsidR="6A65EC4E">
              <w:rPr/>
              <w:t>2026 baseline</w:t>
            </w:r>
          </w:p>
        </w:tc>
        <w:tc>
          <w:tcPr>
            <w:tcW w:w="1842" w:type="dxa"/>
            <w:tcMar/>
          </w:tcPr>
          <w:p w:rsidR="6A65EC4E" w:rsidRDefault="6A65EC4E" w14:noSpellErr="1" w14:paraId="4ED2DD06" w14:textId="09AEDF9A">
            <w:r w:rsidR="6A65EC4E">
              <w:rPr/>
              <w:t>0.825</w:t>
            </w:r>
          </w:p>
        </w:tc>
        <w:tc>
          <w:tcPr>
            <w:tcW w:w="1842" w:type="dxa"/>
            <w:tcMar/>
          </w:tcPr>
          <w:p w:rsidR="6A65EC4E" w:rsidRDefault="6A65EC4E" w14:noSpellErr="1" w14:paraId="1B30F77C" w14:textId="028CC65E">
            <w:r w:rsidR="6A65EC4E">
              <w:rPr/>
              <w:t>0.825</w:t>
            </w:r>
          </w:p>
        </w:tc>
        <w:tc>
          <w:tcPr>
            <w:tcW w:w="1842" w:type="dxa"/>
            <w:tcMar/>
          </w:tcPr>
          <w:p w:rsidR="6A65EC4E" w:rsidRDefault="6A65EC4E" w14:noSpellErr="1" w14:paraId="4C852D58" w14:textId="7B6AAD22">
            <w:r w:rsidR="6A65EC4E">
              <w:rPr/>
              <w:t>0.825</w:t>
            </w:r>
          </w:p>
        </w:tc>
      </w:tr>
      <w:tr w:rsidR="6A65EC4E" w:rsidTr="3927AF3A" w14:paraId="721B7D65">
        <w:tc>
          <w:tcPr>
            <w:tcW w:w="3500" w:type="dxa"/>
            <w:tcMar/>
          </w:tcPr>
          <w:p w:rsidR="6A65EC4E" w:rsidRDefault="6A65EC4E" w14:noSpellErr="1" w14:paraId="7984E843" w14:textId="12800D97">
            <w:r w:rsidR="6A65EC4E">
              <w:rPr/>
              <w:t>2027</w:t>
            </w:r>
          </w:p>
        </w:tc>
        <w:tc>
          <w:tcPr>
            <w:tcW w:w="1842" w:type="dxa"/>
            <w:tcMar/>
          </w:tcPr>
          <w:p w:rsidR="6A65EC4E" w:rsidRDefault="6A65EC4E" w14:noSpellErr="1" w14:paraId="64ADD929" w14:textId="0B5DF45B">
            <w:r w:rsidR="6A65EC4E">
              <w:rPr/>
              <w:t>0.742</w:t>
            </w:r>
          </w:p>
        </w:tc>
        <w:tc>
          <w:tcPr>
            <w:tcW w:w="1842" w:type="dxa"/>
            <w:tcMar/>
          </w:tcPr>
          <w:p w:rsidR="6A65EC4E" w:rsidRDefault="6A65EC4E" w14:noSpellErr="1" w14:paraId="5F53F2C3" w14:textId="043BDB1F">
            <w:r w:rsidR="6A65EC4E">
              <w:rPr/>
              <w:t>0.642</w:t>
            </w:r>
          </w:p>
        </w:tc>
        <w:tc>
          <w:tcPr>
            <w:tcW w:w="1842" w:type="dxa"/>
            <w:tcMar/>
          </w:tcPr>
          <w:p w:rsidR="6A65EC4E" w:rsidRDefault="6A65EC4E" w14:noSpellErr="1" w14:paraId="3CC218BC" w14:textId="7D19C1E3">
            <w:r w:rsidR="6A65EC4E">
              <w:rPr/>
              <w:t>0.523</w:t>
            </w:r>
          </w:p>
        </w:tc>
      </w:tr>
      <w:tr w:rsidR="6A65EC4E" w:rsidTr="3927AF3A" w14:paraId="427F9574">
        <w:tc>
          <w:tcPr>
            <w:tcW w:w="3500" w:type="dxa"/>
            <w:tcMar/>
          </w:tcPr>
          <w:p w:rsidR="6A65EC4E" w:rsidRDefault="6A65EC4E" w14:noSpellErr="1" w14:paraId="1B91C7BE" w14:textId="142F2258">
            <w:r w:rsidR="6A65EC4E">
              <w:rPr/>
              <w:t>2028</w:t>
            </w:r>
          </w:p>
        </w:tc>
        <w:tc>
          <w:tcPr>
            <w:tcW w:w="1842" w:type="dxa"/>
            <w:tcMar/>
          </w:tcPr>
          <w:p w:rsidR="6A65EC4E" w:rsidRDefault="6A65EC4E" w14:noSpellErr="1" w14:paraId="4A9BE178" w14:textId="0D0D091C">
            <w:r w:rsidR="6A65EC4E">
              <w:rPr/>
              <w:t>0.928</w:t>
            </w:r>
          </w:p>
        </w:tc>
        <w:tc>
          <w:tcPr>
            <w:tcW w:w="1842" w:type="dxa"/>
            <w:tcMar/>
          </w:tcPr>
          <w:p w:rsidR="6A65EC4E" w:rsidRDefault="6A65EC4E" w14:noSpellErr="1" w14:paraId="6A67D022" w14:textId="05EAEFE0">
            <w:r w:rsidR="6A65EC4E">
              <w:rPr/>
              <w:t>0.616</w:t>
            </w:r>
          </w:p>
        </w:tc>
        <w:tc>
          <w:tcPr>
            <w:tcW w:w="1842" w:type="dxa"/>
            <w:tcMar/>
          </w:tcPr>
          <w:p w:rsidR="6A65EC4E" w:rsidRDefault="6A65EC4E" w14:noSpellErr="1" w14:paraId="4C932B1B" w14:textId="7EC8D6A4">
            <w:r w:rsidR="6A65EC4E">
              <w:rPr/>
              <w:t>0.266</w:t>
            </w:r>
          </w:p>
        </w:tc>
      </w:tr>
      <w:tr w:rsidR="6A65EC4E" w:rsidTr="3927AF3A" w14:paraId="4AE271D7">
        <w:tc>
          <w:tcPr>
            <w:tcW w:w="3500" w:type="dxa"/>
            <w:tcMar/>
          </w:tcPr>
          <w:p w:rsidR="6A65EC4E" w:rsidRDefault="6A65EC4E" w14:noSpellErr="1" w14:paraId="44095D68" w14:textId="15DE3719">
            <w:r w:rsidR="6A65EC4E">
              <w:rPr/>
              <w:t>2029</w:t>
            </w:r>
          </w:p>
        </w:tc>
        <w:tc>
          <w:tcPr>
            <w:tcW w:w="1842" w:type="dxa"/>
            <w:tcMar/>
          </w:tcPr>
          <w:p w:rsidR="6A65EC4E" w:rsidRDefault="6A65EC4E" w14:noSpellErr="1" w14:paraId="2A4DBF89" w14:textId="0EBC1DDD">
            <w:r w:rsidR="6A65EC4E">
              <w:rPr/>
              <w:t>1.236</w:t>
            </w:r>
          </w:p>
        </w:tc>
        <w:tc>
          <w:tcPr>
            <w:tcW w:w="1842" w:type="dxa"/>
            <w:tcMar/>
          </w:tcPr>
          <w:p w:rsidR="6A65EC4E" w:rsidRDefault="6A65EC4E" w14:noSpellErr="1" w14:paraId="55DE5666" w14:textId="079A04A1">
            <w:r w:rsidR="6A65EC4E">
              <w:rPr/>
              <w:t>0.648</w:t>
            </w:r>
          </w:p>
        </w:tc>
        <w:tc>
          <w:tcPr>
            <w:tcW w:w="1842" w:type="dxa"/>
            <w:tcMar/>
          </w:tcPr>
          <w:p w:rsidR="6A65EC4E" w:rsidRDefault="6A65EC4E" w14:noSpellErr="1" w14:paraId="471427B4" w14:textId="0077EB65">
            <w:r w:rsidR="6A65EC4E">
              <w:rPr/>
              <w:t>0.026</w:t>
            </w:r>
          </w:p>
        </w:tc>
      </w:tr>
      <w:tr w:rsidR="6A65EC4E" w:rsidTr="3927AF3A" w14:paraId="4C5C2EB7">
        <w:tc>
          <w:tcPr>
            <w:tcW w:w="3500" w:type="dxa"/>
            <w:tcMar/>
          </w:tcPr>
          <w:p w:rsidR="6A65EC4E" w:rsidRDefault="6A65EC4E" w14:noSpellErr="1" w14:paraId="1B916DE7" w14:textId="178D4BDA">
            <w:r w:rsidR="6A65EC4E">
              <w:rPr/>
              <w:t>2030</w:t>
            </w:r>
          </w:p>
        </w:tc>
        <w:tc>
          <w:tcPr>
            <w:tcW w:w="1842" w:type="dxa"/>
            <w:tcMar/>
          </w:tcPr>
          <w:p w:rsidR="6A65EC4E" w:rsidRDefault="6A65EC4E" w14:noSpellErr="1" w14:paraId="61BC91BF" w14:textId="106B329E">
            <w:r w:rsidR="6A65EC4E">
              <w:rPr/>
              <w:t>1.519</w:t>
            </w:r>
          </w:p>
        </w:tc>
        <w:tc>
          <w:tcPr>
            <w:tcW w:w="1842" w:type="dxa"/>
            <w:tcMar/>
          </w:tcPr>
          <w:p w:rsidR="6A65EC4E" w:rsidRDefault="6A65EC4E" w14:noSpellErr="1" w14:paraId="78675C56" w14:textId="09491962">
            <w:r w:rsidR="6A65EC4E">
              <w:rPr/>
              <w:t>0.663</w:t>
            </w:r>
          </w:p>
        </w:tc>
        <w:tc>
          <w:tcPr>
            <w:tcW w:w="1842" w:type="dxa"/>
            <w:tcMar/>
          </w:tcPr>
          <w:p w:rsidR="6A65EC4E" w:rsidRDefault="6A65EC4E" w14:noSpellErr="1" w14:paraId="69C54707" w14:textId="02270026">
            <w:r w:rsidR="6A65EC4E">
              <w:rPr/>
              <w:t>-0.197</w:t>
            </w:r>
          </w:p>
        </w:tc>
      </w:tr>
    </w:tbl>
    <w:p w:rsidR="6A65EC4E" w:rsidRDefault="6A65EC4E" w14:noSpellErr="1" w14:paraId="58AA7D98" w14:textId="65926278">
      <w:r w:rsidR="6A65EC4E">
        <w:rPr/>
        <w:t>The bull case initially falls to a 13.7% EBITDA margin in 2027 because transformation is expensed before the full new revenue and productivity benefits arrive. Its four-year transition budget totals USD750,000, compared with USD475,000 in base and USD100,000 in bear. This investment trough is a financing and execution issue; a board should not require immediate margin expansion while simultaneously funding a credible transition. [M1]</w:t>
      </w:r>
    </w:p>
    <w:p w:rsidR="6A65EC4E" w:rsidP="6A65EC4E" w:rsidRDefault="6A65EC4E" w14:paraId="2EE1EAD7" w14:textId="7906BECF" w14:noSpellErr="1">
      <w:pPr>
        <w:pStyle w:val="Caption"/>
      </w:pPr>
      <w:r w:rsidRPr="3927AF3A" w:rsidR="3794A404">
        <w:rPr>
          <w:color w:val="444444"/>
        </w:rPr>
        <w:t>Figure 2. Illustrative financial paths from 2026 to 2030</w:t>
      </w:r>
    </w:p>
    <w:p w:rsidR="6A65EC4E" w:rsidRDefault="6A65EC4E" w14:noSpellErr="1" w14:paraId="56A0D38F" w14:textId="770A41F9">
      <w:r w:rsidR="6A65EC4E">
        <w:drawing>
          <wp:inline wp14:editId="6FFBF7FB" wp14:anchorId="1AB0EB92">
            <wp:extent cx="5550000" cy="3353598"/>
            <wp:effectExtent l="0" t="0" r="0" b="0"/>
            <wp:docPr id="1759090101" name="drawing" descr="Three modelled revenue and EBITDA-margin paths. Bull improves to 22.2% EBITDA margin, base falls to 11.9%, and bear becomes loss-making by 203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090101" name="Picture 1759090101"/>
                    <pic:cNvPicPr/>
                  </pic:nvPicPr>
                  <pic:blipFill>
                    <a:blip xmlns:r="http://schemas.openxmlformats.org/officeDocument/2006/relationships" r:embed="rId444151699"/>
                    <a:stretch>
                      <a:fillRect/>
                    </a:stretch>
                  </pic:blipFill>
                  <pic:spPr>
                    <a:xfrm>
                      <a:off x="0" y="0"/>
                      <a:ext cx="5550000" cy="3353598"/>
                    </a:xfrm>
                    <a:prstGeom prst="rect">
                      <a:avLst/>
                    </a:prstGeom>
                  </pic:spPr>
                </pic:pic>
              </a:graphicData>
            </a:graphic>
          </wp:inline>
        </w:drawing>
      </w:r>
    </w:p>
    <w:p w:rsidR="6A65EC4E" w:rsidP="6A65EC4E" w:rsidRDefault="6A65EC4E" w14:paraId="2231A79E" w14:textId="3E1C07B7" w14:noSpellErr="1">
      <w:pPr>
        <w:pStyle w:val="Caption"/>
      </w:pPr>
      <w:r w:rsidRPr="3927AF3A" w:rsidR="3794A404">
        <w:rPr>
          <w:color w:val="444444"/>
        </w:rPr>
        <w:t>Author's calculations. EBITDA includes transition expense. Scenarios vary market conditions and execution together; they are not estimates of AI's isolated causal effect. Inputs and formulas appear in Sections 6.1-6.4. [M1]</w:t>
      </w:r>
    </w:p>
    <w:p w:rsidR="6A65EC4E" w:rsidP="6A65EC4E" w:rsidRDefault="6A65EC4E" w14:paraId="48A451EB" w14:textId="1E53F666" w14:noSpellErr="1">
      <w:pPr>
        <w:pStyle w:val="Caption"/>
      </w:pPr>
      <w:r w:rsidRPr="3927AF3A" w:rsidR="3794A404">
        <w:rPr>
          <w:color w:val="444444"/>
        </w:rPr>
        <w:t>Figure 3. Revenue mix changes the source of customer value</w:t>
      </w:r>
    </w:p>
    <w:p w:rsidR="6A65EC4E" w:rsidRDefault="6A65EC4E" w14:noSpellErr="1" w14:paraId="387D3E88" w14:textId="60130870">
      <w:r w:rsidR="6A65EC4E">
        <w:drawing>
          <wp:inline wp14:editId="76B5521B" wp14:anchorId="5BF6C71A">
            <wp:extent cx="5550000" cy="3437653"/>
            <wp:effectExtent l="0" t="0" r="0" b="0"/>
            <wp:docPr id="628412063" name="drawing" descr="Illustrative baseline revenue is mainly core support. Bull and base cases add AI, data and automation alongside a larger security business; the bear case adds none of the new-service lin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8412063" name="Picture 628412063"/>
                    <pic:cNvPicPr/>
                  </pic:nvPicPr>
                  <pic:blipFill>
                    <a:blip xmlns:r="http://schemas.openxmlformats.org/officeDocument/2006/relationships" r:embed="rId1463505807"/>
                    <a:stretch>
                      <a:fillRect/>
                    </a:stretch>
                  </pic:blipFill>
                  <pic:spPr>
                    <a:xfrm>
                      <a:off x="0" y="0"/>
                      <a:ext cx="5550000" cy="3437653"/>
                    </a:xfrm>
                    <a:prstGeom prst="rect">
                      <a:avLst/>
                    </a:prstGeom>
                  </pic:spPr>
                </pic:pic>
              </a:graphicData>
            </a:graphic>
          </wp:inline>
        </w:drawing>
      </w:r>
    </w:p>
    <w:p w:rsidR="6A65EC4E" w:rsidP="6A65EC4E" w:rsidRDefault="6A65EC4E" w14:paraId="2A944B34" w14:textId="76180A1A" w14:noSpellErr="1">
      <w:pPr>
        <w:pStyle w:val="Caption"/>
      </w:pPr>
      <w:r w:rsidRPr="3927AF3A" w:rsidR="3794A404">
        <w:rPr>
          <w:color w:val="444444"/>
        </w:rPr>
        <w:t>Author's calculations; percentages of modelled revenue, not market shares. New-service revenue groups AI advisory, implementation, governance, data and automation without double counting. [M1]</w:t>
      </w:r>
    </w:p>
    <w:p w:rsidR="6A65EC4E" w:rsidP="6A65EC4E" w:rsidRDefault="6A65EC4E" w14:paraId="6DD5AA16" w14:textId="6FC8790C" w14:noSpellErr="1">
      <w:pPr>
        <w:pStyle w:val="Heading2"/>
      </w:pPr>
      <w:r w:rsidRPr="3927AF3A" w:rsidR="3794A404">
        <w:rPr>
          <w:color w:val="006D77"/>
        </w:rPr>
        <w:t>6.6 The automation dividend can go to the customer, not the provider</w:t>
      </w:r>
    </w:p>
    <w:p w:rsidR="6A65EC4E" w:rsidRDefault="6A65EC4E" w14:noSpellErr="1" w14:paraId="44FB0EC4" w14:textId="40C00085">
      <w:r w:rsidR="6A65EC4E">
        <w:rPr/>
        <w:t>A fixed-fee contract initially lets the provider retain the benefit of fewer delivery hours. At renewal, the customer may capture some of that benefit through price or scope. In an isolated baseline sensitivity, a 10% reduction in the USD3.5 million core price base removes USD350,000 revenue. A 15% reduction in USD1.35 million direct core labour saves only USD202,500. After USD80,000 new AI cost, EBITDA falls USD227,500 to USD597,500. [M1]</w:t>
      </w:r>
    </w:p>
    <w:p w:rsidR="6A65EC4E" w:rsidRDefault="6A65EC4E" w14:noSpellErr="1" w14:paraId="4D9245C8" w14:textId="45CA138C">
      <w:r w:rsidR="6A65EC4E">
        <w:rPr/>
        <w:t>Under those same assumptions, preserving baseline EBITDA despite a 10% core price cut requires a 31.9% cash reduction in direct core labour. This is not a forecast of pricing or productivity. It exposes a denominator trap: a saving measured against a labour-cost slice does not offset an equal percentage reduction measured against all contract revenue. The sensitivity holds volume, other costs and overhead constant; wage inflation and transition execution risks are excluded. [M1]</w:t>
      </w:r>
    </w:p>
    <w:tbl>
      <w:tblPr>
        <w:tblStyle w:val="TableGrid"/>
        <w:tblW w:w="0" w:type="auto"/>
        <w:tblLook w:val="0000" w:firstRow="0" w:lastRow="0" w:firstColumn="0" w:lastColumn="0" w:noHBand="0" w:noVBand="0"/>
      </w:tblPr>
      <w:tblGrid>
        <w:gridCol w:w="2200"/>
        <w:gridCol w:w="2100"/>
        <w:gridCol w:w="2350"/>
        <w:gridCol w:w="2376"/>
      </w:tblGrid>
      <w:tr w:rsidR="6A65EC4E" w:rsidTr="3927AF3A" w14:paraId="4DD1279A">
        <w:trPr>
          <w:tblHeader/>
        </w:trPr>
        <w:tc>
          <w:tcPr>
            <w:tcW w:w="2200" w:type="dxa"/>
            <w:tcMar/>
          </w:tcPr>
          <w:p w:rsidR="6A65EC4E" w:rsidRDefault="6A65EC4E" w14:paraId="337E0DD0" w14:textId="3AD203CE" w14:noSpellErr="1">
            <w:r w:rsidRPr="3927AF3A" w:rsidR="3794A404">
              <w:rPr>
                <w:b w:val="1"/>
                <w:bCs w:val="1"/>
              </w:rPr>
              <w:t>One-off core price cut</w:t>
            </w:r>
          </w:p>
        </w:tc>
        <w:tc>
          <w:tcPr>
            <w:tcW w:w="2100" w:type="dxa"/>
            <w:tcMar/>
          </w:tcPr>
          <w:p w:rsidR="6A65EC4E" w:rsidRDefault="6A65EC4E" w14:noSpellErr="1" w14:paraId="5C0E35B9" w14:textId="33AFEA92">
            <w:r w:rsidR="6A65EC4E">
              <w:rPr/>
              <w:t>0% core labour reduction</w:t>
            </w:r>
          </w:p>
        </w:tc>
        <w:tc>
          <w:tcPr>
            <w:tcW w:w="2350" w:type="dxa"/>
            <w:tcMar/>
          </w:tcPr>
          <w:p w:rsidR="6A65EC4E" w:rsidRDefault="6A65EC4E" w14:paraId="3F360E3F" w14:textId="2C8DD156" w14:noSpellErr="1">
            <w:r w:rsidRPr="3927AF3A" w:rsidR="3794A404">
              <w:rPr>
                <w:b w:val="1"/>
                <w:bCs w:val="1"/>
              </w:rPr>
              <w:t>15% core labour reduction</w:t>
            </w:r>
          </w:p>
        </w:tc>
        <w:tc>
          <w:tcPr>
            <w:tcW w:w="2376" w:type="dxa"/>
            <w:tcMar/>
          </w:tcPr>
          <w:p w:rsidR="6A65EC4E" w:rsidRDefault="6A65EC4E" w14:paraId="4570FF46" w14:textId="256BB81A" w14:noSpellErr="1">
            <w:r w:rsidRPr="3927AF3A" w:rsidR="3794A404">
              <w:rPr>
                <w:b w:val="1"/>
                <w:bCs w:val="1"/>
              </w:rPr>
              <w:t>30% core labour reduction</w:t>
            </w:r>
          </w:p>
        </w:tc>
      </w:tr>
      <w:tr w:rsidR="6A65EC4E" w:rsidTr="3927AF3A" w14:paraId="14050189">
        <w:tc>
          <w:tcPr>
            <w:tcW w:w="2200" w:type="dxa"/>
            <w:tcMar/>
          </w:tcPr>
          <w:p w:rsidR="6A65EC4E" w:rsidRDefault="6A65EC4E" w14:noSpellErr="1" w14:paraId="46E86130" w14:textId="3C81188F">
            <w:r w:rsidR="6A65EC4E">
              <w:rPr/>
              <w:t>0%</w:t>
            </w:r>
          </w:p>
        </w:tc>
        <w:tc>
          <w:tcPr>
            <w:tcW w:w="2100" w:type="dxa"/>
            <w:tcMar/>
          </w:tcPr>
          <w:p w:rsidR="6A65EC4E" w:rsidRDefault="6A65EC4E" w14:noSpellErr="1" w14:paraId="1242CC0E" w14:textId="355EFF53">
            <w:r w:rsidR="6A65EC4E">
              <w:rPr/>
              <w:t>0.7450</w:t>
            </w:r>
          </w:p>
        </w:tc>
        <w:tc>
          <w:tcPr>
            <w:tcW w:w="2350" w:type="dxa"/>
            <w:tcMar/>
          </w:tcPr>
          <w:p w:rsidR="6A65EC4E" w:rsidRDefault="6A65EC4E" w14:noSpellErr="1" w14:paraId="4B76F404" w14:textId="2E3CE617">
            <w:r w:rsidR="6A65EC4E">
              <w:rPr/>
              <w:t>0.9475</w:t>
            </w:r>
          </w:p>
        </w:tc>
        <w:tc>
          <w:tcPr>
            <w:tcW w:w="2376" w:type="dxa"/>
            <w:tcMar/>
          </w:tcPr>
          <w:p w:rsidR="6A65EC4E" w:rsidRDefault="6A65EC4E" w14:noSpellErr="1" w14:paraId="7F34A783" w14:textId="271ACCDB">
            <w:r w:rsidR="6A65EC4E">
              <w:rPr/>
              <w:t>1.1500</w:t>
            </w:r>
          </w:p>
        </w:tc>
      </w:tr>
      <w:tr w:rsidR="6A65EC4E" w:rsidTr="3927AF3A" w14:paraId="7D44B011">
        <w:tc>
          <w:tcPr>
            <w:tcW w:w="2200" w:type="dxa"/>
            <w:tcMar/>
          </w:tcPr>
          <w:p w:rsidR="6A65EC4E" w:rsidRDefault="6A65EC4E" w14:noSpellErr="1" w14:paraId="15183EF5" w14:textId="3E302D50">
            <w:r w:rsidR="6A65EC4E">
              <w:rPr/>
              <w:t>5%</w:t>
            </w:r>
          </w:p>
        </w:tc>
        <w:tc>
          <w:tcPr>
            <w:tcW w:w="2100" w:type="dxa"/>
            <w:tcMar/>
          </w:tcPr>
          <w:p w:rsidR="6A65EC4E" w:rsidRDefault="6A65EC4E" w14:noSpellErr="1" w14:paraId="11481F63" w14:textId="370E1414">
            <w:r w:rsidR="6A65EC4E">
              <w:rPr/>
              <w:t>0.5700</w:t>
            </w:r>
          </w:p>
        </w:tc>
        <w:tc>
          <w:tcPr>
            <w:tcW w:w="2350" w:type="dxa"/>
            <w:tcMar/>
          </w:tcPr>
          <w:p w:rsidR="6A65EC4E" w:rsidRDefault="6A65EC4E" w14:noSpellErr="1" w14:paraId="343F873B" w14:textId="2FEBFAD8">
            <w:r w:rsidR="6A65EC4E">
              <w:rPr/>
              <w:t>0.7725</w:t>
            </w:r>
          </w:p>
        </w:tc>
        <w:tc>
          <w:tcPr>
            <w:tcW w:w="2376" w:type="dxa"/>
            <w:tcMar/>
          </w:tcPr>
          <w:p w:rsidR="6A65EC4E" w:rsidRDefault="6A65EC4E" w14:noSpellErr="1" w14:paraId="2E9F66F8" w14:textId="28C9E19C">
            <w:r w:rsidR="6A65EC4E">
              <w:rPr/>
              <w:t>0.9750</w:t>
            </w:r>
          </w:p>
        </w:tc>
      </w:tr>
      <w:tr w:rsidR="6A65EC4E" w:rsidTr="3927AF3A" w14:paraId="437605B0">
        <w:tc>
          <w:tcPr>
            <w:tcW w:w="2200" w:type="dxa"/>
            <w:tcMar/>
          </w:tcPr>
          <w:p w:rsidR="6A65EC4E" w:rsidRDefault="6A65EC4E" w14:noSpellErr="1" w14:paraId="750C13B2" w14:textId="3FDF4211">
            <w:r w:rsidR="6A65EC4E">
              <w:rPr/>
              <w:t>10%</w:t>
            </w:r>
          </w:p>
        </w:tc>
        <w:tc>
          <w:tcPr>
            <w:tcW w:w="2100" w:type="dxa"/>
            <w:tcMar/>
          </w:tcPr>
          <w:p w:rsidR="6A65EC4E" w:rsidRDefault="6A65EC4E" w14:noSpellErr="1" w14:paraId="2211021E" w14:textId="38BD28D5">
            <w:r w:rsidR="6A65EC4E">
              <w:rPr/>
              <w:t>0.3950</w:t>
            </w:r>
          </w:p>
        </w:tc>
        <w:tc>
          <w:tcPr>
            <w:tcW w:w="2350" w:type="dxa"/>
            <w:tcMar/>
          </w:tcPr>
          <w:p w:rsidR="6A65EC4E" w:rsidRDefault="6A65EC4E" w14:noSpellErr="1" w14:paraId="1EB0D6C9" w14:textId="319B0F99">
            <w:r w:rsidR="6A65EC4E">
              <w:rPr/>
              <w:t>0.5975</w:t>
            </w:r>
          </w:p>
        </w:tc>
        <w:tc>
          <w:tcPr>
            <w:tcW w:w="2376" w:type="dxa"/>
            <w:tcMar/>
          </w:tcPr>
          <w:p w:rsidR="6A65EC4E" w:rsidRDefault="6A65EC4E" w14:noSpellErr="1" w14:paraId="453879EA" w14:textId="2A78F65D">
            <w:r w:rsidR="6A65EC4E">
              <w:rPr/>
              <w:t>0.8000</w:t>
            </w:r>
          </w:p>
        </w:tc>
      </w:tr>
      <w:tr w:rsidR="6A65EC4E" w:rsidTr="3927AF3A" w14:paraId="4611C788">
        <w:tc>
          <w:tcPr>
            <w:tcW w:w="2200" w:type="dxa"/>
            <w:tcMar/>
          </w:tcPr>
          <w:p w:rsidR="6A65EC4E" w:rsidRDefault="6A65EC4E" w14:noSpellErr="1" w14:paraId="10B70B0C" w14:textId="418E56D2">
            <w:r w:rsidR="6A65EC4E">
              <w:rPr/>
              <w:t>15%</w:t>
            </w:r>
          </w:p>
        </w:tc>
        <w:tc>
          <w:tcPr>
            <w:tcW w:w="2100" w:type="dxa"/>
            <w:tcMar/>
          </w:tcPr>
          <w:p w:rsidR="6A65EC4E" w:rsidRDefault="6A65EC4E" w14:noSpellErr="1" w14:paraId="4B5582DA" w14:textId="3A6C3D96">
            <w:r w:rsidR="6A65EC4E">
              <w:rPr/>
              <w:t>0.2200</w:t>
            </w:r>
          </w:p>
        </w:tc>
        <w:tc>
          <w:tcPr>
            <w:tcW w:w="2350" w:type="dxa"/>
            <w:tcMar/>
          </w:tcPr>
          <w:p w:rsidR="6A65EC4E" w:rsidRDefault="6A65EC4E" w14:noSpellErr="1" w14:paraId="2A95EE6C" w14:textId="334A245A">
            <w:r w:rsidR="6A65EC4E">
              <w:rPr/>
              <w:t>0.4225</w:t>
            </w:r>
          </w:p>
        </w:tc>
        <w:tc>
          <w:tcPr>
            <w:tcW w:w="2376" w:type="dxa"/>
            <w:tcMar/>
          </w:tcPr>
          <w:p w:rsidR="6A65EC4E" w:rsidRDefault="6A65EC4E" w14:noSpellErr="1" w14:paraId="4F461384" w14:textId="2C280B1E">
            <w:r w:rsidR="6A65EC4E">
              <w:rPr/>
              <w:t>0.6250</w:t>
            </w:r>
          </w:p>
        </w:tc>
      </w:tr>
    </w:tbl>
    <w:p w:rsidR="6A65EC4E" w:rsidRDefault="6A65EC4E" w14:noSpellErr="1" w14:paraId="7075947C" w14:textId="34DB24B3">
      <w:r w:rsidR="6A65EC4E">
        <w:rPr/>
        <w:t>Table shows EBITDA in USD millions, with USD80,000 incremental AI cost in every cell and no other changes. Baseline before that cost is USD0.825 million. Treat this as a contract-pricing test: explicitly decide how productivity gains are divided between provider, customer and platform supplier rather than assuming that all savings accrue to the MSP. [M1]</w:t>
      </w:r>
    </w:p>
    <w:p w:rsidR="6A65EC4E" w:rsidP="6A65EC4E" w:rsidRDefault="6A65EC4E" w14:paraId="327B79A1" w14:textId="48126794" w14:noSpellErr="1">
      <w:pPr>
        <w:pStyle w:val="Caption"/>
      </w:pPr>
      <w:r w:rsidRPr="3927AF3A" w:rsidR="3794A404">
        <w:rPr>
          <w:color w:val="444444"/>
        </w:rPr>
        <w:t>Figure 4. Price-versus-productivity sensitivity</w:t>
      </w:r>
    </w:p>
    <w:p w:rsidR="6A65EC4E" w:rsidRDefault="6A65EC4E" w14:noSpellErr="1" w14:paraId="23F2FC2B" w14:textId="705518E9">
      <w:r w:rsidR="6A65EC4E">
        <w:drawing>
          <wp:inline wp14:editId="66732842" wp14:anchorId="2E5C1DA0">
            <wp:extent cx="5550000" cy="3090392"/>
            <wp:effectExtent l="0" t="0" r="0" b="0"/>
            <wp:docPr id="1085558716" name="drawing" descr="Illustrative EBITDA falls as core prices are cut. Even a 30% core-labour reduction does not fully preserve baseline EBITDA at a 10% price cut after incremental AI cost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5558716" name="Picture 1085558716"/>
                    <pic:cNvPicPr/>
                  </pic:nvPicPr>
                  <pic:blipFill>
                    <a:blip xmlns:r="http://schemas.openxmlformats.org/officeDocument/2006/relationships" r:embed="rId748028599"/>
                    <a:stretch>
                      <a:fillRect/>
                    </a:stretch>
                  </pic:blipFill>
                  <pic:spPr>
                    <a:xfrm>
                      <a:off x="0" y="0"/>
                      <a:ext cx="5550000" cy="3090392"/>
                    </a:xfrm>
                    <a:prstGeom prst="rect">
                      <a:avLst/>
                    </a:prstGeom>
                  </pic:spPr>
                </pic:pic>
              </a:graphicData>
            </a:graphic>
          </wp:inline>
        </w:drawing>
      </w:r>
    </w:p>
    <w:p w:rsidR="6A65EC4E" w:rsidP="6A65EC4E" w:rsidRDefault="6A65EC4E" w14:paraId="4615B215" w14:textId="18DFF87C" w14:noSpellErr="1">
      <w:pPr>
        <w:pStyle w:val="Caption"/>
      </w:pPr>
      <w:r w:rsidRPr="3927AF3A" w:rsidR="3794A404">
        <w:rPr>
          <w:color w:val="444444"/>
        </w:rPr>
        <w:t>Author's calculations. Fixed baseline demand and other costs; USD80,000 incremental AI cost in every scenario. The dashed line is initial EBITDA of USD0.825 million before that incremental cost. This sensitivity is not a prediction of price reductions. [M1]</w:t>
      </w:r>
    </w:p>
    <w:p w:rsidR="6A65EC4E" w:rsidP="6A65EC4E" w:rsidRDefault="6A65EC4E" w14:paraId="424E690F" w14:textId="23F9712B" w14:noSpellErr="1">
      <w:pPr>
        <w:pStyle w:val="Heading2"/>
      </w:pPr>
      <w:r w:rsidRPr="3927AF3A" w:rsidR="3794A404">
        <w:rPr>
          <w:color w:val="006D77"/>
        </w:rPr>
        <w:t>6.7 Valuation sensitivity and acquisition discipline</w:t>
      </w:r>
    </w:p>
    <w:p w:rsidR="6A65EC4E" w:rsidRDefault="6A65EC4E" w14:noSpellErr="1" w14:paraId="4C07C519" w14:textId="24F5E379">
      <w:r w:rsidR="6A65EC4E">
        <w:rPr/>
        <w:t>No verified, representative private-MSP transaction-multiple dataset is used in this report. The 4x, 6x and 8x figures below are deliberately selected sensitivity points, not observed market ranges, valuation advice or asserted industry averages. Enterprise value equals EBITDA multiplied by the chosen multiple; equity value requires deduction of net debt and other relevant claims. Loss-making businesses are marked not meaningful rather than assigned zero enterprise value. [M1]</w:t>
      </w:r>
    </w:p>
    <w:tbl>
      <w:tblPr>
        <w:tblStyle w:val="TableGrid"/>
        <w:tblW w:w="0" w:type="auto"/>
        <w:tblLook w:val="0000" w:firstRow="0" w:lastRow="0" w:firstColumn="0" w:lastColumn="0" w:noHBand="0" w:noVBand="0"/>
      </w:tblPr>
      <w:tblGrid>
        <w:gridCol w:w="3500"/>
        <w:gridCol w:w="1842"/>
        <w:gridCol w:w="1842"/>
        <w:gridCol w:w="1842"/>
      </w:tblGrid>
      <w:tr w:rsidR="6A65EC4E" w:rsidTr="3927AF3A" w14:paraId="3DADECB1">
        <w:trPr>
          <w:tblHeader/>
        </w:trPr>
        <w:tc>
          <w:tcPr>
            <w:tcW w:w="3500" w:type="dxa"/>
            <w:tcMar/>
          </w:tcPr>
          <w:p w:rsidR="6A65EC4E" w:rsidRDefault="6A65EC4E" w14:paraId="204FA1B0" w14:textId="5C01E0C9" w14:noSpellErr="1">
            <w:r w:rsidRPr="3927AF3A" w:rsidR="3794A404">
              <w:rPr>
                <w:b w:val="1"/>
                <w:bCs w:val="1"/>
              </w:rPr>
              <w:t>Illustrative enterprise value, USDm</w:t>
            </w:r>
          </w:p>
        </w:tc>
        <w:tc>
          <w:tcPr>
            <w:tcW w:w="1842" w:type="dxa"/>
            <w:tcMar/>
          </w:tcPr>
          <w:p w:rsidR="6A65EC4E" w:rsidRDefault="6A65EC4E" w14:noSpellErr="1" w14:paraId="6012F10B" w14:textId="54DFC78D">
            <w:r w:rsidR="6A65EC4E">
              <w:rPr/>
              <w:t>4x EBITDA</w:t>
            </w:r>
          </w:p>
        </w:tc>
        <w:tc>
          <w:tcPr>
            <w:tcW w:w="1842" w:type="dxa"/>
            <w:tcMar/>
          </w:tcPr>
          <w:p w:rsidR="6A65EC4E" w:rsidRDefault="6A65EC4E" w14:noSpellErr="1" w14:paraId="3B6A7C86" w14:textId="4DBDAE51">
            <w:r w:rsidR="6A65EC4E">
              <w:rPr/>
              <w:t>6x EBITDA</w:t>
            </w:r>
          </w:p>
        </w:tc>
        <w:tc>
          <w:tcPr>
            <w:tcW w:w="1842" w:type="dxa"/>
            <w:tcMar/>
          </w:tcPr>
          <w:p w:rsidR="6A65EC4E" w:rsidRDefault="6A65EC4E" w14:noSpellErr="1" w14:paraId="4800000C" w14:textId="469B9515">
            <w:r w:rsidR="6A65EC4E">
              <w:rPr/>
              <w:t>8x EBITDA</w:t>
            </w:r>
          </w:p>
        </w:tc>
      </w:tr>
      <w:tr w:rsidR="6A65EC4E" w:rsidTr="3927AF3A" w14:paraId="5C225687">
        <w:tc>
          <w:tcPr>
            <w:tcW w:w="3500" w:type="dxa"/>
            <w:tcMar/>
          </w:tcPr>
          <w:p w:rsidR="6A65EC4E" w:rsidRDefault="6A65EC4E" w14:noSpellErr="1" w14:paraId="1214E72E" w14:textId="5DB0F58A">
            <w:r w:rsidR="6A65EC4E">
              <w:rPr/>
              <w:t>2026 baseline</w:t>
            </w:r>
          </w:p>
        </w:tc>
        <w:tc>
          <w:tcPr>
            <w:tcW w:w="1842" w:type="dxa"/>
            <w:tcMar/>
          </w:tcPr>
          <w:p w:rsidR="6A65EC4E" w:rsidRDefault="6A65EC4E" w14:noSpellErr="1" w14:paraId="5FE61EB6" w14:textId="568EDC4E">
            <w:r w:rsidR="6A65EC4E">
              <w:rPr/>
              <w:t>3.30</w:t>
            </w:r>
          </w:p>
        </w:tc>
        <w:tc>
          <w:tcPr>
            <w:tcW w:w="1842" w:type="dxa"/>
            <w:tcMar/>
          </w:tcPr>
          <w:p w:rsidR="6A65EC4E" w:rsidRDefault="6A65EC4E" w14:noSpellErr="1" w14:paraId="5C7989FC" w14:textId="4F6CC312">
            <w:r w:rsidR="6A65EC4E">
              <w:rPr/>
              <w:t>4.95</w:t>
            </w:r>
          </w:p>
        </w:tc>
        <w:tc>
          <w:tcPr>
            <w:tcW w:w="1842" w:type="dxa"/>
            <w:tcMar/>
          </w:tcPr>
          <w:p w:rsidR="6A65EC4E" w:rsidRDefault="6A65EC4E" w14:noSpellErr="1" w14:paraId="6237B9C5" w14:textId="484AA9D6">
            <w:r w:rsidR="6A65EC4E">
              <w:rPr/>
              <w:t>6.60</w:t>
            </w:r>
          </w:p>
        </w:tc>
      </w:tr>
      <w:tr w:rsidR="6A65EC4E" w:rsidTr="3927AF3A" w14:paraId="6A7D24CE">
        <w:tc>
          <w:tcPr>
            <w:tcW w:w="3500" w:type="dxa"/>
            <w:tcMar/>
          </w:tcPr>
          <w:p w:rsidR="6A65EC4E" w:rsidRDefault="6A65EC4E" w14:noSpellErr="1" w14:paraId="1A8A5273" w14:textId="5F600A4B">
            <w:r w:rsidR="6A65EC4E">
              <w:rPr/>
              <w:t>2030 bull</w:t>
            </w:r>
          </w:p>
        </w:tc>
        <w:tc>
          <w:tcPr>
            <w:tcW w:w="1842" w:type="dxa"/>
            <w:tcMar/>
          </w:tcPr>
          <w:p w:rsidR="6A65EC4E" w:rsidRDefault="6A65EC4E" w14:noSpellErr="1" w14:paraId="6FF34E73" w14:textId="583DF10F">
            <w:r w:rsidR="6A65EC4E">
              <w:rPr/>
              <w:t>6.08</w:t>
            </w:r>
          </w:p>
        </w:tc>
        <w:tc>
          <w:tcPr>
            <w:tcW w:w="1842" w:type="dxa"/>
            <w:tcMar/>
          </w:tcPr>
          <w:p w:rsidR="6A65EC4E" w:rsidRDefault="6A65EC4E" w14:noSpellErr="1" w14:paraId="287AABD9" w14:textId="511BD7D3">
            <w:r w:rsidR="6A65EC4E">
              <w:rPr/>
              <w:t>9.11</w:t>
            </w:r>
          </w:p>
        </w:tc>
        <w:tc>
          <w:tcPr>
            <w:tcW w:w="1842" w:type="dxa"/>
            <w:tcMar/>
          </w:tcPr>
          <w:p w:rsidR="6A65EC4E" w:rsidRDefault="6A65EC4E" w14:noSpellErr="1" w14:paraId="423857FA" w14:textId="49F9BE97">
            <w:r w:rsidR="6A65EC4E">
              <w:rPr/>
              <w:t>12.15</w:t>
            </w:r>
          </w:p>
        </w:tc>
      </w:tr>
      <w:tr w:rsidR="6A65EC4E" w:rsidTr="3927AF3A" w14:paraId="47B250CF">
        <w:tc>
          <w:tcPr>
            <w:tcW w:w="3500" w:type="dxa"/>
            <w:tcMar/>
          </w:tcPr>
          <w:p w:rsidR="6A65EC4E" w:rsidRDefault="6A65EC4E" w14:noSpellErr="1" w14:paraId="732B268C" w14:textId="610F1F0C">
            <w:r w:rsidR="6A65EC4E">
              <w:rPr/>
              <w:t>2030 base</w:t>
            </w:r>
          </w:p>
        </w:tc>
        <w:tc>
          <w:tcPr>
            <w:tcW w:w="1842" w:type="dxa"/>
            <w:tcMar/>
          </w:tcPr>
          <w:p w:rsidR="6A65EC4E" w:rsidRDefault="6A65EC4E" w14:noSpellErr="1" w14:paraId="4FCBF487" w14:textId="59ED05D0">
            <w:r w:rsidR="6A65EC4E">
              <w:rPr/>
              <w:t>2.65</w:t>
            </w:r>
          </w:p>
        </w:tc>
        <w:tc>
          <w:tcPr>
            <w:tcW w:w="1842" w:type="dxa"/>
            <w:tcMar/>
          </w:tcPr>
          <w:p w:rsidR="6A65EC4E" w:rsidRDefault="6A65EC4E" w14:noSpellErr="1" w14:paraId="7447B2CD" w14:textId="52CAEC94">
            <w:r w:rsidR="6A65EC4E">
              <w:rPr/>
              <w:t>3.98</w:t>
            </w:r>
          </w:p>
        </w:tc>
        <w:tc>
          <w:tcPr>
            <w:tcW w:w="1842" w:type="dxa"/>
            <w:tcMar/>
          </w:tcPr>
          <w:p w:rsidR="6A65EC4E" w:rsidRDefault="6A65EC4E" w14:noSpellErr="1" w14:paraId="6D861105" w14:textId="4BA8D358">
            <w:r w:rsidR="6A65EC4E">
              <w:rPr/>
              <w:t>5.30</w:t>
            </w:r>
          </w:p>
        </w:tc>
      </w:tr>
      <w:tr w:rsidR="6A65EC4E" w:rsidTr="3927AF3A" w14:paraId="6CE01732">
        <w:tc>
          <w:tcPr>
            <w:tcW w:w="3500" w:type="dxa"/>
            <w:tcMar/>
          </w:tcPr>
          <w:p w:rsidR="6A65EC4E" w:rsidRDefault="6A65EC4E" w14:noSpellErr="1" w14:paraId="4871B2AD" w14:textId="62BE33CD">
            <w:r w:rsidR="6A65EC4E">
              <w:rPr/>
              <w:t>2030 bear</w:t>
            </w:r>
          </w:p>
        </w:tc>
        <w:tc>
          <w:tcPr>
            <w:tcW w:w="1842" w:type="dxa"/>
            <w:tcMar/>
          </w:tcPr>
          <w:p w:rsidR="6A65EC4E" w:rsidRDefault="6A65EC4E" w14:noSpellErr="1" w14:paraId="2E4FA59A" w14:textId="5B9C1A91">
            <w:r w:rsidR="6A65EC4E">
              <w:rPr/>
              <w:t>Not meaningful</w:t>
            </w:r>
          </w:p>
        </w:tc>
        <w:tc>
          <w:tcPr>
            <w:tcW w:w="1842" w:type="dxa"/>
            <w:tcMar/>
          </w:tcPr>
          <w:p w:rsidR="6A65EC4E" w:rsidRDefault="6A65EC4E" w14:noSpellErr="1" w14:paraId="24B50C9A" w14:textId="547A0155">
            <w:r w:rsidR="6A65EC4E">
              <w:rPr/>
              <w:t>Not meaningful</w:t>
            </w:r>
          </w:p>
        </w:tc>
        <w:tc>
          <w:tcPr>
            <w:tcW w:w="1842" w:type="dxa"/>
            <w:tcMar/>
          </w:tcPr>
          <w:p w:rsidR="6A65EC4E" w:rsidRDefault="6A65EC4E" w14:noSpellErr="1" w14:paraId="746288D8" w14:textId="4D57E819">
            <w:r w:rsidR="6A65EC4E">
              <w:rPr/>
              <w:t>Not meaningful</w:t>
            </w:r>
          </w:p>
        </w:tc>
      </w:tr>
    </w:tbl>
    <w:p w:rsidR="6A65EC4E" w:rsidRDefault="6A65EC4E" w14:noSpellErr="1" w14:paraId="5350B379" w14:textId="3405EBBF">
      <w:r w:rsidR="6A65EC4E">
        <w:rPr/>
        <w:t>Even at an unchanged 6x multiple, base-case enterprise value falls from USD4.95 million to USD3.98 million. Combining base-case EBITDA with a 4x multiple instead of the baseline 6x produces USD2.65 million, a 46.4% decrease. Conversely, bull-case improvement creates value even without multiple expansion. The model therefore does not rely on an assumed market premium for an AI label. [M1]</w:t>
      </w:r>
    </w:p>
    <w:p w:rsidR="6A65EC4E" w:rsidRDefault="6A65EC4E" w14:noSpellErr="1" w14:paraId="5C6DF427" w14:textId="7EF63CCB">
      <w:r w:rsidR="6A65EC4E">
        <w:rPr/>
        <w:t>A buyer should underwrite retained gross profit, renewal economics, service-level liabilities, client concentration, owner dependence, security posture, licensing commitments and the cost of integrating delivery. Separate purchased growth from organic growth; scrutinise revenue recognised gross on licences and exclude unproven automation savings from the debt base. Recurring revenue only deserves a premium if it is renewable at attractive contribution margins. These are investment-screening recommendations, not a prediction of any transaction price.</w:t>
      </w:r>
    </w:p>
    <w:p w:rsidR="6A65EC4E" w:rsidRDefault="6A65EC4E" w14:noSpellErr="1" w14:paraId="77385F8D" w14:textId="5BC416F9">
      <w:r w:rsidR="6A65EC4E">
        <w:rPr/>
        <w:t>Acquiring scale without retiring duplicate tools, contract exceptions and manual workflows can purchase a larger version of the same problem. A stronger thesis buys a customer relationship plus reusable delivery assets, specialist skills or vertical knowledge, with funded integration. For sellers, documenting those assets and removing key-person dependence is more controllable than trying to time a valuation cycle. For lenders and boards, stress cash conversion and covenant headroom as well as headline EBITDA.</w:t>
      </w:r>
    </w:p>
    <w:p w:rsidR="6A65EC4E" w:rsidP="6A65EC4E" w:rsidRDefault="6A65EC4E" w14:paraId="560E6228" w14:textId="44A146BD" w14:noSpellErr="1">
      <w:pPr>
        <w:pStyle w:val="Heading1"/>
      </w:pPr>
      <w:r w:rsidRPr="3927AF3A" w:rsidR="3794A404">
        <w:rPr>
          <w:color w:val="17365D" w:themeColor="text2" w:themeTint="FF" w:themeShade="BF"/>
        </w:rPr>
        <w:t>7. Microsoft Strategy Analysis</w:t>
      </w:r>
    </w:p>
    <w:p w:rsidR="6A65EC4E" w:rsidP="6A65EC4E" w:rsidRDefault="6A65EC4E" w14:paraId="45D887E3" w14:textId="31FC8AEE" w14:noSpellErr="1">
      <w:pPr>
        <w:pStyle w:val="Heading2"/>
      </w:pPr>
      <w:r w:rsidRPr="3927AF3A" w:rsidR="3794A404">
        <w:rPr>
          <w:color w:val="006D77"/>
        </w:rPr>
        <w:t>7.1 Follow the economics, not only the product announcements</w:t>
      </w:r>
    </w:p>
    <w:p w:rsidR="6A65EC4E" w:rsidRDefault="6A65EC4E" w14:noSpellErr="1" w14:paraId="62B2FB50" w14:textId="17D56969">
      <w:r w:rsidR="6A65EC4E">
        <w:rPr/>
        <w:t>Microsoft reported FY2026 revenue of USD331.8 billion, up 18%, and more than 30 million paid Microsoft 365 Copilot seats. These are Microsoft's results, not a measurement of partner profitability or seat utilisation. They establish commercial scale behind the AI strategy, but they cannot establish how much service revenue an MSP will gain or lose. [R07, Fiscal Year 2026 Results and CEO statement]</w:t>
      </w:r>
    </w:p>
    <w:p w:rsidR="6A65EC4E" w:rsidRDefault="6A65EC4E" w14:noSpellErr="1" w14:paraId="56973E01" w14:textId="1F7C114E">
      <w:r w:rsidR="6A65EC4E">
        <w:rPr/>
        <w:t>In the FY2026 fourth-quarter call, management explicitly described seat-plus-consumption monetisation and customer ownership of organisational knowledge. The strategic inference is that partners must help customers operate their own data and workflow assets, rather than rely on being the only people who can administer a product. Microsoft's ability to monetise the platform remains relevant even when a customer's use of human delivery effort falls. [R62, Satya Nadella prepared remarks]</w:t>
      </w:r>
    </w:p>
    <w:p w:rsidR="6A65EC4E" w:rsidRDefault="6A65EC4E" w14:noSpellErr="1" w14:paraId="51EE54EE" w14:textId="2F8E8F45">
      <w:r w:rsidR="6A65EC4E">
        <w:rPr/>
        <w:t>The FY2026 Form 10-K states that Enterprise and Partner Services competes with consulting firms and technology specialists, including small niche businesses. That is direct evidence of platform-provider overlap, not a claim that all partners are targeted for removal. Microsoft's commercial incentive can support both self-service adoption and partner-led implementation whenever either expands customer use of its platform. [R57, Item 1, Competition]</w:t>
      </w:r>
    </w:p>
    <w:p w:rsidR="6A65EC4E" w:rsidRDefault="6A65EC4E" w14:noSpellErr="1" w14:paraId="722C743D" w14:textId="66D297B9">
      <w:r w:rsidR="6A65EC4E">
        <w:rPr/>
        <w:t>The implication for the sceptical owner is specific: remaining a Microsoft partner is not itself a moat. The defensible relationship must include customer context, integration, governance, business-process knowledge or responsibility beyond a function that Microsoft can bundle. Equally, platform scale can reduce the provider's own delivery cost and create an affordable route into services that were previously impractical. [R09; R29; R62]</w:t>
      </w:r>
    </w:p>
    <w:p w:rsidR="6A65EC4E" w:rsidP="6A65EC4E" w:rsidRDefault="6A65EC4E" w14:paraId="5856A48D" w14:textId="1FC1B176" w14:noSpellErr="1">
      <w:pPr>
        <w:pStyle w:val="Heading2"/>
      </w:pPr>
      <w:r w:rsidRPr="3927AF3A" w:rsidR="3794A404">
        <w:rPr>
          <w:color w:val="006D77"/>
        </w:rPr>
        <w:t>7.2 What is available, what was announced, and what remains the partner's job</w:t>
      </w:r>
    </w:p>
    <w:tbl>
      <w:tblPr>
        <w:tblStyle w:val="TableGrid"/>
        <w:tblW w:w="0" w:type="auto"/>
        <w:tblLook w:val="0000" w:firstRow="0" w:lastRow="0" w:firstColumn="0" w:lastColumn="0" w:noHBand="0" w:noVBand="0"/>
      </w:tblPr>
      <w:tblGrid>
        <w:gridCol w:w="2200"/>
        <w:gridCol w:w="2100"/>
        <w:gridCol w:w="2350"/>
        <w:gridCol w:w="2376"/>
      </w:tblGrid>
      <w:tr w:rsidR="6A65EC4E" w:rsidTr="3927AF3A" w14:paraId="7494C7B3">
        <w:trPr>
          <w:tblHeader/>
        </w:trPr>
        <w:tc>
          <w:tcPr>
            <w:tcW w:w="2200" w:type="dxa"/>
            <w:tcMar/>
          </w:tcPr>
          <w:p w:rsidR="6A65EC4E" w:rsidRDefault="6A65EC4E" w14:paraId="7372CD20" w14:textId="0602EBC1" w14:noSpellErr="1">
            <w:r w:rsidRPr="3927AF3A" w:rsidR="3794A404">
              <w:rPr>
                <w:b w:val="1"/>
                <w:bCs w:val="1"/>
              </w:rPr>
              <w:t>Product / mechanism</w:t>
            </w:r>
          </w:p>
        </w:tc>
        <w:tc>
          <w:tcPr>
            <w:tcW w:w="2100" w:type="dxa"/>
            <w:tcMar/>
          </w:tcPr>
          <w:p w:rsidR="6A65EC4E" w:rsidRDefault="6A65EC4E" w14:paraId="679E2FCC" w14:textId="7EE0D285" w14:noSpellErr="1">
            <w:r w:rsidRPr="3927AF3A" w:rsidR="3794A404">
              <w:rPr>
                <w:b w:val="1"/>
                <w:bCs w:val="1"/>
              </w:rPr>
              <w:t>Verified status or date</w:t>
            </w:r>
          </w:p>
        </w:tc>
        <w:tc>
          <w:tcPr>
            <w:tcW w:w="2350" w:type="dxa"/>
            <w:tcMar/>
          </w:tcPr>
          <w:p w:rsidR="6A65EC4E" w:rsidRDefault="6A65EC4E" w14:paraId="7DA6DFEE" w14:textId="77BEB949" w14:noSpellErr="1">
            <w:r w:rsidRPr="3927AF3A" w:rsidR="3794A404">
              <w:rPr>
                <w:b w:val="1"/>
                <w:bCs w:val="1"/>
              </w:rPr>
              <w:t>Traditional work exposed</w:t>
            </w:r>
          </w:p>
        </w:tc>
        <w:tc>
          <w:tcPr>
            <w:tcW w:w="2376" w:type="dxa"/>
            <w:tcMar/>
          </w:tcPr>
          <w:p w:rsidR="6A65EC4E" w:rsidRDefault="6A65EC4E" w14:paraId="350BF680" w14:textId="709CA00D" w14:noSpellErr="1">
            <w:r w:rsidRPr="3927AF3A" w:rsidR="3794A404">
              <w:rPr>
                <w:b w:val="1"/>
                <w:bCs w:val="1"/>
              </w:rPr>
              <w:t>Potential retained service</w:t>
            </w:r>
          </w:p>
        </w:tc>
      </w:tr>
      <w:tr w:rsidR="6A65EC4E" w:rsidTr="3927AF3A" w14:paraId="4B88BB31">
        <w:tc>
          <w:tcPr>
            <w:tcW w:w="2200" w:type="dxa"/>
            <w:tcMar/>
          </w:tcPr>
          <w:p w:rsidR="6A65EC4E" w:rsidRDefault="6A65EC4E" w14:noSpellErr="1" w14:paraId="38570851" w14:textId="07B20082">
            <w:r w:rsidR="6A65EC4E">
              <w:rPr/>
              <w:t>Security Copilot inclusion [R09]</w:t>
            </w:r>
          </w:p>
        </w:tc>
        <w:tc>
          <w:tcPr>
            <w:tcW w:w="2100" w:type="dxa"/>
            <w:tcMar/>
          </w:tcPr>
          <w:p w:rsidR="6A65EC4E" w:rsidRDefault="6A65EC4E" w14:noSpellErr="1" w14:paraId="7A9CBC9A" w14:textId="008FE746">
            <w:r w:rsidR="6A65EC4E">
              <w:rPr/>
              <w:t>Phased rollout began 18 Nov 2025; eligible E5/E7 inclusion documented</w:t>
            </w:r>
          </w:p>
        </w:tc>
        <w:tc>
          <w:tcPr>
            <w:tcW w:w="2350" w:type="dxa"/>
            <w:tcMar/>
          </w:tcPr>
          <w:p w:rsidR="6A65EC4E" w:rsidRDefault="6A65EC4E" w14:noSpellErr="1" w14:paraId="4D9C57CD" w14:textId="796DCE0A">
            <w:r w:rsidR="6A65EC4E">
              <w:rPr/>
              <w:t>Separate platform provisioning and access resale</w:t>
            </w:r>
          </w:p>
        </w:tc>
        <w:tc>
          <w:tcPr>
            <w:tcW w:w="2376" w:type="dxa"/>
            <w:tcMar/>
          </w:tcPr>
          <w:p w:rsidR="6A65EC4E" w:rsidRDefault="6A65EC4E" w14:noSpellErr="1" w14:paraId="5A8FDB30" w14:textId="724BB4CE">
            <w:r w:rsidR="6A65EC4E">
              <w:rPr/>
              <w:t>Agent setup, controls, response and capacity stewardship</w:t>
            </w:r>
          </w:p>
        </w:tc>
      </w:tr>
      <w:tr w:rsidR="6A65EC4E" w:rsidTr="3927AF3A" w14:paraId="69972376">
        <w:tc>
          <w:tcPr>
            <w:tcW w:w="2200" w:type="dxa"/>
            <w:tcMar/>
          </w:tcPr>
          <w:p w:rsidR="6A65EC4E" w:rsidRDefault="6A65EC4E" w14:noSpellErr="1" w14:paraId="2758204A" w14:textId="09611543">
            <w:r w:rsidR="6A65EC4E">
              <w:rPr/>
              <w:t>Agent 365 [R29]</w:t>
            </w:r>
          </w:p>
        </w:tc>
        <w:tc>
          <w:tcPr>
            <w:tcW w:w="2100" w:type="dxa"/>
            <w:tcMar/>
          </w:tcPr>
          <w:p w:rsidR="6A65EC4E" w:rsidRDefault="6A65EC4E" w14:noSpellErr="1" w14:paraId="2195A25C" w14:textId="023EFC07">
            <w:r w:rsidR="6A65EC4E">
              <w:rPr/>
              <w:t>GA 1 May 2026; USD15/user/month standalone or E7 inclusion</w:t>
            </w:r>
          </w:p>
        </w:tc>
        <w:tc>
          <w:tcPr>
            <w:tcW w:w="2350" w:type="dxa"/>
            <w:tcMar/>
          </w:tcPr>
          <w:p w:rsidR="6A65EC4E" w:rsidRDefault="6A65EC4E" w14:noSpellErr="1" w14:paraId="7C90E773" w14:textId="7B1CE2CB">
            <w:r w:rsidR="6A65EC4E">
              <w:rPr/>
              <w:t>Bespoke agent inventory and routine governance administration</w:t>
            </w:r>
          </w:p>
        </w:tc>
        <w:tc>
          <w:tcPr>
            <w:tcW w:w="2376" w:type="dxa"/>
            <w:tcMar/>
          </w:tcPr>
          <w:p w:rsidR="6A65EC4E" w:rsidRDefault="6A65EC4E" w14:noSpellErr="1" w14:paraId="4943919E" w14:textId="73FAC98F">
            <w:r w:rsidR="6A65EC4E">
              <w:rPr/>
              <w:t>Cross-platform governance and continuous operations</w:t>
            </w:r>
          </w:p>
        </w:tc>
      </w:tr>
      <w:tr w:rsidR="6A65EC4E" w:rsidTr="3927AF3A" w14:paraId="45795653">
        <w:tc>
          <w:tcPr>
            <w:tcW w:w="2200" w:type="dxa"/>
            <w:tcMar/>
          </w:tcPr>
          <w:p w:rsidR="6A65EC4E" w:rsidRDefault="6A65EC4E" w14:noSpellErr="1" w14:paraId="3E56009E" w14:textId="0B102A04">
            <w:r w:rsidR="6A65EC4E">
              <w:rPr/>
              <w:t>Copilot Studio computer use [R30; R63]</w:t>
            </w:r>
          </w:p>
        </w:tc>
        <w:tc>
          <w:tcPr>
            <w:tcW w:w="2100" w:type="dxa"/>
            <w:tcMar/>
          </w:tcPr>
          <w:p w:rsidR="6A65EC4E" w:rsidRDefault="6A65EC4E" w14:noSpellErr="1" w14:paraId="3510F288" w14:textId="03EE10C8">
            <w:r w:rsidR="6A65EC4E">
              <w:rPr/>
              <w:t>Preview at Ignite 2025; GA in May 2026 release record</w:t>
            </w:r>
          </w:p>
        </w:tc>
        <w:tc>
          <w:tcPr>
            <w:tcW w:w="2350" w:type="dxa"/>
            <w:tcMar/>
          </w:tcPr>
          <w:p w:rsidR="6A65EC4E" w:rsidRDefault="6A65EC4E" w14:noSpellErr="1" w14:paraId="45B93125" w14:textId="7CCBF78C">
            <w:r w:rsidR="6A65EC4E">
              <w:rPr/>
              <w:t>Repetitive browser and desktop work</w:t>
            </w:r>
          </w:p>
        </w:tc>
        <w:tc>
          <w:tcPr>
            <w:tcW w:w="2376" w:type="dxa"/>
            <w:tcMar/>
          </w:tcPr>
          <w:p w:rsidR="6A65EC4E" w:rsidRDefault="6A65EC4E" w14:noSpellErr="1" w14:paraId="1EFB9414" w14:textId="75A9DE50">
            <w:r w:rsidR="6A65EC4E">
              <w:rPr/>
              <w:t>Workflow engineering, exception paths and evaluation</w:t>
            </w:r>
          </w:p>
        </w:tc>
      </w:tr>
      <w:tr w:rsidR="6A65EC4E" w:rsidTr="3927AF3A" w14:paraId="58F90266">
        <w:tc>
          <w:tcPr>
            <w:tcW w:w="2200" w:type="dxa"/>
            <w:tcMar/>
          </w:tcPr>
          <w:p w:rsidR="6A65EC4E" w:rsidRDefault="6A65EC4E" w14:noSpellErr="1" w14:paraId="7CDFEA3B" w14:textId="0CBF3EC5">
            <w:r w:rsidR="6A65EC4E">
              <w:rPr/>
              <w:t>Copilot Studio agent identity [R63]</w:t>
            </w:r>
          </w:p>
        </w:tc>
        <w:tc>
          <w:tcPr>
            <w:tcW w:w="2100" w:type="dxa"/>
            <w:tcMar/>
          </w:tcPr>
          <w:p w:rsidR="6A65EC4E" w:rsidRDefault="6A65EC4E" w14:noSpellErr="1" w14:paraId="5263AF32" w14:textId="059D2589">
            <w:r w:rsidR="6A65EC4E">
              <w:rPr/>
              <w:t>Automatic Entra Agent ID for new agents from July 2026</w:t>
            </w:r>
          </w:p>
        </w:tc>
        <w:tc>
          <w:tcPr>
            <w:tcW w:w="2350" w:type="dxa"/>
            <w:tcMar/>
          </w:tcPr>
          <w:p w:rsidR="6A65EC4E" w:rsidRDefault="6A65EC4E" w14:noSpellErr="1" w14:paraId="4A2E6F1E" w14:textId="7E7B0C4D">
            <w:r w:rsidR="6A65EC4E">
              <w:rPr/>
              <w:t>Manual identity setup and inventory effort</w:t>
            </w:r>
          </w:p>
        </w:tc>
        <w:tc>
          <w:tcPr>
            <w:tcW w:w="2376" w:type="dxa"/>
            <w:tcMar/>
          </w:tcPr>
          <w:p w:rsidR="6A65EC4E" w:rsidRDefault="6A65EC4E" w14:noSpellErr="1" w14:paraId="71F8F71D" w14:textId="7758F311">
            <w:r w:rsidR="6A65EC4E">
              <w:rPr/>
              <w:t>Least-privilege design and lifecycle assurance</w:t>
            </w:r>
          </w:p>
        </w:tc>
      </w:tr>
      <w:tr w:rsidR="6A65EC4E" w:rsidTr="3927AF3A" w14:paraId="79F19D6A">
        <w:tc>
          <w:tcPr>
            <w:tcW w:w="2200" w:type="dxa"/>
            <w:tcMar/>
          </w:tcPr>
          <w:p w:rsidR="6A65EC4E" w:rsidRDefault="6A65EC4E" w14:noSpellErr="1" w14:paraId="4D7A299F" w14:textId="0E6E5386">
            <w:r w:rsidR="6A65EC4E">
              <w:rPr/>
              <w:t>Microsoft IQ / Fabric / Foundry [R61]</w:t>
            </w:r>
          </w:p>
        </w:tc>
        <w:tc>
          <w:tcPr>
            <w:tcW w:w="2100" w:type="dxa"/>
            <w:tcMar/>
          </w:tcPr>
          <w:p w:rsidR="6A65EC4E" w:rsidRDefault="6A65EC4E" w14:noSpellErr="1" w14:paraId="59D0593B" w14:textId="074C3A4A">
            <w:r w:rsidR="6A65EC4E">
              <w:rPr/>
              <w:t>Build 2026 announces unified context and agent platform capabilities</w:t>
            </w:r>
          </w:p>
        </w:tc>
        <w:tc>
          <w:tcPr>
            <w:tcW w:w="2350" w:type="dxa"/>
            <w:tcMar/>
          </w:tcPr>
          <w:p w:rsidR="6A65EC4E" w:rsidRDefault="6A65EC4E" w14:noSpellErr="1" w14:paraId="1D3B2988" w14:textId="002A210E">
            <w:r w:rsidR="6A65EC4E">
              <w:rPr/>
              <w:t>Routine data connection and infrastructure assembly</w:t>
            </w:r>
          </w:p>
        </w:tc>
        <w:tc>
          <w:tcPr>
            <w:tcW w:w="2376" w:type="dxa"/>
            <w:tcMar/>
          </w:tcPr>
          <w:p w:rsidR="6A65EC4E" w:rsidRDefault="6A65EC4E" w14:noSpellErr="1" w14:paraId="7F37D2D5" w14:textId="790807D2">
            <w:r w:rsidR="6A65EC4E">
              <w:rPr/>
              <w:t>Semantic quality, business context and integration</w:t>
            </w:r>
          </w:p>
        </w:tc>
      </w:tr>
      <w:tr w:rsidR="6A65EC4E" w:rsidTr="3927AF3A" w14:paraId="248630A6">
        <w:tc>
          <w:tcPr>
            <w:tcW w:w="2200" w:type="dxa"/>
            <w:tcMar/>
          </w:tcPr>
          <w:p w:rsidR="6A65EC4E" w:rsidRDefault="6A65EC4E" w14:noSpellErr="1" w14:paraId="63CA45DD" w14:textId="101D6847">
            <w:r w:rsidR="6A65EC4E">
              <w:rPr/>
              <w:t>Copilot Studio deployment roadmap [R70]</w:t>
            </w:r>
          </w:p>
        </w:tc>
        <w:tc>
          <w:tcPr>
            <w:tcW w:w="2100" w:type="dxa"/>
            <w:tcMar/>
          </w:tcPr>
          <w:p w:rsidR="6A65EC4E" w:rsidRDefault="6A65EC4E" w14:noSpellErr="1" w14:paraId="12736015" w14:textId="08FB4F0B">
            <w:r w:rsidR="6A65EC4E">
              <w:rPr/>
              <w:t>Inline deployment public preview 14 Apr 2026; no GA date in reviewed plan</w:t>
            </w:r>
          </w:p>
        </w:tc>
        <w:tc>
          <w:tcPr>
            <w:tcW w:w="2350" w:type="dxa"/>
            <w:tcMar/>
          </w:tcPr>
          <w:p w:rsidR="6A65EC4E" w:rsidRDefault="6A65EC4E" w14:noSpellErr="1" w14:paraId="71C89E98" w14:textId="01D935CF">
            <w:r w:rsidR="6A65EC4E">
              <w:rPr/>
              <w:t>Specialist deployment-navigation effort</w:t>
            </w:r>
          </w:p>
        </w:tc>
        <w:tc>
          <w:tcPr>
            <w:tcW w:w="2376" w:type="dxa"/>
            <w:tcMar/>
          </w:tcPr>
          <w:p w:rsidR="6A65EC4E" w:rsidRDefault="6A65EC4E" w14:noSpellErr="1" w14:paraId="7F49F4D0" w14:textId="7AB71C93">
            <w:r w:rsidR="6A65EC4E">
              <w:rPr/>
              <w:t>Governed application lifecycle and customer acceptance</w:t>
            </w:r>
          </w:p>
        </w:tc>
      </w:tr>
    </w:tbl>
    <w:p w:rsidR="6A65EC4E" w:rsidRDefault="6A65EC4E" w14:noSpellErr="1" w14:paraId="543FE8CC" w14:textId="6818E2ED">
      <w:r w:rsidR="6A65EC4E">
        <w:rPr/>
        <w:t>Security Copilot inclusion is bounded: 400 monthly SCUs per 1,000 paid E5/E7 licences, capped at 10,000; agents still require deployment. The source also excludes additional services and partner-agent licensing from the blanket inclusion claim. The report therefore does not equate included platform capacity with a free managed security service, nor extend an E5/E7 entitlement to every SMB subscription. [R09, Licensing and capacity; Features and capabilities; Product experience]</w:t>
      </w:r>
    </w:p>
    <w:p w:rsidR="6A65EC4E" w:rsidRDefault="6A65EC4E" w14:noSpellErr="1" w14:paraId="195C6262" w14:textId="49CED26E">
      <w:r w:rsidR="6A65EC4E">
        <w:rPr/>
        <w:t>Agent 365's standalone charge is per covered individual, not a per-agent runtime fee. Its May announcement mixes generally available functions with public previews, including team-workflow and cross-cloud extensions. The commercial lesson is to verify the exact feature, geography, licence and rollout state before promising an autonomous service. A roadmap date or a platform launch is not evidence that every dependent capability is production-ready. [R29]</w:t>
      </w:r>
    </w:p>
    <w:p w:rsidR="6A65EC4E" w:rsidRDefault="6A65EC4E" w14:noSpellErr="1" w14:paraId="670587F0" w14:textId="28EE25A9">
      <w:r w:rsidR="6A65EC4E">
        <w:rPr/>
        <w:t>Build and Ignite indicate convergence across productivity, business applications, data and security. That creates a larger integration surface for partners, while removing some specialist configuration friction. The appropriate strategic response is to own a customer's process and data-quality problem, not duplicate a platform control plane simply because it once generated implementation hours. [R30; R61]</w:t>
      </w:r>
    </w:p>
    <w:p w:rsidR="6A65EC4E" w:rsidP="6A65EC4E" w:rsidRDefault="6A65EC4E" w14:paraId="77A835C5" w14:textId="236CA53F" w14:noSpellErr="1">
      <w:pPr>
        <w:pStyle w:val="Heading2"/>
      </w:pPr>
      <w:r w:rsidRPr="3927AF3A" w:rsidR="3794A404">
        <w:rPr>
          <w:color w:val="006D77"/>
        </w:rPr>
        <w:t>7.3 Partner economics and CSP: administered margin is not a moat</w:t>
      </w:r>
    </w:p>
    <w:p w:rsidR="6A65EC4E" w:rsidRDefault="6A65EC4E" w14:noSpellErr="1" w14:paraId="1E185209" w14:textId="68E94259">
      <w:r w:rsidR="6A65EC4E">
        <w:rPr/>
        <w:t>Within the Microsoft AI Cloud Partner Program, capability recognition and CSP transaction economics should be assessed separately. July 2026 Partner Center announcements document a margin change for the nonprofit Copilot offer, but do not publish a universal rate. This proves offer-level margin is supplier-administered, not that all CSP margins are declining. The same announcements expand SMB solution-designation eligibility. Treat programme benefits as contingent supplier economics, not proprietary intellectual property. [R10]</w:t>
      </w:r>
    </w:p>
    <w:p w:rsidR="6A65EC4E" w:rsidRDefault="6A65EC4E" w14:noSpellErr="1" w14:paraId="52F03A02" w14:textId="3F1E91D9">
      <w:r w:rsidR="6A65EC4E">
        <w:rPr/>
        <w:t>Microsoft launched an additional Copilot Cowork activation incentive on 1 September 2026. It rewards adoption alongside existing CSP incentives; it does not establish that resale incentives have vanished. The strategic inference is increased value placed on usage and customer outcomes, with partners needing stronger adoption and cost-management capabilities as well as transaction execution. [R11, New incentives for Microsoft Copilot Cowork adoption]</w:t>
      </w:r>
    </w:p>
    <w:p w:rsidR="6A65EC4E" w:rsidRDefault="6A65EC4E" w14:noSpellErr="1" w14:paraId="7D52D6A2" w14:textId="60B2CAE1">
      <w:r w:rsidR="6A65EC4E">
        <w:rPr/>
        <w:t>A 16 September announcement schedules default usage-based billing for new CSP Copilot Business licences from 2 November 2026. The default USD10 per-user monthly limit is an adjustable pay-as-you-go limit, not a fixed USD10 charge. This is a future effective date relative to the report cut-off. It makes consumption controls and contract scope increasingly relevant to a fixed-fee MSP, without implying that every existing customer is already on that configuration. [R11, Usage-based billing announcement]</w:t>
      </w:r>
    </w:p>
    <w:p w:rsidR="6A65EC4E" w:rsidRDefault="6A65EC4E" w14:noSpellErr="1" w14:paraId="4D536BCA" w14:textId="673B0AD7">
      <w:r w:rsidR="6A65EC4E">
        <w:rPr/>
        <w:t>The Microsoft-commissioned IDC study reports USD8.45 services-partner revenue per USD1 of Microsoft revenue. This is a revenue-attribution ratio from a 2024 partner survey, not profit, return on investment or a guarantee for a conventional MSP. It is useful as Microsoft's case for partner opportunity, but less persuasive than observed client-level economics when deciding which practice to build. [R48]</w:t>
      </w:r>
    </w:p>
    <w:p w:rsidR="6A65EC4E" w:rsidRDefault="6A65EC4E" w14:noSpellErr="1" w14:paraId="1147F4B1" w14:textId="75B6688A">
      <w:r w:rsidR="6A65EC4E">
        <w:rPr/>
        <w:t>The clearest balanced evidence is Agent 365's explicit partner service catalogue: governance, integration and ongoing managed operations remain part of the offer. Microsoft is enabling customers to self-manage more routine activity while still inviting partners to operate the larger system. The survival question is whether an MSP occupies that higher-responsibility role or charges mainly for work the customer already licences. [R29]</w:t>
      </w:r>
    </w:p>
    <w:p w:rsidR="6A65EC4E" w:rsidP="6A65EC4E" w:rsidRDefault="6A65EC4E" w14:paraId="4AC726F1" w14:textId="79E24520" w14:noSpellErr="1">
      <w:pPr>
        <w:pStyle w:val="Heading2"/>
      </w:pPr>
      <w:r w:rsidRPr="3927AF3A" w:rsidR="3794A404">
        <w:rPr>
          <w:color w:val="006D77"/>
        </w:rPr>
        <w:t>7.4 Official roadmap: convergence without assuming universal availability</w:t>
      </w:r>
    </w:p>
    <w:p w:rsidR="6A65EC4E" w:rsidRDefault="6A65EC4E" w14:noSpellErr="1" w14:paraId="669C07DA" w14:textId="1D57DBF1">
      <w:r w:rsidR="6A65EC4E">
        <w:rPr/>
        <w:t>Microsoft's August 2026 roadmap announcement brings Dynamics 365, Power Platform and Dataverse disclosures into the AI at Work roadmap from September. The transition is scheduled to complete by 15 November 2026. This is evidence of coordinated communication across business applications, productivity and AI; the announcement explicitly says it does not change product release and deployment schedules. [R69]</w:t>
      </w:r>
    </w:p>
    <w:p w:rsidR="6A65EC4E" w:rsidRDefault="6A65EC4E" w14:noSpellErr="1" w14:paraId="3571FC61" w14:textId="3CE34079">
      <w:r w:rsidR="6A65EC4E">
        <w:rPr/>
        <w:t>This distinction matters commercially. An MSP should use official roadmap status to plan skills, contract dependencies and adoption, while treating development, rollout and launch as different states. The reviewed Copilot Studio inline-deployment plan, for example, identifies public preview but no general-availability date. Do not base a customer service-level obligation on a planned capability without a working fallback. [R69; R70]</w:t>
      </w:r>
    </w:p>
    <w:p w:rsidR="6A65EC4E" w:rsidRDefault="6A65EC4E" w14:noSpellErr="1" w14:paraId="4ACBFEB8" w14:textId="6F2B73F7">
      <w:r w:rsidR="6A65EC4E">
        <w:rPr/>
        <w:t>The overall assessment is dual-sided. Microsoft's strategy reduces the distinct value of manual administration and proprietary wrappers around native functionality. It increases the potential value of customer-specific data stewardship, business-process redesign, identity and security integration, and sustained AI governance. That is a change in what partners should sell and own, not evidence that the partner channel itself becomes unnecessary. [R09; R29; R57; R61; R62]</w:t>
      </w:r>
    </w:p>
    <w:p w:rsidR="6A65EC4E" w:rsidP="6A65EC4E" w:rsidRDefault="6A65EC4E" w14:paraId="49498BED" w14:textId="37E7111A" w14:noSpellErr="1">
      <w:pPr>
        <w:pStyle w:val="Heading1"/>
      </w:pPr>
      <w:r w:rsidRPr="3927AF3A" w:rsidR="3794A404">
        <w:rPr>
          <w:color w:val="17365D" w:themeColor="text2" w:themeTint="FF" w:themeShade="BF"/>
        </w:rPr>
        <w:t>8. AI Impact Analysis</w:t>
      </w:r>
    </w:p>
    <w:p w:rsidR="6A65EC4E" w:rsidP="6A65EC4E" w:rsidRDefault="6A65EC4E" w14:paraId="48C83C9E" w14:textId="6AB127AC" w14:noSpellErr="1">
      <w:pPr>
        <w:pStyle w:val="Heading2"/>
      </w:pPr>
      <w:r w:rsidRPr="3927AF3A" w:rsidR="3794A404">
        <w:rPr>
          <w:color w:val="006D77"/>
        </w:rPr>
        <w:t>8.1 Productivity evidence supports redesign, not automatic job deletion</w:t>
      </w:r>
    </w:p>
    <w:p w:rsidR="6A65EC4E" w:rsidRDefault="6A65EC4E" w14:noSpellErr="1" w14:paraId="40D3BC62" w14:textId="1CAC22EC">
      <w:r w:rsidR="6A65EC4E">
        <w:rPr/>
        <w:t>The peer-reviewed Generative AI at Work study reports 15% more issues resolved per hour across 5,172 support agents. Effects vary by experience and task. The system assisted people; it did not replace an entire service organisation. The published article's abstract, Table I and Section V.A are used here. The earlier NBER version reports 5,179 agents and 14%, which is why those figures must not be blended. [R15; R14]</w:t>
      </w:r>
    </w:p>
    <w:p w:rsidR="6A65EC4E" w:rsidRDefault="6A65EC4E" w14:noSpellErr="1" w14:paraId="7807301F" w14:textId="5CD2C705">
      <w:r w:rsidR="6A65EC4E">
        <w:rPr/>
        <w:t>A 15% productivity increase implies approximately 13.0% fewer hours for a fixed amount of otherwise identical work, calculated as 1 minus 1/1.15. It does not imply 15% less total payroll, because management, coverage, specialist work and other overhead remain. Further, higher service quality or more demand may be a better use of capacity than immediate headcount reduction. The model's savings are therefore separately specified cash-equivalent assumptions. [R15; M1]</w:t>
      </w:r>
    </w:p>
    <w:p w:rsidR="6A65EC4E" w:rsidRDefault="6A65EC4E" w14:noSpellErr="1" w14:paraId="5E9447D3" w14:textId="190F0C23">
      <w:r w:rsidR="6A65EC4E">
        <w:rPr/>
        <w:t>METR's early-2025 experiment found a slowdown for its experienced-developer sample. Its February 2026 update reports uncertain newer estimates and selection problems. Neither result supports a universal claim about all current tools or all knowledge workers. The appropriate lesson is to measure the target workflow rather than equate perceived speed with realised economic gain. [R16; R17]</w:t>
      </w:r>
    </w:p>
    <w:p w:rsidR="6A65EC4E" w:rsidRDefault="6A65EC4E" w14:noSpellErr="1" w14:paraId="17A64AEC" w14:textId="7FBAE502">
      <w:r w:rsidR="6A65EC4E">
        <w:rPr/>
        <w:t>McKinsey's 2026 survey reports 80% individual productivity improvement attribution but only 37% attribution of any enterprise EBIT impact. This is self-reported, not audited financial causation. Deloitte's older survey found just 11% with agents in production, while Gartner predicts substantial project cancellations. Together these sources support a deployment and value-capture gap, not a proven percentage of jobs or MSP revenues that AI will remove. [R43; R50; R31]</w:t>
      </w:r>
    </w:p>
    <w:p w:rsidR="6A65EC4E" w:rsidP="6A65EC4E" w:rsidRDefault="6A65EC4E" w14:paraId="792FACC7" w14:textId="7D1E7A43" w14:noSpellErr="1">
      <w:pPr>
        <w:pStyle w:val="Heading2"/>
      </w:pPr>
      <w:r w:rsidRPr="3927AF3A" w:rsidR="3794A404">
        <w:rPr>
          <w:color w:val="006D77"/>
        </w:rPr>
        <w:t>8.2 Where substitution is plausible, and where judgement remains</w:t>
      </w:r>
    </w:p>
    <w:p w:rsidR="6A65EC4E" w:rsidRDefault="6A65EC4E" w14:noSpellErr="1" w14:paraId="793D8613" w14:textId="49BABE7F">
      <w:r w:rsidR="6A65EC4E">
        <w:rPr/>
        <w:t>The following is an analytical task-exposure assessment, not a measured percentage of jobs replaced or a forecast of production adoption. High exposure means a bounded, repeatable task is a plausible automation candidate after prerequisites are met. It does not imply that the entire role, contract, customer relationship or operating responsibility disappears. Capability anchors include ServiceNow, Copilot Studio and AWS native operations. [R13; R63; R65]</w:t>
      </w:r>
    </w:p>
    <w:tbl>
      <w:tblPr>
        <w:tblStyle w:val="TableGrid"/>
        <w:tblW w:w="0" w:type="auto"/>
        <w:tblLook w:val="0000" w:firstRow="0" w:lastRow="0" w:firstColumn="0" w:lastColumn="0" w:noHBand="0" w:noVBand="0"/>
      </w:tblPr>
      <w:tblGrid>
        <w:gridCol w:w="2200"/>
        <w:gridCol w:w="2100"/>
        <w:gridCol w:w="2350"/>
        <w:gridCol w:w="2376"/>
      </w:tblGrid>
      <w:tr w:rsidR="6A65EC4E" w:rsidTr="3927AF3A" w14:paraId="3A56260C">
        <w:trPr>
          <w:tblHeader/>
        </w:trPr>
        <w:tc>
          <w:tcPr>
            <w:tcW w:w="2200" w:type="dxa"/>
            <w:tcMar/>
          </w:tcPr>
          <w:p w:rsidR="6A65EC4E" w:rsidRDefault="6A65EC4E" w14:noSpellErr="1" w14:paraId="269C6C54" w14:textId="54F7C36E">
            <w:r w:rsidR="6A65EC4E">
              <w:rPr/>
              <w:t>Activity</w:t>
            </w:r>
          </w:p>
        </w:tc>
        <w:tc>
          <w:tcPr>
            <w:tcW w:w="2100" w:type="dxa"/>
            <w:tcMar/>
          </w:tcPr>
          <w:p w:rsidR="6A65EC4E" w:rsidRDefault="6A65EC4E" w14:paraId="1C8CBDB6" w14:textId="4DD5AA32" w14:noSpellErr="1">
            <w:r w:rsidRPr="3927AF3A" w:rsidR="3794A404">
              <w:rPr>
                <w:b w:val="1"/>
                <w:bCs w:val="1"/>
              </w:rPr>
              <w:t>Substitution potential</w:t>
            </w:r>
          </w:p>
        </w:tc>
        <w:tc>
          <w:tcPr>
            <w:tcW w:w="2350" w:type="dxa"/>
            <w:tcMar/>
          </w:tcPr>
          <w:p w:rsidR="6A65EC4E" w:rsidRDefault="6A65EC4E" w14:paraId="394F53E0" w14:textId="46B390F6" w14:noSpellErr="1">
            <w:r w:rsidRPr="3927AF3A" w:rsidR="3794A404">
              <w:rPr>
                <w:b w:val="1"/>
                <w:bCs w:val="1"/>
              </w:rPr>
              <w:t>Limits and controls</w:t>
            </w:r>
          </w:p>
        </w:tc>
        <w:tc>
          <w:tcPr>
            <w:tcW w:w="2376" w:type="dxa"/>
            <w:tcMar/>
          </w:tcPr>
          <w:p w:rsidR="6A65EC4E" w:rsidRDefault="6A65EC4E" w14:paraId="7F400301" w14:textId="3F9177BA" w14:noSpellErr="1">
            <w:r w:rsidRPr="3927AF3A" w:rsidR="3794A404">
              <w:rPr>
                <w:b w:val="1"/>
                <w:bCs w:val="1"/>
              </w:rPr>
              <w:t>Economic consequence to test</w:t>
            </w:r>
          </w:p>
        </w:tc>
      </w:tr>
      <w:tr w:rsidR="6A65EC4E" w:rsidTr="3927AF3A" w14:paraId="54A69063">
        <w:tc>
          <w:tcPr>
            <w:tcW w:w="2200" w:type="dxa"/>
            <w:tcMar/>
          </w:tcPr>
          <w:p w:rsidR="6A65EC4E" w:rsidRDefault="6A65EC4E" w14:noSpellErr="1" w14:paraId="6996EEE1" w14:textId="56A6D82F">
            <w:r w:rsidR="6A65EC4E">
              <w:rPr/>
              <w:t>Level 1 support</w:t>
            </w:r>
          </w:p>
        </w:tc>
        <w:tc>
          <w:tcPr>
            <w:tcW w:w="2100" w:type="dxa"/>
            <w:tcMar/>
          </w:tcPr>
          <w:p w:rsidR="6A65EC4E" w:rsidRDefault="6A65EC4E" w14:noSpellErr="1" w14:paraId="4ADE7433" w14:textId="4F84BEF3">
            <w:r w:rsidR="6A65EC4E">
              <w:rPr/>
              <w:t>High for known, repetitive requests</w:t>
            </w:r>
          </w:p>
        </w:tc>
        <w:tc>
          <w:tcPr>
            <w:tcW w:w="2350" w:type="dxa"/>
            <w:tcMar/>
          </w:tcPr>
          <w:p w:rsidR="6A65EC4E" w:rsidRDefault="6A65EC4E" w14:noSpellErr="1" w14:paraId="4807AC4A" w14:textId="4862A5B7">
            <w:r w:rsidR="6A65EC4E">
              <w:rPr/>
              <w:t>Identity verification, current knowledge, fallback and user context</w:t>
            </w:r>
          </w:p>
        </w:tc>
        <w:tc>
          <w:tcPr>
            <w:tcW w:w="2376" w:type="dxa"/>
            <w:tcMar/>
          </w:tcPr>
          <w:p w:rsidR="6A65EC4E" w:rsidRDefault="6A65EC4E" w14:noSpellErr="1" w14:paraId="5B12F72A" w14:textId="41408C7B">
            <w:r w:rsidR="6A65EC4E">
              <w:rPr/>
              <w:t>Less handling time; potential renewal-price pressure</w:t>
            </w:r>
          </w:p>
        </w:tc>
      </w:tr>
      <w:tr w:rsidR="6A65EC4E" w:rsidTr="3927AF3A" w14:paraId="20842E79">
        <w:tc>
          <w:tcPr>
            <w:tcW w:w="2200" w:type="dxa"/>
            <w:tcMar/>
          </w:tcPr>
          <w:p w:rsidR="6A65EC4E" w:rsidRDefault="6A65EC4E" w14:noSpellErr="1" w14:paraId="7AEF3557" w14:textId="5855ECF0">
            <w:r w:rsidR="6A65EC4E">
              <w:rPr/>
              <w:t>Level 2 support</w:t>
            </w:r>
          </w:p>
        </w:tc>
        <w:tc>
          <w:tcPr>
            <w:tcW w:w="2100" w:type="dxa"/>
            <w:tcMar/>
          </w:tcPr>
          <w:p w:rsidR="6A65EC4E" w:rsidRDefault="6A65EC4E" w14:noSpellErr="1" w14:paraId="6CC9FEE9" w14:textId="5133D3B4">
            <w:r w:rsidR="6A65EC4E">
              <w:rPr/>
              <w:t>Medium for reproducible diagnosis and fixes</w:t>
            </w:r>
          </w:p>
        </w:tc>
        <w:tc>
          <w:tcPr>
            <w:tcW w:w="2350" w:type="dxa"/>
            <w:tcMar/>
          </w:tcPr>
          <w:p w:rsidR="6A65EC4E" w:rsidRDefault="6A65EC4E" w14:noSpellErr="1" w14:paraId="36FC11BC" w14:textId="4A11BA78">
            <w:r w:rsidR="6A65EC4E">
              <w:rPr/>
              <w:t>Legacy exceptions, cross-system causality and rollback</w:t>
            </w:r>
          </w:p>
        </w:tc>
        <w:tc>
          <w:tcPr>
            <w:tcW w:w="2376" w:type="dxa"/>
            <w:tcMar/>
          </w:tcPr>
          <w:p w:rsidR="6A65EC4E" w:rsidRDefault="6A65EC4E" w14:noSpellErr="1" w14:paraId="64798B26" w14:textId="42EFA13C">
            <w:r w:rsidR="6A65EC4E">
              <w:rPr/>
              <w:t>More cases per engineer; complex work remains</w:t>
            </w:r>
          </w:p>
        </w:tc>
      </w:tr>
      <w:tr w:rsidR="6A65EC4E" w:rsidTr="3927AF3A" w14:paraId="1E6D95ED">
        <w:tc>
          <w:tcPr>
            <w:tcW w:w="2200" w:type="dxa"/>
            <w:tcMar/>
          </w:tcPr>
          <w:p w:rsidR="6A65EC4E" w:rsidRDefault="6A65EC4E" w14:noSpellErr="1" w14:paraId="4FD9CA66" w14:textId="5A0501B1">
            <w:r w:rsidR="6A65EC4E">
              <w:rPr/>
              <w:t>Monitoring / AIOps</w:t>
            </w:r>
          </w:p>
        </w:tc>
        <w:tc>
          <w:tcPr>
            <w:tcW w:w="2100" w:type="dxa"/>
            <w:tcMar/>
          </w:tcPr>
          <w:p w:rsidR="6A65EC4E" w:rsidRDefault="6A65EC4E" w14:noSpellErr="1" w14:paraId="152B1EF4" w14:textId="52E2E875">
            <w:r w:rsidR="6A65EC4E">
              <w:rPr/>
              <w:t>High for collection, correlation and routine remediation</w:t>
            </w:r>
          </w:p>
        </w:tc>
        <w:tc>
          <w:tcPr>
            <w:tcW w:w="2350" w:type="dxa"/>
            <w:tcMar/>
          </w:tcPr>
          <w:p w:rsidR="6A65EC4E" w:rsidRDefault="6A65EC4E" w14:noSpellErr="1" w14:paraId="124BEBC0" w14:textId="4BC0CF39">
            <w:r w:rsidR="6A65EC4E">
              <w:rPr/>
              <w:t>Observability gaps, noisy telemetry and change risk</w:t>
            </w:r>
          </w:p>
        </w:tc>
        <w:tc>
          <w:tcPr>
            <w:tcW w:w="2376" w:type="dxa"/>
            <w:tcMar/>
          </w:tcPr>
          <w:p w:rsidR="6A65EC4E" w:rsidRDefault="6A65EC4E" w14:noSpellErr="1" w14:paraId="69AD2ACF" w14:textId="449EB5FD">
            <w:r w:rsidR="6A65EC4E">
              <w:rPr/>
              <w:t>Basic monitoring loses distinction; assurance retains value</w:t>
            </w:r>
          </w:p>
        </w:tc>
      </w:tr>
      <w:tr w:rsidR="6A65EC4E" w:rsidTr="3927AF3A" w14:paraId="1A867C90">
        <w:tc>
          <w:tcPr>
            <w:tcW w:w="2200" w:type="dxa"/>
            <w:tcMar/>
          </w:tcPr>
          <w:p w:rsidR="6A65EC4E" w:rsidRDefault="6A65EC4E" w14:noSpellErr="1" w14:paraId="5DF1D54B" w14:textId="5BB41672">
            <w:r w:rsidR="6A65EC4E">
              <w:rPr/>
              <w:t>Triage</w:t>
            </w:r>
          </w:p>
        </w:tc>
        <w:tc>
          <w:tcPr>
            <w:tcW w:w="2100" w:type="dxa"/>
            <w:tcMar/>
          </w:tcPr>
          <w:p w:rsidR="6A65EC4E" w:rsidRDefault="6A65EC4E" w14:noSpellErr="1" w14:paraId="5F3B635F" w14:textId="5491FD36">
            <w:r w:rsidR="6A65EC4E">
              <w:rPr/>
              <w:t>High for classification and enrichment</w:t>
            </w:r>
          </w:p>
        </w:tc>
        <w:tc>
          <w:tcPr>
            <w:tcW w:w="2350" w:type="dxa"/>
            <w:tcMar/>
          </w:tcPr>
          <w:p w:rsidR="6A65EC4E" w:rsidRDefault="6A65EC4E" w14:noSpellErr="1" w14:paraId="313945C5" w14:textId="4D6FE3FA">
            <w:r w:rsidR="6A65EC4E">
              <w:rPr/>
              <w:t>False prioritisation, incomplete context and escalation ownership</w:t>
            </w:r>
          </w:p>
        </w:tc>
        <w:tc>
          <w:tcPr>
            <w:tcW w:w="2376" w:type="dxa"/>
            <w:tcMar/>
          </w:tcPr>
          <w:p w:rsidR="6A65EC4E" w:rsidRDefault="6A65EC4E" w14:noSpellErr="1" w14:paraId="167538F5" w14:textId="464DCABE">
            <w:r w:rsidR="6A65EC4E">
              <w:rPr/>
              <w:t>Lower queue effort; quality must be measured</w:t>
            </w:r>
          </w:p>
        </w:tc>
      </w:tr>
      <w:tr w:rsidR="6A65EC4E" w:rsidTr="3927AF3A" w14:paraId="4A642FA4">
        <w:tc>
          <w:tcPr>
            <w:tcW w:w="2200" w:type="dxa"/>
            <w:tcMar/>
          </w:tcPr>
          <w:p w:rsidR="6A65EC4E" w:rsidRDefault="6A65EC4E" w14:noSpellErr="1" w14:paraId="2069AA21" w14:textId="5D632B33">
            <w:r w:rsidR="6A65EC4E">
              <w:rPr/>
              <w:t>Documentation</w:t>
            </w:r>
          </w:p>
        </w:tc>
        <w:tc>
          <w:tcPr>
            <w:tcW w:w="2100" w:type="dxa"/>
            <w:tcMar/>
          </w:tcPr>
          <w:p w:rsidR="6A65EC4E" w:rsidRDefault="6A65EC4E" w14:noSpellErr="1" w14:paraId="1D0FFD37" w14:textId="564111F7">
            <w:r w:rsidR="6A65EC4E">
              <w:rPr/>
              <w:t>High for drafts, summaries and retrieval</w:t>
            </w:r>
          </w:p>
        </w:tc>
        <w:tc>
          <w:tcPr>
            <w:tcW w:w="2350" w:type="dxa"/>
            <w:tcMar/>
          </w:tcPr>
          <w:p w:rsidR="6A65EC4E" w:rsidRDefault="6A65EC4E" w14:noSpellErr="1" w14:paraId="20769704" w14:textId="4F1EF8BB">
            <w:r w:rsidR="6A65EC4E">
              <w:rPr/>
              <w:t>Accuracy, access controls, versioning and accountable approval</w:t>
            </w:r>
          </w:p>
        </w:tc>
        <w:tc>
          <w:tcPr>
            <w:tcW w:w="2376" w:type="dxa"/>
            <w:tcMar/>
          </w:tcPr>
          <w:p w:rsidR="6A65EC4E" w:rsidRDefault="6A65EC4E" w14:noSpellErr="1" w14:paraId="10C650DB" w14:textId="47FCDF7F">
            <w:r w:rsidR="6A65EC4E">
              <w:rPr/>
              <w:t>Less billable production effort; knowledge quality becomes critical</w:t>
            </w:r>
          </w:p>
        </w:tc>
      </w:tr>
      <w:tr w:rsidR="6A65EC4E" w:rsidTr="3927AF3A" w14:paraId="4D039AEC">
        <w:tc>
          <w:tcPr>
            <w:tcW w:w="2200" w:type="dxa"/>
            <w:tcMar/>
          </w:tcPr>
          <w:p w:rsidR="6A65EC4E" w:rsidRDefault="6A65EC4E" w14:noSpellErr="1" w14:paraId="49F14F88" w14:textId="5F123FF4">
            <w:r w:rsidR="6A65EC4E">
              <w:rPr/>
              <w:t>User onboarding</w:t>
            </w:r>
          </w:p>
        </w:tc>
        <w:tc>
          <w:tcPr>
            <w:tcW w:w="2100" w:type="dxa"/>
            <w:tcMar/>
          </w:tcPr>
          <w:p w:rsidR="6A65EC4E" w:rsidRDefault="6A65EC4E" w14:noSpellErr="1" w14:paraId="6E3B5577" w14:textId="57F026B8">
            <w:r w:rsidR="6A65EC4E">
              <w:rPr/>
              <w:t>High for standard approved provisioning</w:t>
            </w:r>
          </w:p>
        </w:tc>
        <w:tc>
          <w:tcPr>
            <w:tcW w:w="2350" w:type="dxa"/>
            <w:tcMar/>
          </w:tcPr>
          <w:p w:rsidR="6A65EC4E" w:rsidRDefault="6A65EC4E" w14:noSpellErr="1" w14:paraId="12FE31FA" w14:textId="50CE0D7C">
            <w:r w:rsidR="6A65EC4E">
              <w:rPr/>
              <w:t>Authorisation, segregation of duties and application exceptions</w:t>
            </w:r>
          </w:p>
        </w:tc>
        <w:tc>
          <w:tcPr>
            <w:tcW w:w="2376" w:type="dxa"/>
            <w:tcMar/>
          </w:tcPr>
          <w:p w:rsidR="6A65EC4E" w:rsidRDefault="6A65EC4E" w14:noSpellErr="1" w14:paraId="1D0F7729" w14:textId="49ABF440">
            <w:r w:rsidR="6A65EC4E">
              <w:rPr/>
              <w:t>Standard builds become cheaper; workflow ownership matters</w:t>
            </w:r>
          </w:p>
        </w:tc>
      </w:tr>
      <w:tr w:rsidR="6A65EC4E" w:rsidTr="3927AF3A" w14:paraId="148D8F19">
        <w:tc>
          <w:tcPr>
            <w:tcW w:w="2200" w:type="dxa"/>
            <w:tcMar/>
          </w:tcPr>
          <w:p w:rsidR="6A65EC4E" w:rsidRDefault="6A65EC4E" w14:noSpellErr="1" w14:paraId="16DD3C54" w14:textId="60C154B5">
            <w:r w:rsidR="6A65EC4E">
              <w:rPr/>
              <w:t>User training</w:t>
            </w:r>
          </w:p>
        </w:tc>
        <w:tc>
          <w:tcPr>
            <w:tcW w:w="2100" w:type="dxa"/>
            <w:tcMar/>
          </w:tcPr>
          <w:p w:rsidR="6A65EC4E" w:rsidRDefault="6A65EC4E" w14:noSpellErr="1" w14:paraId="411231B0" w14:textId="599F3B79">
            <w:r w:rsidR="6A65EC4E">
              <w:rPr/>
              <w:t>Medium for contextual assistance and routine learning</w:t>
            </w:r>
          </w:p>
        </w:tc>
        <w:tc>
          <w:tcPr>
            <w:tcW w:w="2350" w:type="dxa"/>
            <w:tcMar/>
          </w:tcPr>
          <w:p w:rsidR="6A65EC4E" w:rsidRDefault="6A65EC4E" w14:noSpellErr="1" w14:paraId="6291D97C" w14:textId="527D223D">
            <w:r w:rsidR="6A65EC4E">
              <w:rPr/>
              <w:t>Behaviour change, accessibility, role context and adoption</w:t>
            </w:r>
          </w:p>
        </w:tc>
        <w:tc>
          <w:tcPr>
            <w:tcW w:w="2376" w:type="dxa"/>
            <w:tcMar/>
          </w:tcPr>
          <w:p w:rsidR="6A65EC4E" w:rsidRDefault="6A65EC4E" w14:noSpellErr="1" w14:paraId="15E7EAAB" w14:textId="4B5B0901">
            <w:r w:rsidR="6A65EC4E">
              <w:rPr/>
              <w:t>Generic training pressured; tailored adoption services remain</w:t>
            </w:r>
          </w:p>
        </w:tc>
      </w:tr>
      <w:tr w:rsidR="6A65EC4E" w:rsidTr="3927AF3A" w14:paraId="5758A10E">
        <w:tc>
          <w:tcPr>
            <w:tcW w:w="2200" w:type="dxa"/>
            <w:tcMar/>
          </w:tcPr>
          <w:p w:rsidR="6A65EC4E" w:rsidRDefault="6A65EC4E" w14:noSpellErr="1" w14:paraId="3918C462" w14:textId="62706976">
            <w:r w:rsidR="6A65EC4E">
              <w:rPr/>
              <w:t>Security operations</w:t>
            </w:r>
          </w:p>
        </w:tc>
        <w:tc>
          <w:tcPr>
            <w:tcW w:w="2100" w:type="dxa"/>
            <w:tcMar/>
          </w:tcPr>
          <w:p w:rsidR="6A65EC4E" w:rsidRDefault="6A65EC4E" w14:noSpellErr="1" w14:paraId="30DCAB41" w14:textId="5B4E503A">
            <w:r w:rsidR="6A65EC4E">
              <w:rPr/>
              <w:t>High for enrichment; bounded for response</w:t>
            </w:r>
          </w:p>
        </w:tc>
        <w:tc>
          <w:tcPr>
            <w:tcW w:w="2350" w:type="dxa"/>
            <w:tcMar/>
          </w:tcPr>
          <w:p w:rsidR="6A65EC4E" w:rsidRDefault="6A65EC4E" w14:noSpellErr="1" w14:paraId="672A3D00" w14:textId="542C36FE">
            <w:r w:rsidR="6A65EC4E">
              <w:rPr/>
              <w:t>Adversarial inputs, novel incidents, privileged action and liability</w:t>
            </w:r>
          </w:p>
        </w:tc>
        <w:tc>
          <w:tcPr>
            <w:tcW w:w="2376" w:type="dxa"/>
            <w:tcMar/>
          </w:tcPr>
          <w:p w:rsidR="6A65EC4E" w:rsidRDefault="6A65EC4E" w14:noSpellErr="1" w14:paraId="150A6E28" w14:textId="4D0A1DC2">
            <w:r w:rsidR="6A65EC4E">
              <w:rPr/>
              <w:t>Analyst leverage improves; accountable response remains essential</w:t>
            </w:r>
          </w:p>
        </w:tc>
      </w:tr>
    </w:tbl>
    <w:p w:rsidR="6A65EC4E" w:rsidRDefault="6A65EC4E" w14:noSpellErr="1" w14:paraId="6DF8B901" w14:textId="69F72AB1">
      <w:r w:rsidR="6A65EC4E">
        <w:rPr/>
        <w:t>The economic unit is the complete resolved case or reliable business process, not the number of model responses. A service desk that saves typing time but increases reopens has not necessarily improved unit economics. An agent that issues a correct recommendation but requires expensive human verification may improve quality without reducing cost. Measure the full workflow, including the exception path.</w:t>
      </w:r>
    </w:p>
    <w:p w:rsidR="6A65EC4E" w:rsidRDefault="6A65EC4E" w14:noSpellErr="1" w14:paraId="17F6AD9C" w14:textId="4D8FC1D5">
      <w:r w:rsidR="6A65EC4E">
        <w:rPr/>
        <w:t>The implementation ladder should be assisted drafting, read-only retrieval, recommended action, approved execution and finally bounded autonomous execution. Permissions, tenant separation, evaluation sets, logging, usage controls and reversibility become product features. Treat agent identity, model changes and connector access as part of service management rather than as a side experiment outside the existing control environment.</w:t>
      </w:r>
    </w:p>
    <w:p w:rsidR="6A65EC4E" w:rsidP="6A65EC4E" w:rsidRDefault="6A65EC4E" w14:paraId="7F6E7385" w14:textId="751E15C7" w14:noSpellErr="1">
      <w:pPr>
        <w:pStyle w:val="Heading2"/>
      </w:pPr>
      <w:r w:rsidRPr="3927AF3A" w:rsidR="3794A404">
        <w:rPr>
          <w:color w:val="006D77"/>
        </w:rPr>
        <w:t>8.3 Revenue, margin, staffing and organisational consequences</w:t>
      </w:r>
    </w:p>
    <w:p w:rsidR="6A65EC4E" w:rsidRDefault="6A65EC4E" w14:noSpellErr="1" w14:paraId="310DDFE8" w14:textId="12412FD2">
      <w:r w:rsidR="6A65EC4E">
        <w:rPr/>
        <w:t>Revenue impact differs by contract. A time-and-materials business can lose billable effort immediately; a fixed-fee MSP may first improve margin; both face later repricing if competitors or customers can achieve the result more cheaply. Native agent capabilities also create new deployment and governance work. Consequently, the direction of total revenue depends on service mix and commercial execution, not solely on the share of tasks that can be automated. [R13; R24; R29; M1]</w:t>
      </w:r>
    </w:p>
    <w:p w:rsidR="6A65EC4E" w:rsidRDefault="6A65EC4E" w14:noSpellErr="1" w14:paraId="45D367DA" w14:textId="657DA2EA">
      <w:r w:rsidR="6A65EC4E">
        <w:rPr/>
        <w:t>Gross-margin impact depends on the full cost of a reliable outcome: model usage, orchestration, licences, data, evaluation, observability, exception handling and rework. Microsoft's consumption-based commercial direction makes a fixed customer fee against variable supplier usage an explicit risk to control. Lower token unit cost is not sufficient if usage and verification grow faster than savings. [R11; R51; R62; M1]</w:t>
      </w:r>
    </w:p>
    <w:p w:rsidR="6A65EC4E" w:rsidRDefault="6A65EC4E" w14:noSpellErr="1" w14:paraId="58D76843" w14:textId="1B7D330E">
      <w:r w:rsidR="6A65EC4E">
        <w:rPr/>
        <w:t>In the model's best case, 2030 revenue reaches USD6.85 million with roughly 25.1 FTE equivalents, compared with 25.0 initially. In the worst case, staffing falls to about 20.8 FTE equivalents yet EBITDA becomes negative. Headcount reduction is therefore neither the goal nor proof of successful transformation. These figures depend on the disclosed market, margin and execution assumptions and are not a causal forecast of AI adoption. [M1]</w:t>
      </w:r>
    </w:p>
    <w:p w:rsidR="6A65EC4E" w:rsidRDefault="6A65EC4E" w14:noSpellErr="1" w14:paraId="37A3DF7A" w14:textId="5F8320A6">
      <w:r w:rsidR="6A65EC4E">
        <w:rPr/>
        <w:t>Organisationally, the recommended shift is from queue supervision toward ownership of reusable services: a delivery owner, an automation and evaluation capability, security and data governance, and customer outcome management. Retain experienced engineering judgement for exceptions and failure diagnosis. Microsoft's autonomous-agent guidance calls for bounded scope, staged testing and human oversight for critical actions; these are continuing operational responsibilities, not one-off implementation tasks. [R64]</w:t>
      </w:r>
    </w:p>
    <w:p w:rsidR="6A65EC4E" w:rsidRDefault="6A65EC4E" w14:noSpellErr="1" w14:paraId="20B2AD16" w14:textId="585B7C66">
      <w:r w:rsidR="6A65EC4E">
        <w:rPr/>
        <w:t>For planning, the bull case requires proven savings, retained pricing and paid new services; the base case captures only part of the opportunity; the bear case carries cost and price pressure without enough redesign. ServiceNow's wider specialist announcements are evidence of supplier direction, but June and September 2026 target dates in the May release are not treated as confirmed deliveries where no subsequent release was verified. [R13; M1]</w:t>
      </w:r>
    </w:p>
    <w:p w:rsidR="6A65EC4E" w:rsidP="6A65EC4E" w:rsidRDefault="6A65EC4E" w14:paraId="3A143B23" w14:textId="59327CB2" w14:noSpellErr="1">
      <w:pPr>
        <w:pStyle w:val="Heading1"/>
      </w:pPr>
      <w:r w:rsidRPr="3927AF3A" w:rsidR="3794A404">
        <w:rPr>
          <w:color w:val="17365D" w:themeColor="text2" w:themeTint="FF" w:themeShade="BF"/>
        </w:rPr>
        <w:t>9. Future Industry Scenarios</w:t>
      </w:r>
    </w:p>
    <w:p w:rsidR="6A65EC4E" w:rsidP="6A65EC4E" w:rsidRDefault="6A65EC4E" w14:paraId="2BBF7D8C" w14:textId="2BD88074" w14:noSpellErr="1">
      <w:pPr>
        <w:pStyle w:val="Heading2"/>
      </w:pPr>
      <w:r w:rsidRPr="3927AF3A" w:rsidR="3794A404">
        <w:rPr>
          <w:color w:val="006D77"/>
        </w:rPr>
        <w:t>9.1 Viability in 2030 and the longer 2029-2036 horizon</w:t>
      </w:r>
    </w:p>
    <w:p w:rsidR="6A65EC4E" w:rsidRDefault="6A65EC4E" w14:noSpellErr="1" w14:paraId="6AF51BB0" w14:textId="1502BB3F">
      <w:r w:rsidR="6A65EC4E">
        <w:rPr/>
        <w:t>Managed services is likely to remain viable by 2030; the evidence does not support a blanket expiry date. The base-case strategic judgement is uneven adaptation: routine administration becomes less distinctive while responsibility for secure business operations remains valuable. This is an inference from continuing MSP growth, platform substitution and adoption friction, not an external consensus forecast or a probability-weighted model. [R01; R09; R13; R29; R50]</w:t>
      </w:r>
    </w:p>
    <w:tbl>
      <w:tblPr>
        <w:tblStyle w:val="TableGrid"/>
        <w:tblW w:w="0" w:type="auto"/>
        <w:tblLook w:val="0000" w:firstRow="0" w:lastRow="0" w:firstColumn="0" w:lastColumn="0" w:noHBand="0" w:noVBand="0"/>
      </w:tblPr>
      <w:tblGrid>
        <w:gridCol w:w="2200"/>
        <w:gridCol w:w="2100"/>
        <w:gridCol w:w="2350"/>
        <w:gridCol w:w="2376"/>
      </w:tblGrid>
      <w:tr w:rsidR="6A65EC4E" w:rsidTr="3927AF3A" w14:paraId="275B4EE6">
        <w:trPr>
          <w:tblHeader/>
        </w:trPr>
        <w:tc>
          <w:tcPr>
            <w:tcW w:w="2200" w:type="dxa"/>
            <w:tcMar/>
          </w:tcPr>
          <w:p w:rsidR="6A65EC4E" w:rsidRDefault="6A65EC4E" w14:noSpellErr="1" w14:paraId="4B4697FA" w14:textId="605B8E7D">
            <w:r w:rsidR="6A65EC4E">
              <w:rPr/>
              <w:t>Scenario</w:t>
            </w:r>
          </w:p>
        </w:tc>
        <w:tc>
          <w:tcPr>
            <w:tcW w:w="2100" w:type="dxa"/>
            <w:tcMar/>
          </w:tcPr>
          <w:p w:rsidR="6A65EC4E" w:rsidRDefault="6A65EC4E" w14:paraId="725CB49C" w14:textId="59397541" w14:noSpellErr="1">
            <w:r w:rsidRPr="3927AF3A" w:rsidR="3794A404">
              <w:rPr>
                <w:b w:val="1"/>
                <w:bCs w:val="1"/>
              </w:rPr>
              <w:t>2029-2030 mechanism</w:t>
            </w:r>
          </w:p>
        </w:tc>
        <w:tc>
          <w:tcPr>
            <w:tcW w:w="2350" w:type="dxa"/>
            <w:tcMar/>
          </w:tcPr>
          <w:p w:rsidR="6A65EC4E" w:rsidRDefault="6A65EC4E" w14:paraId="6D930E90" w14:textId="52175C05" w14:noSpellErr="1">
            <w:r w:rsidRPr="3927AF3A" w:rsidR="3794A404">
              <w:rPr>
                <w:b w:val="1"/>
                <w:bCs w:val="1"/>
              </w:rPr>
              <w:t>Conditional 2030 model result</w:t>
            </w:r>
          </w:p>
        </w:tc>
        <w:tc>
          <w:tcPr>
            <w:tcW w:w="2376" w:type="dxa"/>
            <w:tcMar/>
          </w:tcPr>
          <w:p w:rsidR="6A65EC4E" w:rsidRDefault="6A65EC4E" w14:paraId="4A72F013" w14:textId="4AF542C9" w14:noSpellErr="1">
            <w:r w:rsidRPr="3927AF3A" w:rsidR="3794A404">
              <w:rPr>
                <w:b w:val="1"/>
                <w:bCs w:val="1"/>
              </w:rPr>
              <w:t>2031-2036 industry shape: judgement</w:t>
            </w:r>
          </w:p>
        </w:tc>
      </w:tr>
      <w:tr w:rsidR="6A65EC4E" w:rsidTr="3927AF3A" w14:paraId="23231ACD">
        <w:tc>
          <w:tcPr>
            <w:tcW w:w="2200" w:type="dxa"/>
            <w:tcMar/>
          </w:tcPr>
          <w:p w:rsidR="6A65EC4E" w:rsidRDefault="6A65EC4E" w14:noSpellErr="1" w14:paraId="6EBA2211" w14:textId="620AA33E">
            <w:r w:rsidR="6A65EC4E">
              <w:rPr/>
              <w:t>Bull</w:t>
            </w:r>
          </w:p>
        </w:tc>
        <w:tc>
          <w:tcPr>
            <w:tcW w:w="2100" w:type="dxa"/>
            <w:tcMar/>
          </w:tcPr>
          <w:p w:rsidR="6A65EC4E" w:rsidRDefault="6A65EC4E" w14:noSpellErr="1" w14:paraId="5A46DC4D" w14:textId="5AE88A02">
            <w:r w:rsidR="6A65EC4E">
              <w:rPr/>
              <w:t>Automation savings retained; security and workflows expand; customers need integration</w:t>
            </w:r>
          </w:p>
        </w:tc>
        <w:tc>
          <w:tcPr>
            <w:tcW w:w="2350" w:type="dxa"/>
            <w:tcMar/>
          </w:tcPr>
          <w:p w:rsidR="6A65EC4E" w:rsidRDefault="6A65EC4E" w14:noSpellErr="1" w14:paraId="465AF5C9" w14:textId="53C670C6">
            <w:r w:rsidR="6A65EC4E">
              <w:rPr/>
              <w:t>USD6.85m revenue; 22.2% EBITDA margin [M1]</w:t>
            </w:r>
          </w:p>
        </w:tc>
        <w:tc>
          <w:tcPr>
            <w:tcW w:w="2376" w:type="dxa"/>
            <w:tcMar/>
          </w:tcPr>
          <w:p w:rsidR="6A65EC4E" w:rsidRDefault="6A65EC4E" w14:noSpellErr="1" w14:paraId="47B3380E" w14:textId="4CA4578A">
            <w:r w:rsidR="6A65EC4E">
              <w:rPr/>
              <w:t>Providers grow through repeatable managed outcomes; conventional units may remain as pricing boundaries</w:t>
            </w:r>
          </w:p>
        </w:tc>
      </w:tr>
      <w:tr w:rsidR="6A65EC4E" w:rsidTr="3927AF3A" w14:paraId="73667AA9">
        <w:tc>
          <w:tcPr>
            <w:tcW w:w="2200" w:type="dxa"/>
            <w:tcMar/>
          </w:tcPr>
          <w:p w:rsidR="6A65EC4E" w:rsidRDefault="6A65EC4E" w14:noSpellErr="1" w14:paraId="62F895D5" w14:textId="63B9B7FF">
            <w:r w:rsidR="6A65EC4E">
              <w:rPr/>
              <w:t>Base</w:t>
            </w:r>
          </w:p>
        </w:tc>
        <w:tc>
          <w:tcPr>
            <w:tcW w:w="2100" w:type="dxa"/>
            <w:tcMar/>
          </w:tcPr>
          <w:p w:rsidR="6A65EC4E" w:rsidRDefault="6A65EC4E" w14:noSpellErr="1" w14:paraId="2E9BD79F" w14:textId="5C979EC3">
            <w:r w:rsidR="6A65EC4E">
              <w:rPr/>
              <w:t>Partial transformation; pricing pressure absorbs some savings; demand continues</w:t>
            </w:r>
          </w:p>
        </w:tc>
        <w:tc>
          <w:tcPr>
            <w:tcW w:w="2350" w:type="dxa"/>
            <w:tcMar/>
          </w:tcPr>
          <w:p w:rsidR="6A65EC4E" w:rsidRDefault="6A65EC4E" w14:noSpellErr="1" w14:paraId="345888BB" w14:textId="55758587">
            <w:r w:rsidR="6A65EC4E">
              <w:rPr/>
              <w:t>USD5.59m revenue; 11.9% EBITDA margin [M1]</w:t>
            </w:r>
          </w:p>
        </w:tc>
        <w:tc>
          <w:tcPr>
            <w:tcW w:w="2376" w:type="dxa"/>
            <w:tcMar/>
          </w:tcPr>
          <w:p w:rsidR="6A65EC4E" w:rsidRDefault="6A65EC4E" w14:noSpellErr="1" w14:paraId="37A30B8F" w14:textId="4E536C4B">
            <w:r w:rsidR="6A65EC4E">
              <w:rPr/>
              <w:t>A mixed market: profitable specialists and efficient generalists alongside pressured, consolidating incumbents</w:t>
            </w:r>
          </w:p>
        </w:tc>
      </w:tr>
      <w:tr w:rsidR="6A65EC4E" w:rsidTr="3927AF3A" w14:paraId="523877FA">
        <w:tc>
          <w:tcPr>
            <w:tcW w:w="2200" w:type="dxa"/>
            <w:tcMar/>
          </w:tcPr>
          <w:p w:rsidR="6A65EC4E" w:rsidRDefault="6A65EC4E" w14:noSpellErr="1" w14:paraId="2C1268F6" w14:textId="6568CCC0">
            <w:r w:rsidR="6A65EC4E">
              <w:rPr/>
              <w:t>Bear</w:t>
            </w:r>
          </w:p>
        </w:tc>
        <w:tc>
          <w:tcPr>
            <w:tcW w:w="2100" w:type="dxa"/>
            <w:tcMar/>
          </w:tcPr>
          <w:p w:rsidR="6A65EC4E" w:rsidRDefault="6A65EC4E" w14:noSpellErr="1" w14:paraId="41C16FCC" w14:textId="5E46B384">
            <w:r w:rsidR="6A65EC4E">
              <w:rPr/>
              <w:t>Routine work commoditises faster than mix changes; costs remain sticky</w:t>
            </w:r>
          </w:p>
        </w:tc>
        <w:tc>
          <w:tcPr>
            <w:tcW w:w="2350" w:type="dxa"/>
            <w:tcMar/>
          </w:tcPr>
          <w:p w:rsidR="6A65EC4E" w:rsidRDefault="6A65EC4E" w14:noSpellErr="1" w14:paraId="28DD33B7" w14:textId="57249A48">
            <w:r w:rsidR="6A65EC4E">
              <w:rPr/>
              <w:t>USD3.98m revenue; -4.9% EBITDA margin [M1]</w:t>
            </w:r>
          </w:p>
        </w:tc>
        <w:tc>
          <w:tcPr>
            <w:tcW w:w="2376" w:type="dxa"/>
            <w:tcMar/>
          </w:tcPr>
          <w:p w:rsidR="6A65EC4E" w:rsidRDefault="6A65EC4E" w14:noSpellErr="1" w14:paraId="60F3FE92" w14:textId="5002810C">
            <w:r w:rsidR="6A65EC4E">
              <w:rPr/>
              <w:t>Undifferentiated legacy providers reprice, merge or exit; platform and specialist providers capture more value</w:t>
            </w:r>
          </w:p>
        </w:tc>
      </w:tr>
    </w:tbl>
    <w:p w:rsidR="6A65EC4E" w:rsidRDefault="6A65EC4E" w14:noSpellErr="1" w14:paraId="32644FB4" w14:textId="486EAA18">
      <w:r w:rsidR="6A65EC4E">
        <w:rPr/>
        <w:t>Bull is supported by current growth and explicit partner opportunities; base by uneven demand growth and incomplete conversion of AI activity into financial results; bear by documented native substitution and the model's cost rigidity. No case is inevitable, and the same supplier innovations can help an efficient MSP while threatening a manual one. Beyond 2030, the report avoids mechanically extending short-run growth rates through 2036. [R01; R05; R29; R43; R65; M1]</w:t>
      </w:r>
    </w:p>
    <w:p w:rsidR="6A65EC4E" w:rsidP="6A65EC4E" w:rsidRDefault="6A65EC4E" w14:paraId="53B3F75E" w14:textId="3571B485" w14:noSpellErr="1">
      <w:pPr>
        <w:pStyle w:val="Heading2"/>
      </w:pPr>
      <w:r w:rsidRPr="3927AF3A" w:rsidR="3794A404">
        <w:rPr>
          <w:color w:val="006D77"/>
        </w:rPr>
        <w:t>9.2 What percentage could transform, consolidate, struggle or disappear?</w:t>
      </w:r>
    </w:p>
    <w:p w:rsidR="6A65EC4E" w:rsidRDefault="6A65EC4E" w14:noSpellErr="1" w14:paraId="5954C7B4" w14:textId="736AB511">
      <w:r w:rsidR="6A65EC4E">
        <w:rPr/>
        <w:t>An evidence-based population forecast cannot be identified from the public sources reviewed. Definitions of MSP and TSP differ; partner registrations are not a clean census; acquisitions, rebranding and closure are not equivalent outcomes. There is no credible denominator and longitudinal transition dataset here from which to calculate the requested ten-year probabilities. Presenting a precise share as an analyst prediction would overstate what the research establishes.</w:t>
      </w:r>
    </w:p>
    <w:p w:rsidR="6A65EC4E" w:rsidRDefault="6A65EC4E" w14:noSpellErr="1" w14:paraId="77481ECD" w14:textId="5FFD90ED">
      <w:r w:rsidR="6A65EC4E">
        <w:rPr/>
        <w:t>For board planning only, the following deliberately low-confidence allocation describes a hypothetical cohort of today's conventional providers by 2036. It is the report author's scenario judgement, not an observed statistic, empirical estimate, external forecast or recommended investment probability. The central allocation is a discussion anchor; the alternative allocations show how sensitive it is to assumptions. No confidence interval or expected-value weighting is justified.</w:t>
      </w:r>
    </w:p>
    <w:tbl>
      <w:tblPr>
        <w:tblStyle w:val="TableGrid"/>
        <w:tblW w:w="0" w:type="auto"/>
        <w:tblLook w:val="0000" w:firstRow="0" w:lastRow="0" w:firstColumn="0" w:lastColumn="0" w:noHBand="0" w:noVBand="0"/>
      </w:tblPr>
      <w:tblGrid>
        <w:gridCol w:w="2200"/>
        <w:gridCol w:w="2100"/>
        <w:gridCol w:w="2350"/>
        <w:gridCol w:w="2376"/>
      </w:tblGrid>
      <w:tr w:rsidR="6A65EC4E" w:rsidTr="3927AF3A" w14:paraId="721726C8">
        <w:trPr>
          <w:tblHeader/>
        </w:trPr>
        <w:tc>
          <w:tcPr>
            <w:tcW w:w="2200" w:type="dxa"/>
            <w:tcMar/>
          </w:tcPr>
          <w:p w:rsidR="6A65EC4E" w:rsidRDefault="6A65EC4E" w14:paraId="51B353EF" w14:textId="2C5802E0" w14:noSpellErr="1">
            <w:r w:rsidRPr="3927AF3A" w:rsidR="3794A404">
              <w:rPr>
                <w:b w:val="1"/>
                <w:bCs w:val="1"/>
              </w:rPr>
              <w:t>Mutually exclusive 2036 status</w:t>
            </w:r>
          </w:p>
        </w:tc>
        <w:tc>
          <w:tcPr>
            <w:tcW w:w="2100" w:type="dxa"/>
            <w:tcMar/>
          </w:tcPr>
          <w:p w:rsidR="6A65EC4E" w:rsidRDefault="6A65EC4E" w14:paraId="3222533B" w14:textId="2535E9A4" w14:noSpellErr="1">
            <w:r w:rsidRPr="3927AF3A" w:rsidR="3794A404">
              <w:rPr>
                <w:b w:val="1"/>
                <w:bCs w:val="1"/>
              </w:rPr>
              <w:t>Survival-favouring</w:t>
            </w:r>
          </w:p>
        </w:tc>
        <w:tc>
          <w:tcPr>
            <w:tcW w:w="2350" w:type="dxa"/>
            <w:tcMar/>
          </w:tcPr>
          <w:p w:rsidR="6A65EC4E" w:rsidRDefault="6A65EC4E" w14:paraId="58A6E221" w14:textId="1E13D068" w14:noSpellErr="1">
            <w:r w:rsidRPr="3927AF3A" w:rsidR="3794A404">
              <w:rPr>
                <w:b w:val="1"/>
                <w:bCs w:val="1"/>
              </w:rPr>
              <w:t>Central planning</w:t>
            </w:r>
          </w:p>
        </w:tc>
        <w:tc>
          <w:tcPr>
            <w:tcW w:w="2376" w:type="dxa"/>
            <w:tcMar/>
          </w:tcPr>
          <w:p w:rsidR="6A65EC4E" w:rsidRDefault="6A65EC4E" w14:paraId="5C7E09D6" w14:textId="16F1B72C" w14:noSpellErr="1">
            <w:r w:rsidRPr="3927AF3A" w:rsidR="3794A404">
              <w:rPr>
                <w:b w:val="1"/>
                <w:bCs w:val="1"/>
              </w:rPr>
              <w:t>Disruption-favouring</w:t>
            </w:r>
          </w:p>
        </w:tc>
      </w:tr>
      <w:tr w:rsidR="6A65EC4E" w:rsidTr="3927AF3A" w14:paraId="1A2F3BEC">
        <w:tc>
          <w:tcPr>
            <w:tcW w:w="2200" w:type="dxa"/>
            <w:tcMar/>
          </w:tcPr>
          <w:p w:rsidR="6A65EC4E" w:rsidRDefault="6A65EC4E" w14:noSpellErr="1" w14:paraId="5B610059" w14:textId="2E0717A1">
            <w:r w:rsidR="6A65EC4E">
              <w:rPr/>
              <w:t>Transformed and still independent</w:t>
            </w:r>
          </w:p>
        </w:tc>
        <w:tc>
          <w:tcPr>
            <w:tcW w:w="2100" w:type="dxa"/>
            <w:tcMar/>
          </w:tcPr>
          <w:p w:rsidR="6A65EC4E" w:rsidRDefault="6A65EC4E" w14:noSpellErr="1" w14:paraId="4E85F709" w14:textId="26E4FE65">
            <w:r w:rsidR="6A65EC4E">
              <w:rPr/>
              <w:t>60%</w:t>
            </w:r>
          </w:p>
        </w:tc>
        <w:tc>
          <w:tcPr>
            <w:tcW w:w="2350" w:type="dxa"/>
            <w:tcMar/>
          </w:tcPr>
          <w:p w:rsidR="6A65EC4E" w:rsidRDefault="6A65EC4E" w14:noSpellErr="1" w14:paraId="31CEA355" w14:textId="1FC2E529">
            <w:r w:rsidR="6A65EC4E">
              <w:rPr/>
              <w:t>45%</w:t>
            </w:r>
          </w:p>
        </w:tc>
        <w:tc>
          <w:tcPr>
            <w:tcW w:w="2376" w:type="dxa"/>
            <w:tcMar/>
          </w:tcPr>
          <w:p w:rsidR="6A65EC4E" w:rsidRDefault="6A65EC4E" w14:noSpellErr="1" w14:paraId="27CAB837" w14:textId="18A0CBED">
            <w:r w:rsidR="6A65EC4E">
              <w:rPr/>
              <w:t>30%</w:t>
            </w:r>
          </w:p>
        </w:tc>
      </w:tr>
      <w:tr w:rsidR="6A65EC4E" w:rsidTr="3927AF3A" w14:paraId="5093DCAF">
        <w:tc>
          <w:tcPr>
            <w:tcW w:w="2200" w:type="dxa"/>
            <w:tcMar/>
          </w:tcPr>
          <w:p w:rsidR="6A65EC4E" w:rsidRDefault="6A65EC4E" w14:noSpellErr="1" w14:paraId="7A5E3FCB" w14:textId="2FB62C62">
            <w:r w:rsidR="6A65EC4E">
              <w:rPr/>
              <w:t>Consolidated into another operating provider</w:t>
            </w:r>
          </w:p>
        </w:tc>
        <w:tc>
          <w:tcPr>
            <w:tcW w:w="2100" w:type="dxa"/>
            <w:tcMar/>
          </w:tcPr>
          <w:p w:rsidR="6A65EC4E" w:rsidRDefault="6A65EC4E" w14:noSpellErr="1" w14:paraId="423627F0" w14:textId="28941326">
            <w:r w:rsidR="6A65EC4E">
              <w:rPr/>
              <w:t>20%</w:t>
            </w:r>
          </w:p>
        </w:tc>
        <w:tc>
          <w:tcPr>
            <w:tcW w:w="2350" w:type="dxa"/>
            <w:tcMar/>
          </w:tcPr>
          <w:p w:rsidR="6A65EC4E" w:rsidRDefault="6A65EC4E" w14:noSpellErr="1" w14:paraId="39B1F5BB" w14:textId="2171F9EA">
            <w:r w:rsidR="6A65EC4E">
              <w:rPr/>
              <w:t>25%</w:t>
            </w:r>
          </w:p>
        </w:tc>
        <w:tc>
          <w:tcPr>
            <w:tcW w:w="2376" w:type="dxa"/>
            <w:tcMar/>
          </w:tcPr>
          <w:p w:rsidR="6A65EC4E" w:rsidRDefault="6A65EC4E" w14:noSpellErr="1" w14:paraId="7453C2AC" w14:textId="1A4FE0AE">
            <w:r w:rsidR="6A65EC4E">
              <w:rPr/>
              <w:t>30%</w:t>
            </w:r>
          </w:p>
        </w:tc>
      </w:tr>
      <w:tr w:rsidR="6A65EC4E" w:rsidTr="3927AF3A" w14:paraId="109C954D">
        <w:tc>
          <w:tcPr>
            <w:tcW w:w="2200" w:type="dxa"/>
            <w:tcMar/>
          </w:tcPr>
          <w:p w:rsidR="6A65EC4E" w:rsidRDefault="6A65EC4E" w14:noSpellErr="1" w14:paraId="658B00E7" w14:textId="31654123">
            <w:r w:rsidR="6A65EC4E">
              <w:rPr/>
              <w:t>Still independent but economically struggling</w:t>
            </w:r>
          </w:p>
        </w:tc>
        <w:tc>
          <w:tcPr>
            <w:tcW w:w="2100" w:type="dxa"/>
            <w:tcMar/>
          </w:tcPr>
          <w:p w:rsidR="6A65EC4E" w:rsidRDefault="6A65EC4E" w14:noSpellErr="1" w14:paraId="62AD5FA4" w14:textId="2A4327E7">
            <w:r w:rsidR="6A65EC4E">
              <w:rPr/>
              <w:t>15%</w:t>
            </w:r>
          </w:p>
        </w:tc>
        <w:tc>
          <w:tcPr>
            <w:tcW w:w="2350" w:type="dxa"/>
            <w:tcMar/>
          </w:tcPr>
          <w:p w:rsidR="6A65EC4E" w:rsidRDefault="6A65EC4E" w14:noSpellErr="1" w14:paraId="46BB6590" w14:textId="23210EAB">
            <w:r w:rsidR="6A65EC4E">
              <w:rPr/>
              <w:t>20%</w:t>
            </w:r>
          </w:p>
        </w:tc>
        <w:tc>
          <w:tcPr>
            <w:tcW w:w="2376" w:type="dxa"/>
            <w:tcMar/>
          </w:tcPr>
          <w:p w:rsidR="6A65EC4E" w:rsidRDefault="6A65EC4E" w14:noSpellErr="1" w14:paraId="362F90E0" w14:textId="1BFEF56F">
            <w:r w:rsidR="6A65EC4E">
              <w:rPr/>
              <w:t>25%</w:t>
            </w:r>
          </w:p>
        </w:tc>
      </w:tr>
      <w:tr w:rsidR="6A65EC4E" w:rsidTr="3927AF3A" w14:paraId="50D2866B">
        <w:tc>
          <w:tcPr>
            <w:tcW w:w="2200" w:type="dxa"/>
            <w:tcMar/>
          </w:tcPr>
          <w:p w:rsidR="6A65EC4E" w:rsidRDefault="6A65EC4E" w14:noSpellErr="1" w14:paraId="6D472587" w14:textId="331455E4">
            <w:r w:rsidR="6A65EC4E">
              <w:rPr/>
              <w:t>Ceased trading without an operating successor</w:t>
            </w:r>
          </w:p>
        </w:tc>
        <w:tc>
          <w:tcPr>
            <w:tcW w:w="2100" w:type="dxa"/>
            <w:tcMar/>
          </w:tcPr>
          <w:p w:rsidR="6A65EC4E" w:rsidRDefault="6A65EC4E" w14:noSpellErr="1" w14:paraId="64BFED71" w14:textId="2BF23CA8">
            <w:r w:rsidR="6A65EC4E">
              <w:rPr/>
              <w:t>5%</w:t>
            </w:r>
          </w:p>
        </w:tc>
        <w:tc>
          <w:tcPr>
            <w:tcW w:w="2350" w:type="dxa"/>
            <w:tcMar/>
          </w:tcPr>
          <w:p w:rsidR="6A65EC4E" w:rsidRDefault="6A65EC4E" w14:noSpellErr="1" w14:paraId="70CE134B" w14:textId="24D0236C">
            <w:r w:rsidR="6A65EC4E">
              <w:rPr/>
              <w:t>10%</w:t>
            </w:r>
          </w:p>
        </w:tc>
        <w:tc>
          <w:tcPr>
            <w:tcW w:w="2376" w:type="dxa"/>
            <w:tcMar/>
          </w:tcPr>
          <w:p w:rsidR="6A65EC4E" w:rsidRDefault="6A65EC4E" w14:noSpellErr="1" w14:paraId="2C142AF1" w14:textId="1DAE0A30">
            <w:r w:rsidR="6A65EC4E">
              <w:rPr/>
              <w:t>15%</w:t>
            </w:r>
          </w:p>
        </w:tc>
      </w:tr>
      <w:tr w:rsidR="6A65EC4E" w:rsidTr="3927AF3A" w14:paraId="13EE5634">
        <w:tc>
          <w:tcPr>
            <w:tcW w:w="2200" w:type="dxa"/>
            <w:tcMar/>
          </w:tcPr>
          <w:p w:rsidR="6A65EC4E" w:rsidRDefault="6A65EC4E" w14:noSpellErr="1" w14:paraId="556510D5" w14:textId="34C36AA5">
            <w:r w:rsidR="6A65EC4E">
              <w:rPr/>
              <w:t>Total hypothetical starting cohort</w:t>
            </w:r>
          </w:p>
        </w:tc>
        <w:tc>
          <w:tcPr>
            <w:tcW w:w="2100" w:type="dxa"/>
            <w:tcMar/>
          </w:tcPr>
          <w:p w:rsidR="6A65EC4E" w:rsidRDefault="6A65EC4E" w14:noSpellErr="1" w14:paraId="1D3AFABE" w14:textId="2DA15169">
            <w:r w:rsidR="6A65EC4E">
              <w:rPr/>
              <w:t>100%</w:t>
            </w:r>
          </w:p>
        </w:tc>
        <w:tc>
          <w:tcPr>
            <w:tcW w:w="2350" w:type="dxa"/>
            <w:tcMar/>
          </w:tcPr>
          <w:p w:rsidR="6A65EC4E" w:rsidRDefault="6A65EC4E" w14:noSpellErr="1" w14:paraId="73136592" w14:textId="267F382D">
            <w:r w:rsidR="6A65EC4E">
              <w:rPr/>
              <w:t>100%</w:t>
            </w:r>
          </w:p>
        </w:tc>
        <w:tc>
          <w:tcPr>
            <w:tcW w:w="2376" w:type="dxa"/>
            <w:tcMar/>
          </w:tcPr>
          <w:p w:rsidR="6A65EC4E" w:rsidRDefault="6A65EC4E" w14:noSpellErr="1" w14:paraId="2DF992A0" w14:textId="1F5D1EF1">
            <w:r w:rsidR="6A65EC4E">
              <w:rPr/>
              <w:t>100%</w:t>
            </w:r>
          </w:p>
        </w:tc>
      </w:tr>
    </w:tbl>
    <w:p w:rsidR="6A65EC4E" w:rsidRDefault="6A65EC4E" w14:noSpellErr="1" w14:paraId="7E80C33A" w14:textId="119D8780">
      <w:r w:rsidR="6A65EC4E">
        <w:rPr/>
        <w:t>The table allocates each starting provider once, by end-state. A provider that improves operations and is later acquired belongs in consolidation, not both categories. A provider in distress that is rescued by an acquisition also belongs in consolidation rather than disappearance. New entrants are excluded. Consequently, the table cannot be used to forecast the number of suppliers in the whole market, and consolidation must not be reported as a synonym for failure.</w:t>
      </w:r>
    </w:p>
    <w:p w:rsidR="6A65EC4E" w:rsidRDefault="6A65EC4E" w14:noSpellErr="1" w14:paraId="4CACCDD5" w14:textId="7C547BC3">
      <w:r w:rsidR="6A65EC4E">
        <w:rPr/>
        <w:t>These selected planning ranges are 30-60% transformed independents, 20-30% consolidated, 15-25% struggling independents and 5-15% discontinued firms. They are not source-derived likelihoods. Replace them with a defined regional cohort study before using population percentages in a valuation or lending decision. The defensible research conclusion is directional differentiation of risk by business model, not a statistically established failure rate.</w:t>
      </w:r>
    </w:p>
    <w:p w:rsidR="6A65EC4E" w:rsidP="6A65EC4E" w:rsidRDefault="6A65EC4E" w14:paraId="651C7D07" w14:textId="1FD8C44A" w14:noSpellErr="1">
      <w:pPr>
        <w:pStyle w:val="Heading2"/>
      </w:pPr>
      <w:r w:rsidRPr="3927AF3A" w:rsidR="3794A404">
        <w:rPr>
          <w:color w:val="006D77"/>
        </w:rPr>
        <w:t>9.3 Which providers are most exposed?</w:t>
      </w:r>
    </w:p>
    <w:tbl>
      <w:tblPr>
        <w:tblStyle w:val="TableGrid"/>
        <w:tblW w:w="0" w:type="auto"/>
        <w:tblLook w:val="0000" w:firstRow="0" w:lastRow="0" w:firstColumn="0" w:lastColumn="0" w:noHBand="0" w:noVBand="0"/>
      </w:tblPr>
      <w:tblGrid>
        <w:gridCol w:w="2200"/>
        <w:gridCol w:w="2100"/>
        <w:gridCol w:w="2350"/>
        <w:gridCol w:w="2376"/>
      </w:tblGrid>
      <w:tr w:rsidR="6A65EC4E" w:rsidTr="3927AF3A" w14:paraId="64D8DE90">
        <w:trPr>
          <w:tblHeader/>
        </w:trPr>
        <w:tc>
          <w:tcPr>
            <w:tcW w:w="2200" w:type="dxa"/>
            <w:tcMar/>
          </w:tcPr>
          <w:p w:rsidR="6A65EC4E" w:rsidRDefault="6A65EC4E" w14:paraId="569ED7AA" w14:textId="210C33B2" w14:noSpellErr="1">
            <w:r w:rsidRPr="3927AF3A" w:rsidR="3794A404">
              <w:rPr>
                <w:b w:val="1"/>
                <w:bCs w:val="1"/>
              </w:rPr>
              <w:t>Relative risk: analytical</w:t>
            </w:r>
          </w:p>
        </w:tc>
        <w:tc>
          <w:tcPr>
            <w:tcW w:w="2100" w:type="dxa"/>
            <w:tcMar/>
          </w:tcPr>
          <w:p w:rsidR="6A65EC4E" w:rsidRDefault="6A65EC4E" w14:paraId="2491BBBB" w14:textId="19EA1A76" w14:noSpellErr="1">
            <w:r w:rsidRPr="3927AF3A" w:rsidR="3794A404">
              <w:rPr>
                <w:b w:val="1"/>
                <w:bCs w:val="1"/>
              </w:rPr>
              <w:t>Provider archetype</w:t>
            </w:r>
          </w:p>
        </w:tc>
        <w:tc>
          <w:tcPr>
            <w:tcW w:w="2350" w:type="dxa"/>
            <w:tcMar/>
          </w:tcPr>
          <w:p w:rsidR="6A65EC4E" w:rsidRDefault="6A65EC4E" w14:paraId="5F151302" w14:textId="12C8013A" w14:noSpellErr="1">
            <w:r w:rsidRPr="3927AF3A" w:rsidR="3794A404">
              <w:rPr>
                <w:b w:val="1"/>
                <w:bCs w:val="1"/>
              </w:rPr>
              <w:t>Principal exposure</w:t>
            </w:r>
          </w:p>
        </w:tc>
        <w:tc>
          <w:tcPr>
            <w:tcW w:w="2376" w:type="dxa"/>
            <w:tcMar/>
          </w:tcPr>
          <w:p w:rsidR="6A65EC4E" w:rsidRDefault="6A65EC4E" w14:paraId="384827B3" w14:textId="0BA5E7FE" w14:noSpellErr="1">
            <w:r w:rsidRPr="3927AF3A" w:rsidR="3794A404">
              <w:rPr>
                <w:b w:val="1"/>
                <w:bCs w:val="1"/>
              </w:rPr>
              <w:t>Priority response</w:t>
            </w:r>
          </w:p>
        </w:tc>
      </w:tr>
      <w:tr w:rsidR="6A65EC4E" w:rsidTr="3927AF3A" w14:paraId="45725513">
        <w:tc>
          <w:tcPr>
            <w:tcW w:w="2200" w:type="dxa"/>
            <w:tcMar/>
          </w:tcPr>
          <w:p w:rsidR="6A65EC4E" w:rsidRDefault="6A65EC4E" w14:noSpellErr="1" w14:paraId="7346DF60" w14:textId="22BB4873">
            <w:r w:rsidR="6A65EC4E">
              <w:rPr/>
              <w:t>Highest</w:t>
            </w:r>
          </w:p>
        </w:tc>
        <w:tc>
          <w:tcPr>
            <w:tcW w:w="2100" w:type="dxa"/>
            <w:tcMar/>
          </w:tcPr>
          <w:p w:rsidR="6A65EC4E" w:rsidRDefault="6A65EC4E" w14:noSpellErr="1" w14:paraId="166206AC" w14:textId="1B992F37">
            <w:r w:rsidR="6A65EC4E">
              <w:rPr/>
              <w:t>Undifferentiated, manual help desk / device generalist</w:t>
            </w:r>
          </w:p>
        </w:tc>
        <w:tc>
          <w:tcPr>
            <w:tcW w:w="2350" w:type="dxa"/>
            <w:tcMar/>
          </w:tcPr>
          <w:p w:rsidR="6A65EC4E" w:rsidRDefault="6A65EC4E" w14:noSpellErr="1" w14:paraId="4B45E872" w14:textId="147715FB">
            <w:r w:rsidR="6A65EC4E">
              <w:rPr/>
              <w:t>Routine tasks overlap with native agents and automation [R13; R65]</w:t>
            </w:r>
          </w:p>
        </w:tc>
        <w:tc>
          <w:tcPr>
            <w:tcW w:w="2376" w:type="dxa"/>
            <w:tcMar/>
          </w:tcPr>
          <w:p w:rsidR="6A65EC4E" w:rsidRDefault="6A65EC4E" w14:noSpellErr="1" w14:paraId="5BE53EC1" w14:textId="0D54FCBF">
            <w:r w:rsidR="6A65EC4E">
              <w:rPr/>
              <w:t>Standardise and automate; strengthen security and customer context</w:t>
            </w:r>
          </w:p>
        </w:tc>
      </w:tr>
      <w:tr w:rsidR="6A65EC4E" w:rsidTr="3927AF3A" w14:paraId="2E99CA89">
        <w:tc>
          <w:tcPr>
            <w:tcW w:w="2200" w:type="dxa"/>
            <w:tcMar/>
          </w:tcPr>
          <w:p w:rsidR="6A65EC4E" w:rsidRDefault="6A65EC4E" w14:noSpellErr="1" w14:paraId="7125052D" w14:textId="246A5D34">
            <w:r w:rsidR="6A65EC4E">
              <w:rPr/>
              <w:t>High</w:t>
            </w:r>
          </w:p>
        </w:tc>
        <w:tc>
          <w:tcPr>
            <w:tcW w:w="2100" w:type="dxa"/>
            <w:tcMar/>
          </w:tcPr>
          <w:p w:rsidR="6A65EC4E" w:rsidRDefault="6A65EC4E" w14:noSpellErr="1" w14:paraId="66984ABA" w14:textId="1D4843F8">
            <w:r w:rsidR="6A65EC4E">
              <w:rPr/>
              <w:t>Resale-margin-dependent, single-vendor intermediary</w:t>
            </w:r>
          </w:p>
        </w:tc>
        <w:tc>
          <w:tcPr>
            <w:tcW w:w="2350" w:type="dxa"/>
            <w:tcMar/>
          </w:tcPr>
          <w:p w:rsidR="6A65EC4E" w:rsidRDefault="6A65EC4E" w14:noSpellErr="1" w14:paraId="55400AE3" w14:textId="16262ABC">
            <w:r w:rsidR="6A65EC4E">
              <w:rPr/>
              <w:t>Supplier-controlled offers and consumption economics [R10; R11]</w:t>
            </w:r>
          </w:p>
        </w:tc>
        <w:tc>
          <w:tcPr>
            <w:tcW w:w="2376" w:type="dxa"/>
            <w:tcMar/>
          </w:tcPr>
          <w:p w:rsidR="6A65EC4E" w:rsidRDefault="6A65EC4E" w14:noSpellErr="1" w14:paraId="2E0CA3D0" w14:textId="0F041180">
            <w:r w:rsidR="6A65EC4E">
              <w:rPr/>
              <w:t>Diversify service value and control supplier-cost exposure</w:t>
            </w:r>
          </w:p>
        </w:tc>
      </w:tr>
      <w:tr w:rsidR="6A65EC4E" w:rsidTr="3927AF3A" w14:paraId="3F8E8F45">
        <w:tc>
          <w:tcPr>
            <w:tcW w:w="2200" w:type="dxa"/>
            <w:tcMar/>
          </w:tcPr>
          <w:p w:rsidR="6A65EC4E" w:rsidRDefault="6A65EC4E" w14:noSpellErr="1" w14:paraId="2E131F5A" w14:textId="261971F5">
            <w:r w:rsidR="6A65EC4E">
              <w:rPr/>
              <w:t>High</w:t>
            </w:r>
          </w:p>
        </w:tc>
        <w:tc>
          <w:tcPr>
            <w:tcW w:w="2100" w:type="dxa"/>
            <w:tcMar/>
          </w:tcPr>
          <w:p w:rsidR="6A65EC4E" w:rsidRDefault="6A65EC4E" w14:noSpellErr="1" w14:paraId="176B0CAE" w14:textId="1EF758B9">
            <w:r w:rsidR="6A65EC4E">
              <w:rPr/>
              <w:t>Project-heavy TSP with weak utilisation and little reuse</w:t>
            </w:r>
          </w:p>
        </w:tc>
        <w:tc>
          <w:tcPr>
            <w:tcW w:w="2350" w:type="dxa"/>
            <w:tcMar/>
          </w:tcPr>
          <w:p w:rsidR="6A65EC4E" w:rsidRDefault="6A65EC4E" w14:noSpellErr="1" w14:paraId="4EE39B90" w14:textId="17D53F7D">
            <w:r w:rsidR="6A65EC4E">
              <w:rPr/>
              <w:t>Bench cost, automated migration and variable demand [R02; R32]</w:t>
            </w:r>
          </w:p>
        </w:tc>
        <w:tc>
          <w:tcPr>
            <w:tcW w:w="2376" w:type="dxa"/>
            <w:tcMar/>
          </w:tcPr>
          <w:p w:rsidR="6A65EC4E" w:rsidRDefault="6A65EC4E" w14:noSpellErr="1" w14:paraId="28704DF5" w14:textId="10B32641">
            <w:r w:rsidR="6A65EC4E">
              <w:rPr/>
              <w:t>Productise delivery and validate the paid expertise premium</w:t>
            </w:r>
          </w:p>
        </w:tc>
      </w:tr>
      <w:tr w:rsidR="6A65EC4E" w:rsidTr="3927AF3A" w14:paraId="5957527D">
        <w:tc>
          <w:tcPr>
            <w:tcW w:w="2200" w:type="dxa"/>
            <w:tcMar/>
          </w:tcPr>
          <w:p w:rsidR="6A65EC4E" w:rsidRDefault="6A65EC4E" w14:noSpellErr="1" w14:paraId="5D61ADE3" w14:textId="27C886B6">
            <w:r w:rsidR="6A65EC4E">
              <w:rPr/>
              <w:t>High</w:t>
            </w:r>
          </w:p>
        </w:tc>
        <w:tc>
          <w:tcPr>
            <w:tcW w:w="2100" w:type="dxa"/>
            <w:tcMar/>
          </w:tcPr>
          <w:p w:rsidR="6A65EC4E" w:rsidRDefault="6A65EC4E" w14:noSpellErr="1" w14:paraId="75CC37A2" w14:textId="20A66D7A">
            <w:r w:rsidR="6A65EC4E">
              <w:rPr/>
              <w:t>Leveraged roll-up with inconsistent delivery</w:t>
            </w:r>
          </w:p>
        </w:tc>
        <w:tc>
          <w:tcPr>
            <w:tcW w:w="2350" w:type="dxa"/>
            <w:tcMar/>
          </w:tcPr>
          <w:p w:rsidR="6A65EC4E" w:rsidRDefault="6A65EC4E" w14:noSpellErr="1" w14:paraId="2763AF0E" w14:textId="1984543E">
            <w:r w:rsidR="6A65EC4E">
              <w:rPr/>
              <w:t>Integration and financing can amplify weak unit economics [M1; R72]</w:t>
            </w:r>
          </w:p>
        </w:tc>
        <w:tc>
          <w:tcPr>
            <w:tcW w:w="2376" w:type="dxa"/>
            <w:tcMar/>
          </w:tcPr>
          <w:p w:rsidR="6A65EC4E" w:rsidRDefault="6A65EC4E" w14:noSpellErr="1" w14:paraId="6C5BCAD5" w14:textId="12623B02">
            <w:r w:rsidR="6A65EC4E">
              <w:rPr/>
              <w:t>Fund integration and stress cash, not only acquired revenue</w:t>
            </w:r>
          </w:p>
        </w:tc>
      </w:tr>
      <w:tr w:rsidR="6A65EC4E" w:rsidTr="3927AF3A" w14:paraId="40B72BCB">
        <w:tc>
          <w:tcPr>
            <w:tcW w:w="2200" w:type="dxa"/>
            <w:tcMar/>
          </w:tcPr>
          <w:p w:rsidR="6A65EC4E" w:rsidRDefault="6A65EC4E" w14:noSpellErr="1" w14:paraId="35463B7F" w14:textId="29779B77">
            <w:r w:rsidR="6A65EC4E">
              <w:rPr/>
              <w:t>Conditional</w:t>
            </w:r>
          </w:p>
        </w:tc>
        <w:tc>
          <w:tcPr>
            <w:tcW w:w="2100" w:type="dxa"/>
            <w:tcMar/>
          </w:tcPr>
          <w:p w:rsidR="6A65EC4E" w:rsidRDefault="6A65EC4E" w14:noSpellErr="1" w14:paraId="4E11C83D" w14:textId="2255823B">
            <w:r w:rsidR="6A65EC4E">
              <w:rPr/>
              <w:t>Small specialist with key-person dependence</w:t>
            </w:r>
          </w:p>
        </w:tc>
        <w:tc>
          <w:tcPr>
            <w:tcW w:w="2350" w:type="dxa"/>
            <w:tcMar/>
          </w:tcPr>
          <w:p w:rsidR="6A65EC4E" w:rsidRDefault="6A65EC4E" w14:noSpellErr="1" w14:paraId="17F1524D" w14:textId="1B3368FF">
            <w:r w:rsidR="6A65EC4E">
              <w:rPr/>
              <w:t>Thin coverage and founder concentration, but potentially strong customer relevance</w:t>
            </w:r>
          </w:p>
        </w:tc>
        <w:tc>
          <w:tcPr>
            <w:tcW w:w="2376" w:type="dxa"/>
            <w:tcMar/>
          </w:tcPr>
          <w:p w:rsidR="6A65EC4E" w:rsidRDefault="6A65EC4E" w14:noSpellErr="1" w14:paraId="21341FC1" w14:textId="14114FC3">
            <w:r w:rsidR="6A65EC4E">
              <w:rPr/>
              <w:t>Partner for coverage and make expertise repeatable</w:t>
            </w:r>
          </w:p>
        </w:tc>
      </w:tr>
      <w:tr w:rsidR="6A65EC4E" w:rsidTr="3927AF3A" w14:paraId="63F599A6">
        <w:tc>
          <w:tcPr>
            <w:tcW w:w="2200" w:type="dxa"/>
            <w:tcMar/>
          </w:tcPr>
          <w:p w:rsidR="6A65EC4E" w:rsidRDefault="6A65EC4E" w14:noSpellErr="1" w14:paraId="1A04B843" w14:textId="2B26B038">
            <w:r w:rsidR="6A65EC4E">
              <w:rPr/>
              <w:t>Relatively lower</w:t>
            </w:r>
          </w:p>
        </w:tc>
        <w:tc>
          <w:tcPr>
            <w:tcW w:w="2100" w:type="dxa"/>
            <w:tcMar/>
          </w:tcPr>
          <w:p w:rsidR="6A65EC4E" w:rsidRDefault="6A65EC4E" w14:noSpellErr="1" w14:paraId="22ED2246" w14:textId="240496FC">
            <w:r w:rsidR="6A65EC4E">
              <w:rPr/>
              <w:t>Efficient provider with differentiated security, data or vertical workflows</w:t>
            </w:r>
          </w:p>
        </w:tc>
        <w:tc>
          <w:tcPr>
            <w:tcW w:w="2350" w:type="dxa"/>
            <w:tcMar/>
          </w:tcPr>
          <w:p w:rsidR="6A65EC4E" w:rsidRDefault="6A65EC4E" w14:noSpellErr="1" w14:paraId="7B9CE127" w14:textId="1CE27DC0">
            <w:r w:rsidR="6A65EC4E">
              <w:rPr/>
              <w:t>Still exposed to platform bundling and new-service competition [R29; R33]</w:t>
            </w:r>
          </w:p>
        </w:tc>
        <w:tc>
          <w:tcPr>
            <w:tcW w:w="2376" w:type="dxa"/>
            <w:tcMar/>
          </w:tcPr>
          <w:p w:rsidR="6A65EC4E" w:rsidRDefault="6A65EC4E" w14:noSpellErr="1" w14:paraId="2A9A1764" w14:textId="15C06484">
            <w:r w:rsidR="6A65EC4E">
              <w:rPr/>
              <w:t>Maintain evidence, renewal quality and reusable delivery assets</w:t>
            </w:r>
          </w:p>
        </w:tc>
      </w:tr>
    </w:tbl>
    <w:p w:rsidR="6A65EC4E" w:rsidRDefault="6A65EC4E" w14:noSpellErr="1" w14:paraId="6A371E00" w14:textId="5E556EEC">
      <w:r w:rsidR="6A65EC4E">
        <w:rPr/>
        <w:t>Size alone is not destiny. A disciplined niche firm can have a stronger position than a larger, undifferentiated consolidator. Nor is a security label sufficient: capability, coverage, economics and customer trust determine the value of the offer. These rankings are causal hypotheses for due diligence, not measured failure probabilities by provider category. [R01; R34; R54; M1]</w:t>
      </w:r>
    </w:p>
    <w:p w:rsidR="6A65EC4E" w:rsidRDefault="6A65EC4E" w14:noSpellErr="1" w14:paraId="3ECC5126" w14:textId="1DD27086">
      <w:r w:rsidR="6A65EC4E">
        <w:rPr/>
        <w:t>In the cohort illustration, 'struggling' means an independent provider that remains primarily conventional and cannot sustain its board-approved return or cash-generation hurdle over repeated reporting periods. It is not defined merely by a lower growth rate or a temporary investment dip. This avoids equating a deliberate transformation trough with structural failure.</w:t>
      </w:r>
    </w:p>
    <w:p w:rsidR="6A65EC4E" w:rsidP="6A65EC4E" w:rsidRDefault="6A65EC4E" w14:paraId="1CA829CA" w14:textId="7413D3A1" w14:noSpellErr="1">
      <w:pPr>
        <w:pStyle w:val="Heading2"/>
      </w:pPr>
      <w:r w:rsidRPr="3927AF3A" w:rsidR="3794A404">
        <w:rPr>
          <w:color w:val="006D77"/>
        </w:rPr>
        <w:t>9.4 What would change the conclusion?</w:t>
      </w:r>
    </w:p>
    <w:tbl>
      <w:tblPr>
        <w:tblStyle w:val="TableGrid"/>
        <w:tblW w:w="0" w:type="auto"/>
        <w:tblLook w:val="0000" w:firstRow="0" w:lastRow="0" w:firstColumn="0" w:lastColumn="0" w:noHBand="0" w:noVBand="0"/>
      </w:tblPr>
      <w:tblGrid>
        <w:gridCol w:w="2400"/>
        <w:gridCol w:w="3150"/>
        <w:gridCol w:w="3476"/>
      </w:tblGrid>
      <w:tr w:rsidR="6A65EC4E" w:rsidTr="3927AF3A" w14:paraId="498ED6AB">
        <w:trPr>
          <w:tblHeader/>
        </w:trPr>
        <w:tc>
          <w:tcPr>
            <w:tcW w:w="2400" w:type="dxa"/>
            <w:tcMar/>
          </w:tcPr>
          <w:p w:rsidR="6A65EC4E" w:rsidRDefault="6A65EC4E" w14:paraId="60F3DA3A" w14:textId="176F7945" w14:noSpellErr="1">
            <w:r w:rsidRPr="3927AF3A" w:rsidR="3794A404">
              <w:rPr>
                <w:b w:val="1"/>
                <w:bCs w:val="1"/>
              </w:rPr>
              <w:t>Signal to test</w:t>
            </w:r>
          </w:p>
        </w:tc>
        <w:tc>
          <w:tcPr>
            <w:tcW w:w="3150" w:type="dxa"/>
            <w:tcMar/>
          </w:tcPr>
          <w:p w:rsidR="6A65EC4E" w:rsidRDefault="6A65EC4E" w14:paraId="6B869D5E" w14:textId="104D6009" w14:noSpellErr="1">
            <w:r w:rsidRPr="3927AF3A" w:rsidR="3794A404">
              <w:rPr>
                <w:b w:val="1"/>
                <w:bCs w:val="1"/>
              </w:rPr>
              <w:t>Evidence favouring survival</w:t>
            </w:r>
          </w:p>
        </w:tc>
        <w:tc>
          <w:tcPr>
            <w:tcW w:w="3476" w:type="dxa"/>
            <w:tcMar/>
          </w:tcPr>
          <w:p w:rsidR="6A65EC4E" w:rsidRDefault="6A65EC4E" w14:paraId="3DA02CCC" w14:textId="092B46CD" w14:noSpellErr="1">
            <w:r w:rsidRPr="3927AF3A" w:rsidR="3794A404">
              <w:rPr>
                <w:b w:val="1"/>
                <w:bCs w:val="1"/>
              </w:rPr>
              <w:t>Evidence favouring disruption</w:t>
            </w:r>
          </w:p>
        </w:tc>
      </w:tr>
      <w:tr w:rsidR="6A65EC4E" w:rsidTr="3927AF3A" w14:paraId="51442318">
        <w:tc>
          <w:tcPr>
            <w:tcW w:w="2400" w:type="dxa"/>
            <w:tcMar/>
          </w:tcPr>
          <w:p w:rsidR="6A65EC4E" w:rsidRDefault="6A65EC4E" w14:noSpellErr="1" w14:paraId="6462352C" w14:textId="2040A742">
            <w:r w:rsidR="6A65EC4E">
              <w:rPr/>
              <w:t>Conventional contract economics</w:t>
            </w:r>
          </w:p>
        </w:tc>
        <w:tc>
          <w:tcPr>
            <w:tcW w:w="3150" w:type="dxa"/>
            <w:tcMar/>
          </w:tcPr>
          <w:p w:rsidR="6A65EC4E" w:rsidRDefault="6A65EC4E" w14:noSpellErr="1" w14:paraId="67C51D47" w14:textId="191E8E06">
            <w:r w:rsidR="6A65EC4E">
              <w:rPr/>
              <w:t>Real price and retained gross profit rise without major redesign</w:t>
            </w:r>
          </w:p>
        </w:tc>
        <w:tc>
          <w:tcPr>
            <w:tcW w:w="3476" w:type="dxa"/>
            <w:tcMar/>
          </w:tcPr>
          <w:p w:rsidR="6A65EC4E" w:rsidRDefault="6A65EC4E" w14:noSpellErr="1" w14:paraId="5A188CC3" w14:textId="11FC74CA">
            <w:r w:rsidR="6A65EC4E">
              <w:rPr/>
              <w:t>Like-for-like contribution falls despite stable customers</w:t>
            </w:r>
          </w:p>
        </w:tc>
      </w:tr>
      <w:tr w:rsidR="6A65EC4E" w:rsidTr="3927AF3A" w14:paraId="27F2DAAE">
        <w:tc>
          <w:tcPr>
            <w:tcW w:w="2400" w:type="dxa"/>
            <w:tcMar/>
          </w:tcPr>
          <w:p w:rsidR="6A65EC4E" w:rsidRDefault="6A65EC4E" w14:noSpellErr="1" w14:paraId="4A9DADA1" w14:textId="2911D53F">
            <w:r w:rsidR="6A65EC4E">
              <w:rPr/>
              <w:t>Native automation in production</w:t>
            </w:r>
          </w:p>
        </w:tc>
        <w:tc>
          <w:tcPr>
            <w:tcW w:w="3150" w:type="dxa"/>
            <w:tcMar/>
          </w:tcPr>
          <w:p w:rsidR="6A65EC4E" w:rsidRDefault="6A65EC4E" w14:noSpellErr="1" w14:paraId="55C3C30E" w14:textId="21EFBC03">
            <w:r w:rsidR="6A65EC4E">
              <w:rPr/>
              <w:t>Tools remain costly, unreliable or limited to low-value work</w:t>
            </w:r>
          </w:p>
        </w:tc>
        <w:tc>
          <w:tcPr>
            <w:tcW w:w="3476" w:type="dxa"/>
            <w:tcMar/>
          </w:tcPr>
          <w:p w:rsidR="6A65EC4E" w:rsidRDefault="6A65EC4E" w14:noSpellErr="1" w14:paraId="27B4E276" w14:textId="1ACDA2C7">
            <w:r w:rsidR="6A65EC4E">
              <w:rPr/>
              <w:t>Audited end-to-end savings expand into complete service workflows</w:t>
            </w:r>
          </w:p>
        </w:tc>
      </w:tr>
      <w:tr w:rsidR="6A65EC4E" w:rsidTr="3927AF3A" w14:paraId="49D58442">
        <w:tc>
          <w:tcPr>
            <w:tcW w:w="2400" w:type="dxa"/>
            <w:tcMar/>
          </w:tcPr>
          <w:p w:rsidR="6A65EC4E" w:rsidRDefault="6A65EC4E" w14:noSpellErr="1" w14:paraId="68A6AB4F" w14:textId="31E3033C">
            <w:r w:rsidR="6A65EC4E">
              <w:rPr/>
              <w:t>Customer willingness to pay</w:t>
            </w:r>
          </w:p>
        </w:tc>
        <w:tc>
          <w:tcPr>
            <w:tcW w:w="3150" w:type="dxa"/>
            <w:tcMar/>
          </w:tcPr>
          <w:p w:rsidR="6A65EC4E" w:rsidRDefault="6A65EC4E" w14:noSpellErr="1" w14:paraId="5D57DD46" w14:textId="2AC0EA00">
            <w:r w:rsidR="6A65EC4E">
              <w:rPr/>
              <w:t>Renewals reward accountability beyond the platform licence</w:t>
            </w:r>
          </w:p>
        </w:tc>
        <w:tc>
          <w:tcPr>
            <w:tcW w:w="3476" w:type="dxa"/>
            <w:tcMar/>
          </w:tcPr>
          <w:p w:rsidR="6A65EC4E" w:rsidRDefault="6A65EC4E" w14:noSpellErr="1" w14:paraId="2A7535EA" w14:textId="239ED0C4">
            <w:r w:rsidR="6A65EC4E">
              <w:rPr/>
              <w:t>Buyers remove fees for duplicated administrative functions</w:t>
            </w:r>
          </w:p>
        </w:tc>
      </w:tr>
      <w:tr w:rsidR="6A65EC4E" w:rsidTr="3927AF3A" w14:paraId="716A17BE">
        <w:tc>
          <w:tcPr>
            <w:tcW w:w="2400" w:type="dxa"/>
            <w:tcMar/>
          </w:tcPr>
          <w:p w:rsidR="6A65EC4E" w:rsidRDefault="6A65EC4E" w14:noSpellErr="1" w14:paraId="53C24B75" w14:textId="3AB43139">
            <w:r w:rsidR="6A65EC4E">
              <w:rPr/>
              <w:t>New-service economics</w:t>
            </w:r>
          </w:p>
        </w:tc>
        <w:tc>
          <w:tcPr>
            <w:tcW w:w="3150" w:type="dxa"/>
            <w:tcMar/>
          </w:tcPr>
          <w:p w:rsidR="6A65EC4E" w:rsidRDefault="6A65EC4E" w14:noSpellErr="1" w14:paraId="4CE0C946" w14:textId="339217FD">
            <w:r w:rsidR="6A65EC4E">
              <w:rPr/>
              <w:t>Paid pilots renew with attractive fully loaded contribution</w:t>
            </w:r>
          </w:p>
        </w:tc>
        <w:tc>
          <w:tcPr>
            <w:tcW w:w="3476" w:type="dxa"/>
            <w:tcMar/>
          </w:tcPr>
          <w:p w:rsidR="6A65EC4E" w:rsidRDefault="6A65EC4E" w14:noSpellErr="1" w14:paraId="72C5028A" w14:textId="2C6FFEC1">
            <w:r w:rsidR="6A65EC4E">
              <w:rPr/>
              <w:t>Generic AI projects are competed away or remain unprofitable</w:t>
            </w:r>
          </w:p>
        </w:tc>
      </w:tr>
      <w:tr w:rsidR="6A65EC4E" w:rsidTr="3927AF3A" w14:paraId="6D3D85D2">
        <w:tc>
          <w:tcPr>
            <w:tcW w:w="2400" w:type="dxa"/>
            <w:tcMar/>
          </w:tcPr>
          <w:p w:rsidR="6A65EC4E" w:rsidRDefault="6A65EC4E" w14:noSpellErr="1" w14:paraId="70B70332" w14:textId="43855F36">
            <w:r w:rsidR="6A65EC4E">
              <w:rPr/>
              <w:t>Supplier / channel relationship</w:t>
            </w:r>
          </w:p>
        </w:tc>
        <w:tc>
          <w:tcPr>
            <w:tcW w:w="3150" w:type="dxa"/>
            <w:tcMar/>
          </w:tcPr>
          <w:p w:rsidR="6A65EC4E" w:rsidRDefault="6A65EC4E" w14:noSpellErr="1" w14:paraId="76D90604" w14:textId="3C6345FA">
            <w:r w:rsidR="6A65EC4E">
              <w:rPr/>
              <w:t>Partners retain access, incentives and differentiation</w:t>
            </w:r>
          </w:p>
        </w:tc>
        <w:tc>
          <w:tcPr>
            <w:tcW w:w="3476" w:type="dxa"/>
            <w:tcMar/>
          </w:tcPr>
          <w:p w:rsidR="6A65EC4E" w:rsidRDefault="6A65EC4E" w14:noSpellErr="1" w14:paraId="13A125C2" w14:textId="35412CBE">
            <w:r w:rsidR="6A65EC4E">
              <w:rPr/>
              <w:t>Suppliers absorb more scope while partner economics deteriorate</w:t>
            </w:r>
          </w:p>
        </w:tc>
      </w:tr>
    </w:tbl>
    <w:p w:rsidR="6A65EC4E" w:rsidRDefault="6A65EC4E" w14:noSpellErr="1" w14:paraId="1394E5F0" w14:textId="4DC6D057">
      <w:r w:rsidR="6A65EC4E">
        <w:rPr/>
        <w:t>Monitor future releases of the MSP profitability benchmark, ISG contract data and official supplier announcements, but prioritise the company's own matched customer cohorts. External sources differ too much in population and accounting to serve as automatic triggers for an individual board. A falsifiable strategy specifies what evidence would justify accelerating, narrowing or stopping a transformation investment. [R01; R05; R11; M1]</w:t>
      </w:r>
    </w:p>
    <w:p w:rsidR="6A65EC4E" w:rsidP="6A65EC4E" w:rsidRDefault="6A65EC4E" w14:noSpellErr="1" w14:paraId="7031EA7F" w14:textId="2F0546FE">
      <w:pPr>
        <w:pStyle w:val="Normal"/>
      </w:pPr>
      <w:r w:rsidR="6A65EC4E">
        <w:rPr/>
        <w:t>Cohort limitation: the illustration assumes surviving independent firms either materially modernise or struggle. Modernisation can preserve per-user pricing while changing delivery. Unchanged but healthy independent survivors would require a separate category; the selected four-way allocation does not estimate that possibility. This is a planning condition, not a finding that such survivors cannot exist.</w:t>
      </w:r>
    </w:p>
    <w:p w:rsidR="6A65EC4E" w:rsidP="6A65EC4E" w:rsidRDefault="6A65EC4E" w14:paraId="4EC99068" w14:textId="32528550" w14:noSpellErr="1">
      <w:pPr>
        <w:pStyle w:val="Heading1"/>
      </w:pPr>
      <w:r w:rsidRPr="3927AF3A" w:rsidR="3794A404">
        <w:rPr>
          <w:color w:val="17365D" w:themeColor="text2" w:themeTint="FF" w:themeShade="BF"/>
        </w:rPr>
        <w:t>10. Transformation Framework</w:t>
      </w:r>
    </w:p>
    <w:p w:rsidR="6A65EC4E" w:rsidRDefault="6A65EC4E" w14:noSpellErr="1" w14:paraId="12B21A02" w14:textId="54FF8A44">
      <w:r w:rsidR="6A65EC4E">
        <w:rPr/>
        <w:t>The recommended destination is not a collection of disconnected AI projects. It is a provider that can demonstrate business and security outcomes, deliver repeatably at lower human effort, and retain a recurring relationship around controls, workflows and improvement. Sequence the transition so that today's cash-generating core funds tomorrow's capabilities. Do not abandon profitable support before a replacement offer has validated demand and contribution margin.</w:t>
      </w:r>
    </w:p>
    <w:p w:rsidR="6A65EC4E" w:rsidP="6A65EC4E" w:rsidRDefault="6A65EC4E" w14:paraId="62F5B49D" w14:textId="703E1DFA" w14:noSpellErr="1">
      <w:pPr>
        <w:pStyle w:val="Heading2"/>
      </w:pPr>
      <w:r w:rsidRPr="3927AF3A" w:rsidR="3794A404">
        <w:rPr>
          <w:color w:val="006D77"/>
        </w:rPr>
        <w:t>10.1 Prioritise offers by economics and defensibility</w:t>
      </w:r>
    </w:p>
    <w:tbl>
      <w:tblPr>
        <w:tblStyle w:val="TableGrid"/>
        <w:tblW w:w="0" w:type="auto"/>
        <w:tblLook w:val="0000" w:firstRow="0" w:lastRow="0" w:firstColumn="0" w:lastColumn="0" w:noHBand="0" w:noVBand="0"/>
      </w:tblPr>
      <w:tblGrid>
        <w:gridCol w:w="2100"/>
        <w:gridCol w:w="950"/>
        <w:gridCol w:w="1250"/>
        <w:gridCol w:w="1250"/>
        <w:gridCol w:w="1350"/>
        <w:gridCol w:w="2126"/>
      </w:tblGrid>
      <w:tr w:rsidR="6A65EC4E" w:rsidTr="3927AF3A" w14:paraId="3B8176E3">
        <w:trPr>
          <w:tblHeader/>
        </w:trPr>
        <w:tc>
          <w:tcPr>
            <w:tcW w:w="2100" w:type="dxa"/>
            <w:tcMar/>
          </w:tcPr>
          <w:p w:rsidR="6A65EC4E" w:rsidRDefault="6A65EC4E" w14:paraId="30AA9174" w14:textId="0A749556" w14:noSpellErr="1">
            <w:r w:rsidRPr="3927AF3A" w:rsidR="3794A404">
              <w:rPr>
                <w:b w:val="1"/>
                <w:bCs w:val="1"/>
              </w:rPr>
              <w:t>Priority / opportunity</w:t>
            </w:r>
          </w:p>
        </w:tc>
        <w:tc>
          <w:tcPr>
            <w:tcW w:w="950" w:type="dxa"/>
            <w:tcMar/>
          </w:tcPr>
          <w:p w:rsidR="6A65EC4E" w:rsidRDefault="6A65EC4E" w14:noSpellErr="1" w14:paraId="17BF67D5" w14:textId="03527C1A">
            <w:r w:rsidR="6A65EC4E">
              <w:rPr/>
              <w:t>Urgency</w:t>
            </w:r>
          </w:p>
        </w:tc>
        <w:tc>
          <w:tcPr>
            <w:tcW w:w="1250" w:type="dxa"/>
            <w:tcMar/>
          </w:tcPr>
          <w:p w:rsidR="6A65EC4E" w:rsidRDefault="6A65EC4E" w14:noSpellErr="1" w14:paraId="4E61463E" w14:textId="7C3062DE">
            <w:r w:rsidR="6A65EC4E">
              <w:rPr/>
              <w:t>Revenue potential</w:t>
            </w:r>
          </w:p>
        </w:tc>
        <w:tc>
          <w:tcPr>
            <w:tcW w:w="1250" w:type="dxa"/>
            <w:tcMar/>
          </w:tcPr>
          <w:p w:rsidR="6A65EC4E" w:rsidRDefault="6A65EC4E" w14:paraId="3433F193" w14:textId="750E49A2" w14:noSpellErr="1">
            <w:r w:rsidRPr="3927AF3A" w:rsidR="3794A404">
              <w:rPr>
                <w:b w:val="1"/>
                <w:bCs w:val="1"/>
              </w:rPr>
              <w:t>Margin potential</w:t>
            </w:r>
          </w:p>
        </w:tc>
        <w:tc>
          <w:tcPr>
            <w:tcW w:w="1350" w:type="dxa"/>
            <w:tcMar/>
          </w:tcPr>
          <w:p w:rsidR="6A65EC4E" w:rsidRDefault="6A65EC4E" w14:paraId="10237A27" w14:textId="6DEC3066" w14:noSpellErr="1">
            <w:r w:rsidRPr="3927AF3A" w:rsidR="3794A404">
              <w:rPr>
                <w:b w:val="1"/>
                <w:bCs w:val="1"/>
              </w:rPr>
              <w:t>Defensibility</w:t>
            </w:r>
          </w:p>
        </w:tc>
        <w:tc>
          <w:tcPr>
            <w:tcW w:w="2126" w:type="dxa"/>
            <w:tcMar/>
          </w:tcPr>
          <w:p w:rsidR="6A65EC4E" w:rsidRDefault="6A65EC4E" w14:paraId="15A75CC8" w14:textId="66CA172A" w14:noSpellErr="1">
            <w:r w:rsidRPr="3927AF3A" w:rsidR="3794A404">
              <w:rPr>
                <w:b w:val="1"/>
                <w:bCs w:val="1"/>
              </w:rPr>
              <w:t>Reason to win</w:t>
            </w:r>
          </w:p>
        </w:tc>
      </w:tr>
      <w:tr w:rsidR="6A65EC4E" w:rsidTr="3927AF3A" w14:paraId="3C21488E">
        <w:tc>
          <w:tcPr>
            <w:tcW w:w="2100" w:type="dxa"/>
            <w:tcMar/>
          </w:tcPr>
          <w:p w:rsidR="6A65EC4E" w:rsidRDefault="6A65EC4E" w14:noSpellErr="1" w14:paraId="11AED431" w14:textId="7DDF779F">
            <w:r w:rsidR="6A65EC4E">
              <w:rPr/>
              <w:t>1. Security, identity and recovery</w:t>
            </w:r>
          </w:p>
        </w:tc>
        <w:tc>
          <w:tcPr>
            <w:tcW w:w="950" w:type="dxa"/>
            <w:tcMar/>
          </w:tcPr>
          <w:p w:rsidR="6A65EC4E" w:rsidRDefault="6A65EC4E" w14:noSpellErr="1" w14:paraId="2DD2769B" w14:textId="76BD5E63">
            <w:r w:rsidR="6A65EC4E">
              <w:rPr/>
              <w:t>High</w:t>
            </w:r>
          </w:p>
        </w:tc>
        <w:tc>
          <w:tcPr>
            <w:tcW w:w="1250" w:type="dxa"/>
            <w:tcMar/>
          </w:tcPr>
          <w:p w:rsidR="6A65EC4E" w:rsidRDefault="6A65EC4E" w14:noSpellErr="1" w14:paraId="5B1DED40" w14:textId="6F9B4527">
            <w:r w:rsidR="6A65EC4E">
              <w:rPr/>
              <w:t>High</w:t>
            </w:r>
          </w:p>
        </w:tc>
        <w:tc>
          <w:tcPr>
            <w:tcW w:w="1250" w:type="dxa"/>
            <w:tcMar/>
          </w:tcPr>
          <w:p w:rsidR="6A65EC4E" w:rsidRDefault="6A65EC4E" w14:noSpellErr="1" w14:paraId="76D52A73" w14:textId="68792BEB">
            <w:r w:rsidR="6A65EC4E">
              <w:rPr/>
              <w:t>Medium-high</w:t>
            </w:r>
          </w:p>
        </w:tc>
        <w:tc>
          <w:tcPr>
            <w:tcW w:w="1350" w:type="dxa"/>
            <w:tcMar/>
          </w:tcPr>
          <w:p w:rsidR="6A65EC4E" w:rsidRDefault="6A65EC4E" w14:noSpellErr="1" w14:paraId="24E7EF45" w14:textId="615712AF">
            <w:r w:rsidR="6A65EC4E">
              <w:rPr/>
              <w:t>High if evidenced</w:t>
            </w:r>
          </w:p>
        </w:tc>
        <w:tc>
          <w:tcPr>
            <w:tcW w:w="2126" w:type="dxa"/>
            <w:tcMar/>
          </w:tcPr>
          <w:p w:rsidR="6A65EC4E" w:rsidRDefault="6A65EC4E" w14:noSpellErr="1" w14:paraId="3634AD65" w14:textId="5A34F973">
            <w:r w:rsidR="6A65EC4E">
              <w:rPr/>
              <w:t>Accountability and integrated controls</w:t>
            </w:r>
          </w:p>
        </w:tc>
      </w:tr>
      <w:tr w:rsidR="6A65EC4E" w:rsidTr="3927AF3A" w14:paraId="77C5FDC6">
        <w:tc>
          <w:tcPr>
            <w:tcW w:w="2100" w:type="dxa"/>
            <w:tcMar/>
          </w:tcPr>
          <w:p w:rsidR="6A65EC4E" w:rsidRDefault="6A65EC4E" w14:noSpellErr="1" w14:paraId="2D671245" w14:textId="714A59E8">
            <w:r w:rsidR="6A65EC4E">
              <w:rPr/>
              <w:t>2. Business-process automation</w:t>
            </w:r>
          </w:p>
        </w:tc>
        <w:tc>
          <w:tcPr>
            <w:tcW w:w="950" w:type="dxa"/>
            <w:tcMar/>
          </w:tcPr>
          <w:p w:rsidR="6A65EC4E" w:rsidRDefault="6A65EC4E" w14:noSpellErr="1" w14:paraId="3CBBE076" w14:textId="6A2840AC">
            <w:r w:rsidR="6A65EC4E">
              <w:rPr/>
              <w:t>High</w:t>
            </w:r>
          </w:p>
        </w:tc>
        <w:tc>
          <w:tcPr>
            <w:tcW w:w="1250" w:type="dxa"/>
            <w:tcMar/>
          </w:tcPr>
          <w:p w:rsidR="6A65EC4E" w:rsidRDefault="6A65EC4E" w14:noSpellErr="1" w14:paraId="670B4AC5" w14:textId="63062770">
            <w:r w:rsidR="6A65EC4E">
              <w:rPr/>
              <w:t>High</w:t>
            </w:r>
          </w:p>
        </w:tc>
        <w:tc>
          <w:tcPr>
            <w:tcW w:w="1250" w:type="dxa"/>
            <w:tcMar/>
          </w:tcPr>
          <w:p w:rsidR="6A65EC4E" w:rsidRDefault="6A65EC4E" w14:noSpellErr="1" w14:paraId="78B3898D" w14:textId="5BE40E34">
            <w:r w:rsidR="6A65EC4E">
              <w:rPr/>
              <w:t>High if reusable</w:t>
            </w:r>
          </w:p>
        </w:tc>
        <w:tc>
          <w:tcPr>
            <w:tcW w:w="1350" w:type="dxa"/>
            <w:tcMar/>
          </w:tcPr>
          <w:p w:rsidR="6A65EC4E" w:rsidRDefault="6A65EC4E" w14:noSpellErr="1" w14:paraId="5C44E837" w14:textId="54C1F4F8">
            <w:r w:rsidR="6A65EC4E">
              <w:rPr/>
              <w:t>High if vertical</w:t>
            </w:r>
          </w:p>
        </w:tc>
        <w:tc>
          <w:tcPr>
            <w:tcW w:w="2126" w:type="dxa"/>
            <w:tcMar/>
          </w:tcPr>
          <w:p w:rsidR="6A65EC4E" w:rsidRDefault="6A65EC4E" w14:noSpellErr="1" w14:paraId="5FACB9CB" w14:textId="4D9FDBBC">
            <w:r w:rsidR="6A65EC4E">
              <w:rPr/>
              <w:t>Own a measurable workflow</w:t>
            </w:r>
          </w:p>
        </w:tc>
      </w:tr>
      <w:tr w:rsidR="6A65EC4E" w:rsidTr="3927AF3A" w14:paraId="1E74C9DD">
        <w:tc>
          <w:tcPr>
            <w:tcW w:w="2100" w:type="dxa"/>
            <w:tcMar/>
          </w:tcPr>
          <w:p w:rsidR="6A65EC4E" w:rsidRDefault="6A65EC4E" w14:noSpellErr="1" w14:paraId="4E57B166" w14:textId="64B53C31">
            <w:r w:rsidR="6A65EC4E">
              <w:rPr/>
              <w:t>3. AI governance and assurance</w:t>
            </w:r>
          </w:p>
        </w:tc>
        <w:tc>
          <w:tcPr>
            <w:tcW w:w="950" w:type="dxa"/>
            <w:tcMar/>
          </w:tcPr>
          <w:p w:rsidR="6A65EC4E" w:rsidRDefault="6A65EC4E" w14:noSpellErr="1" w14:paraId="3A3C70AF" w14:textId="5D9322F5">
            <w:r w:rsidR="6A65EC4E">
              <w:rPr/>
              <w:t>High</w:t>
            </w:r>
          </w:p>
        </w:tc>
        <w:tc>
          <w:tcPr>
            <w:tcW w:w="1250" w:type="dxa"/>
            <w:tcMar/>
          </w:tcPr>
          <w:p w:rsidR="6A65EC4E" w:rsidRDefault="6A65EC4E" w14:noSpellErr="1" w14:paraId="5F2D823B" w14:textId="567109B9">
            <w:r w:rsidR="6A65EC4E">
              <w:rPr/>
              <w:t>Medium-high</w:t>
            </w:r>
          </w:p>
        </w:tc>
        <w:tc>
          <w:tcPr>
            <w:tcW w:w="1250" w:type="dxa"/>
            <w:tcMar/>
          </w:tcPr>
          <w:p w:rsidR="6A65EC4E" w:rsidRDefault="6A65EC4E" w14:noSpellErr="1" w14:paraId="5A674F5F" w14:textId="4F4EF07D">
            <w:r w:rsidR="6A65EC4E">
              <w:rPr/>
              <w:t>Medium-high</w:t>
            </w:r>
          </w:p>
        </w:tc>
        <w:tc>
          <w:tcPr>
            <w:tcW w:w="1350" w:type="dxa"/>
            <w:tcMar/>
          </w:tcPr>
          <w:p w:rsidR="6A65EC4E" w:rsidRDefault="6A65EC4E" w14:noSpellErr="1" w14:paraId="1532B26D" w14:textId="482CD741">
            <w:r w:rsidR="6A65EC4E">
              <w:rPr/>
              <w:t>High if ongoing</w:t>
            </w:r>
          </w:p>
        </w:tc>
        <w:tc>
          <w:tcPr>
            <w:tcW w:w="2126" w:type="dxa"/>
            <w:tcMar/>
          </w:tcPr>
          <w:p w:rsidR="6A65EC4E" w:rsidRDefault="6A65EC4E" w14:noSpellErr="1" w14:paraId="6F04C189" w14:textId="410ABE05">
            <w:r w:rsidR="6A65EC4E">
              <w:rPr/>
              <w:t>Controls, evidence and change management</w:t>
            </w:r>
          </w:p>
        </w:tc>
      </w:tr>
      <w:tr w:rsidR="6A65EC4E" w:rsidTr="3927AF3A" w14:paraId="42D1A01D">
        <w:tc>
          <w:tcPr>
            <w:tcW w:w="2100" w:type="dxa"/>
            <w:tcMar/>
          </w:tcPr>
          <w:p w:rsidR="6A65EC4E" w:rsidRDefault="6A65EC4E" w14:noSpellErr="1" w14:paraId="29A29F2B" w14:textId="58201E7A">
            <w:r w:rsidR="6A65EC4E">
              <w:rPr/>
              <w:t>4. Data readiness and stewardship</w:t>
            </w:r>
          </w:p>
        </w:tc>
        <w:tc>
          <w:tcPr>
            <w:tcW w:w="950" w:type="dxa"/>
            <w:tcMar/>
          </w:tcPr>
          <w:p w:rsidR="6A65EC4E" w:rsidRDefault="6A65EC4E" w14:noSpellErr="1" w14:paraId="5550A395" w14:textId="50FE053E">
            <w:r w:rsidR="6A65EC4E">
              <w:rPr/>
              <w:t>High</w:t>
            </w:r>
          </w:p>
        </w:tc>
        <w:tc>
          <w:tcPr>
            <w:tcW w:w="1250" w:type="dxa"/>
            <w:tcMar/>
          </w:tcPr>
          <w:p w:rsidR="6A65EC4E" w:rsidRDefault="6A65EC4E" w14:noSpellErr="1" w14:paraId="431D852D" w14:textId="49DBEC02">
            <w:r w:rsidR="6A65EC4E">
              <w:rPr/>
              <w:t>High</w:t>
            </w:r>
          </w:p>
        </w:tc>
        <w:tc>
          <w:tcPr>
            <w:tcW w:w="1250" w:type="dxa"/>
            <w:tcMar/>
          </w:tcPr>
          <w:p w:rsidR="6A65EC4E" w:rsidRDefault="6A65EC4E" w14:noSpellErr="1" w14:paraId="7A4B4240" w14:textId="42B9D2C6">
            <w:r w:rsidR="6A65EC4E">
              <w:rPr/>
              <w:t>Medium</w:t>
            </w:r>
          </w:p>
        </w:tc>
        <w:tc>
          <w:tcPr>
            <w:tcW w:w="1350" w:type="dxa"/>
            <w:tcMar/>
          </w:tcPr>
          <w:p w:rsidR="6A65EC4E" w:rsidRDefault="6A65EC4E" w14:noSpellErr="1" w14:paraId="76B915D4" w14:textId="3B97B98A">
            <w:r w:rsidR="6A65EC4E">
              <w:rPr/>
              <w:t>High</w:t>
            </w:r>
          </w:p>
        </w:tc>
        <w:tc>
          <w:tcPr>
            <w:tcW w:w="2126" w:type="dxa"/>
            <w:tcMar/>
          </w:tcPr>
          <w:p w:rsidR="6A65EC4E" w:rsidRDefault="6A65EC4E" w14:noSpellErr="1" w14:paraId="40CDBC69" w14:textId="3475A04E">
            <w:r w:rsidR="6A65EC4E">
              <w:rPr/>
              <w:t>Business context and trusted data</w:t>
            </w:r>
          </w:p>
        </w:tc>
      </w:tr>
      <w:tr w:rsidR="6A65EC4E" w:rsidTr="3927AF3A" w14:paraId="3FE5AC1C">
        <w:tc>
          <w:tcPr>
            <w:tcW w:w="2100" w:type="dxa"/>
            <w:tcMar/>
          </w:tcPr>
          <w:p w:rsidR="6A65EC4E" w:rsidRDefault="6A65EC4E" w14:noSpellErr="1" w14:paraId="6AFD5582" w14:textId="4B8B00C3">
            <w:r w:rsidR="6A65EC4E">
              <w:rPr/>
              <w:t>5. Managed AI / agent operations</w:t>
            </w:r>
          </w:p>
        </w:tc>
        <w:tc>
          <w:tcPr>
            <w:tcW w:w="950" w:type="dxa"/>
            <w:tcMar/>
          </w:tcPr>
          <w:p w:rsidR="6A65EC4E" w:rsidRDefault="6A65EC4E" w14:noSpellErr="1" w14:paraId="659B4B05" w14:textId="4468E787">
            <w:r w:rsidR="6A65EC4E">
              <w:rPr/>
              <w:t>High</w:t>
            </w:r>
          </w:p>
        </w:tc>
        <w:tc>
          <w:tcPr>
            <w:tcW w:w="1250" w:type="dxa"/>
            <w:tcMar/>
          </w:tcPr>
          <w:p w:rsidR="6A65EC4E" w:rsidRDefault="6A65EC4E" w14:noSpellErr="1" w14:paraId="749A3188" w14:textId="3D46CE4B">
            <w:r w:rsidR="6A65EC4E">
              <w:rPr/>
              <w:t>High</w:t>
            </w:r>
          </w:p>
        </w:tc>
        <w:tc>
          <w:tcPr>
            <w:tcW w:w="1250" w:type="dxa"/>
            <w:tcMar/>
          </w:tcPr>
          <w:p w:rsidR="6A65EC4E" w:rsidRDefault="6A65EC4E" w14:noSpellErr="1" w14:paraId="4D769D43" w14:textId="3624B50F">
            <w:r w:rsidR="6A65EC4E">
              <w:rPr/>
              <w:t>Unproven initially</w:t>
            </w:r>
          </w:p>
        </w:tc>
        <w:tc>
          <w:tcPr>
            <w:tcW w:w="1350" w:type="dxa"/>
            <w:tcMar/>
          </w:tcPr>
          <w:p w:rsidR="6A65EC4E" w:rsidRDefault="6A65EC4E" w14:noSpellErr="1" w14:paraId="6F338CB9" w14:textId="2F029BD3">
            <w:r w:rsidR="6A65EC4E">
              <w:rPr/>
              <w:t>Medium-high</w:t>
            </w:r>
          </w:p>
        </w:tc>
        <w:tc>
          <w:tcPr>
            <w:tcW w:w="2126" w:type="dxa"/>
            <w:tcMar/>
          </w:tcPr>
          <w:p w:rsidR="6A65EC4E" w:rsidRDefault="6A65EC4E" w14:noSpellErr="1" w14:paraId="2AF34D4D" w14:textId="27E08297">
            <w:r w:rsidR="6A65EC4E">
              <w:rPr/>
              <w:t>Evaluation, cost and lifecycle ownership</w:t>
            </w:r>
          </w:p>
        </w:tc>
      </w:tr>
      <w:tr w:rsidR="6A65EC4E" w:rsidTr="3927AF3A" w14:paraId="33F3CD83">
        <w:tc>
          <w:tcPr>
            <w:tcW w:w="2100" w:type="dxa"/>
            <w:tcMar/>
          </w:tcPr>
          <w:p w:rsidR="6A65EC4E" w:rsidRDefault="6A65EC4E" w14:noSpellErr="1" w14:paraId="5C4D7BB1" w14:textId="3EF5E30C">
            <w:r w:rsidR="6A65EC4E">
              <w:rPr/>
              <w:t>6. AI implementation and adoption</w:t>
            </w:r>
          </w:p>
        </w:tc>
        <w:tc>
          <w:tcPr>
            <w:tcW w:w="950" w:type="dxa"/>
            <w:tcMar/>
          </w:tcPr>
          <w:p w:rsidR="6A65EC4E" w:rsidRDefault="6A65EC4E" w14:noSpellErr="1" w14:paraId="302BCE52" w14:textId="37D3C9D0">
            <w:r w:rsidR="6A65EC4E">
              <w:rPr/>
              <w:t>High</w:t>
            </w:r>
          </w:p>
        </w:tc>
        <w:tc>
          <w:tcPr>
            <w:tcW w:w="1250" w:type="dxa"/>
            <w:tcMar/>
          </w:tcPr>
          <w:p w:rsidR="6A65EC4E" w:rsidRDefault="6A65EC4E" w14:noSpellErr="1" w14:paraId="79B4BAF2" w14:textId="30B1B094">
            <w:r w:rsidR="6A65EC4E">
              <w:rPr/>
              <w:t>High</w:t>
            </w:r>
          </w:p>
        </w:tc>
        <w:tc>
          <w:tcPr>
            <w:tcW w:w="1250" w:type="dxa"/>
            <w:tcMar/>
          </w:tcPr>
          <w:p w:rsidR="6A65EC4E" w:rsidRDefault="6A65EC4E" w14:noSpellErr="1" w14:paraId="64ABA733" w14:textId="298F9758">
            <w:r w:rsidR="6A65EC4E">
              <w:rPr/>
              <w:t>Medium</w:t>
            </w:r>
          </w:p>
        </w:tc>
        <w:tc>
          <w:tcPr>
            <w:tcW w:w="1350" w:type="dxa"/>
            <w:tcMar/>
          </w:tcPr>
          <w:p w:rsidR="6A65EC4E" w:rsidRDefault="6A65EC4E" w14:noSpellErr="1" w14:paraId="34407143" w14:textId="226D7E1C">
            <w:r w:rsidR="6A65EC4E">
              <w:rPr/>
              <w:t>Medium</w:t>
            </w:r>
          </w:p>
        </w:tc>
        <w:tc>
          <w:tcPr>
            <w:tcW w:w="2126" w:type="dxa"/>
            <w:tcMar/>
          </w:tcPr>
          <w:p w:rsidR="6A65EC4E" w:rsidRDefault="6A65EC4E" w14:noSpellErr="1" w14:paraId="6E630C86" w14:textId="1B4B64E0">
            <w:r w:rsidR="6A65EC4E">
              <w:rPr/>
              <w:t>Integration and sustained adoption</w:t>
            </w:r>
          </w:p>
        </w:tc>
      </w:tr>
      <w:tr w:rsidR="6A65EC4E" w:rsidTr="3927AF3A" w14:paraId="2F7940DE">
        <w:tc>
          <w:tcPr>
            <w:tcW w:w="2100" w:type="dxa"/>
            <w:tcMar/>
          </w:tcPr>
          <w:p w:rsidR="6A65EC4E" w:rsidRDefault="6A65EC4E" w14:noSpellErr="1" w14:paraId="32D944CF" w14:textId="3260C555">
            <w:r w:rsidR="6A65EC4E">
              <w:rPr/>
              <w:t>7. Vertical compliance services</w:t>
            </w:r>
          </w:p>
        </w:tc>
        <w:tc>
          <w:tcPr>
            <w:tcW w:w="950" w:type="dxa"/>
            <w:tcMar/>
          </w:tcPr>
          <w:p w:rsidR="6A65EC4E" w:rsidRDefault="6A65EC4E" w14:noSpellErr="1" w14:paraId="2BBA38DD" w14:textId="2B3EAC19">
            <w:r w:rsidR="6A65EC4E">
              <w:rPr/>
              <w:t>Medium-high</w:t>
            </w:r>
          </w:p>
        </w:tc>
        <w:tc>
          <w:tcPr>
            <w:tcW w:w="1250" w:type="dxa"/>
            <w:tcMar/>
          </w:tcPr>
          <w:p w:rsidR="6A65EC4E" w:rsidRDefault="6A65EC4E" w14:noSpellErr="1" w14:paraId="123FB549" w14:textId="241C92DD">
            <w:r w:rsidR="6A65EC4E">
              <w:rPr/>
              <w:t>Medium-high</w:t>
            </w:r>
          </w:p>
        </w:tc>
        <w:tc>
          <w:tcPr>
            <w:tcW w:w="1250" w:type="dxa"/>
            <w:tcMar/>
          </w:tcPr>
          <w:p w:rsidR="6A65EC4E" w:rsidRDefault="6A65EC4E" w14:noSpellErr="1" w14:paraId="32E20FA1" w14:textId="1CFA79A1">
            <w:r w:rsidR="6A65EC4E">
              <w:rPr/>
              <w:t>Medium-high</w:t>
            </w:r>
          </w:p>
        </w:tc>
        <w:tc>
          <w:tcPr>
            <w:tcW w:w="1350" w:type="dxa"/>
            <w:tcMar/>
          </w:tcPr>
          <w:p w:rsidR="6A65EC4E" w:rsidRDefault="6A65EC4E" w14:noSpellErr="1" w14:paraId="1CCAB132" w14:textId="15D86065">
            <w:r w:rsidR="6A65EC4E">
              <w:rPr/>
              <w:t>High with expertise</w:t>
            </w:r>
          </w:p>
        </w:tc>
        <w:tc>
          <w:tcPr>
            <w:tcW w:w="2126" w:type="dxa"/>
            <w:tcMar/>
          </w:tcPr>
          <w:p w:rsidR="6A65EC4E" w:rsidRDefault="6A65EC4E" w14:noSpellErr="1" w14:paraId="17A8E662" w14:textId="0EB64729">
            <w:r w:rsidR="6A65EC4E">
              <w:rPr/>
              <w:t>Repeatable sector-specific evidence</w:t>
            </w:r>
          </w:p>
        </w:tc>
      </w:tr>
      <w:tr w:rsidR="6A65EC4E" w:rsidTr="3927AF3A" w14:paraId="34F225D7">
        <w:tc>
          <w:tcPr>
            <w:tcW w:w="2100" w:type="dxa"/>
            <w:tcMar/>
          </w:tcPr>
          <w:p w:rsidR="6A65EC4E" w:rsidRDefault="6A65EC4E" w14:noSpellErr="1" w14:paraId="2E8646C3" w14:textId="25CBA79E">
            <w:r w:rsidR="6A65EC4E">
              <w:rPr/>
              <w:t>8. Standalone AI advisory</w:t>
            </w:r>
          </w:p>
        </w:tc>
        <w:tc>
          <w:tcPr>
            <w:tcW w:w="950" w:type="dxa"/>
            <w:tcMar/>
          </w:tcPr>
          <w:p w:rsidR="6A65EC4E" w:rsidRDefault="6A65EC4E" w14:noSpellErr="1" w14:paraId="7685AE67" w14:textId="1EA98E62">
            <w:r w:rsidR="6A65EC4E">
              <w:rPr/>
              <w:t>High</w:t>
            </w:r>
          </w:p>
        </w:tc>
        <w:tc>
          <w:tcPr>
            <w:tcW w:w="1250" w:type="dxa"/>
            <w:tcMar/>
          </w:tcPr>
          <w:p w:rsidR="6A65EC4E" w:rsidRDefault="6A65EC4E" w14:noSpellErr="1" w14:paraId="15D368EB" w14:textId="17877526">
            <w:r w:rsidR="6A65EC4E">
              <w:rPr/>
              <w:t>Medium</w:t>
            </w:r>
          </w:p>
        </w:tc>
        <w:tc>
          <w:tcPr>
            <w:tcW w:w="1250" w:type="dxa"/>
            <w:tcMar/>
          </w:tcPr>
          <w:p w:rsidR="6A65EC4E" w:rsidRDefault="6A65EC4E" w14:noSpellErr="1" w14:paraId="53DB0826" w14:textId="10655BEA">
            <w:r w:rsidR="6A65EC4E">
              <w:rPr/>
              <w:t>Medium-high</w:t>
            </w:r>
          </w:p>
        </w:tc>
        <w:tc>
          <w:tcPr>
            <w:tcW w:w="1350" w:type="dxa"/>
            <w:tcMar/>
          </w:tcPr>
          <w:p w:rsidR="6A65EC4E" w:rsidRDefault="6A65EC4E" w14:noSpellErr="1" w14:paraId="2760A7A3" w14:textId="094342AE">
            <w:r w:rsidR="6A65EC4E">
              <w:rPr/>
              <w:t>Low alone</w:t>
            </w:r>
          </w:p>
        </w:tc>
        <w:tc>
          <w:tcPr>
            <w:tcW w:w="2126" w:type="dxa"/>
            <w:tcMar/>
          </w:tcPr>
          <w:p w:rsidR="6A65EC4E" w:rsidRDefault="6A65EC4E" w14:noSpellErr="1" w14:paraId="5A2A5678" w14:textId="02212972">
            <w:r w:rsidR="6A65EC4E">
              <w:rPr/>
              <w:t>Fast entry, weak standalone moat</w:t>
            </w:r>
          </w:p>
        </w:tc>
      </w:tr>
    </w:tbl>
    <w:p w:rsidR="6A65EC4E" w:rsidRDefault="6A65EC4E" w14:paraId="6EDCD843" w14:textId="5D8490DF" w14:noSpellErr="1">
      <w:r w:rsidRPr="3927AF3A" w:rsidR="3794A404">
        <w:rPr>
          <w:b w:val="1"/>
          <w:bCs w:val="1"/>
        </w:rPr>
        <w:t>Rankings are analytical priorities for a conventional provider, not market-size estimates or promised margins. Revenue potential describes an offer's expansion path; margin potential assumes repeatability, appropriate pricing and a controlled liability envelope. Security's position depends on actual expertise and response coverage, not resale branding. A provider already strong in a particular vertical should reorder the list around its right to win.</w:t>
      </w:r>
    </w:p>
    <w:p w:rsidR="6A65EC4E" w:rsidP="6A65EC4E" w:rsidRDefault="6A65EC4E" w14:paraId="1FCE5A8A" w14:textId="10A4DA4F" w14:noSpellErr="1">
      <w:pPr>
        <w:pStyle w:val="Heading2"/>
      </w:pPr>
      <w:r w:rsidRPr="3927AF3A" w:rsidR="3794A404">
        <w:rPr>
          <w:color w:val="006D77"/>
        </w:rPr>
        <w:t>10.2 A staged transition with commercial gates</w:t>
      </w:r>
    </w:p>
    <w:tbl>
      <w:tblPr>
        <w:tblStyle w:val="TableGrid"/>
        <w:tblW w:w="0" w:type="auto"/>
        <w:tblLook w:val="0000" w:firstRow="0" w:lastRow="0" w:firstColumn="0" w:lastColumn="0" w:noHBand="0" w:noVBand="0"/>
      </w:tblPr>
      <w:tblGrid>
        <w:gridCol w:w="1200"/>
        <w:gridCol w:w="1450"/>
        <w:gridCol w:w="2450"/>
        <w:gridCol w:w="2100"/>
        <w:gridCol w:w="1826"/>
      </w:tblGrid>
      <w:tr w:rsidR="6A65EC4E" w:rsidTr="3927AF3A" w14:paraId="1A671469">
        <w:trPr>
          <w:tblHeader/>
        </w:trPr>
        <w:tc>
          <w:tcPr>
            <w:tcW w:w="1200" w:type="dxa"/>
            <w:tcMar/>
          </w:tcPr>
          <w:p w:rsidR="6A65EC4E" w:rsidRDefault="6A65EC4E" w14:noSpellErr="1" w14:paraId="292855AC" w14:textId="2929D120">
            <w:r w:rsidR="6A65EC4E">
              <w:rPr/>
              <w:t>Window</w:t>
            </w:r>
          </w:p>
        </w:tc>
        <w:tc>
          <w:tcPr>
            <w:tcW w:w="1450" w:type="dxa"/>
            <w:tcMar/>
          </w:tcPr>
          <w:p w:rsidR="6A65EC4E" w:rsidRDefault="6A65EC4E" w14:noSpellErr="1" w14:paraId="6117708F" w14:textId="2207B7E4">
            <w:r w:rsidR="6A65EC4E">
              <w:rPr/>
              <w:t>Accountable role</w:t>
            </w:r>
          </w:p>
        </w:tc>
        <w:tc>
          <w:tcPr>
            <w:tcW w:w="2450" w:type="dxa"/>
            <w:tcMar/>
          </w:tcPr>
          <w:p w:rsidR="6A65EC4E" w:rsidRDefault="6A65EC4E" w14:paraId="46140C62" w14:textId="1AE59EA8" w14:noSpellErr="1">
            <w:r w:rsidRPr="3927AF3A" w:rsidR="3794A404">
              <w:rPr>
                <w:b w:val="1"/>
                <w:bCs w:val="1"/>
              </w:rPr>
              <w:t>Operational change</w:t>
            </w:r>
          </w:p>
        </w:tc>
        <w:tc>
          <w:tcPr>
            <w:tcW w:w="2100" w:type="dxa"/>
            <w:tcMar/>
          </w:tcPr>
          <w:p w:rsidR="6A65EC4E" w:rsidRDefault="6A65EC4E" w14:paraId="5FD15661" w14:textId="13C3856C" w14:noSpellErr="1">
            <w:r w:rsidRPr="3927AF3A" w:rsidR="3794A404">
              <w:rPr>
                <w:b w:val="1"/>
                <w:bCs w:val="1"/>
              </w:rPr>
              <w:t>Commercial change</w:t>
            </w:r>
          </w:p>
        </w:tc>
        <w:tc>
          <w:tcPr>
            <w:tcW w:w="1826" w:type="dxa"/>
            <w:tcMar/>
          </w:tcPr>
          <w:p w:rsidR="6A65EC4E" w:rsidRDefault="6A65EC4E" w14:paraId="5CB9EFDF" w14:textId="0CA16C30" w14:noSpellErr="1">
            <w:r w:rsidRPr="3927AF3A" w:rsidR="3794A404">
              <w:rPr>
                <w:b w:val="1"/>
                <w:bCs w:val="1"/>
              </w:rPr>
              <w:t>Investment gate</w:t>
            </w:r>
          </w:p>
        </w:tc>
      </w:tr>
      <w:tr w:rsidR="6A65EC4E" w:rsidTr="3927AF3A" w14:paraId="3F7FCC7A">
        <w:tc>
          <w:tcPr>
            <w:tcW w:w="1200" w:type="dxa"/>
            <w:tcMar/>
          </w:tcPr>
          <w:p w:rsidR="6A65EC4E" w:rsidRDefault="6A65EC4E" w14:noSpellErr="1" w14:paraId="569A5A05" w14:textId="23B6CCA5">
            <w:r w:rsidR="6A65EC4E">
              <w:rPr/>
              <w:t>First 90 days</w:t>
            </w:r>
          </w:p>
        </w:tc>
        <w:tc>
          <w:tcPr>
            <w:tcW w:w="1450" w:type="dxa"/>
            <w:tcMar/>
          </w:tcPr>
          <w:p w:rsidR="6A65EC4E" w:rsidRDefault="6A65EC4E" w14:noSpellErr="1" w14:paraId="4FD840EA" w14:textId="1C94B369">
            <w:r w:rsidR="6A65EC4E">
              <w:rPr/>
              <w:t>CEO, COO and finance lead</w:t>
            </w:r>
          </w:p>
        </w:tc>
        <w:tc>
          <w:tcPr>
            <w:tcW w:w="2450" w:type="dxa"/>
            <w:tcMar/>
          </w:tcPr>
          <w:p w:rsidR="6A65EC4E" w:rsidRDefault="6A65EC4E" w14:noSpellErr="1" w14:paraId="5E7717FF" w14:textId="15729A2D">
            <w:r w:rsidR="6A65EC4E">
              <w:rPr/>
              <w:t>Baseline customer contribution, ticket effort, security gaps and tool spend; choose bounded pilots</w:t>
            </w:r>
          </w:p>
        </w:tc>
        <w:tc>
          <w:tcPr>
            <w:tcW w:w="2100" w:type="dxa"/>
            <w:tcMar/>
          </w:tcPr>
          <w:p w:rsidR="6A65EC4E" w:rsidRDefault="6A65EC4E" w14:noSpellErr="1" w14:paraId="268033DD" w14:textId="0E5080F1">
            <w:r w:rsidR="6A65EC4E">
              <w:rPr/>
              <w:t>Interview buyers; define one security and one workflow offer</w:t>
            </w:r>
          </w:p>
        </w:tc>
        <w:tc>
          <w:tcPr>
            <w:tcW w:w="1826" w:type="dxa"/>
            <w:tcMar/>
          </w:tcPr>
          <w:p w:rsidR="6A65EC4E" w:rsidRDefault="6A65EC4E" w14:noSpellErr="1" w14:paraId="2D8B3C3F" w14:textId="072E67B5">
            <w:r w:rsidR="6A65EC4E">
              <w:rPr/>
              <w:t>Known cost-to-serve and baseline outcome measures</w:t>
            </w:r>
          </w:p>
        </w:tc>
      </w:tr>
      <w:tr w:rsidR="6A65EC4E" w:rsidTr="3927AF3A" w14:paraId="655025B3">
        <w:tc>
          <w:tcPr>
            <w:tcW w:w="1200" w:type="dxa"/>
            <w:tcMar/>
          </w:tcPr>
          <w:p w:rsidR="6A65EC4E" w:rsidRDefault="6A65EC4E" w14:noSpellErr="1" w14:paraId="5FE16CAE" w14:textId="1E43C82A">
            <w:r w:rsidR="6A65EC4E">
              <w:rPr/>
              <w:t>Months 3-6</w:t>
            </w:r>
          </w:p>
        </w:tc>
        <w:tc>
          <w:tcPr>
            <w:tcW w:w="1450" w:type="dxa"/>
            <w:tcMar/>
          </w:tcPr>
          <w:p w:rsidR="6A65EC4E" w:rsidRDefault="6A65EC4E" w14:noSpellErr="1" w14:paraId="5421CB74" w14:textId="1721AEEE">
            <w:r w:rsidR="6A65EC4E">
              <w:rPr/>
              <w:t>Service delivery and security leads</w:t>
            </w:r>
          </w:p>
        </w:tc>
        <w:tc>
          <w:tcPr>
            <w:tcW w:w="2450" w:type="dxa"/>
            <w:tcMar/>
          </w:tcPr>
          <w:p w:rsidR="6A65EC4E" w:rsidRDefault="6A65EC4E" w14:noSpellErr="1" w14:paraId="71F7A396" w14:textId="0FFF95B2">
            <w:r w:rsidR="6A65EC4E">
              <w:rPr/>
              <w:t>Standardise tenant configurations; deploy assisted triage and approved automations</w:t>
            </w:r>
          </w:p>
        </w:tc>
        <w:tc>
          <w:tcPr>
            <w:tcW w:w="2100" w:type="dxa"/>
            <w:tcMar/>
          </w:tcPr>
          <w:p w:rsidR="6A65EC4E" w:rsidRDefault="6A65EC4E" w14:noSpellErr="1" w14:paraId="1B4466B2" w14:textId="08DD7C76">
            <w:r w:rsidR="6A65EC4E">
              <w:rPr/>
              <w:t>Sell paid pilots with explicit scope, liability and acceptance</w:t>
            </w:r>
          </w:p>
        </w:tc>
        <w:tc>
          <w:tcPr>
            <w:tcW w:w="1826" w:type="dxa"/>
            <w:tcMar/>
          </w:tcPr>
          <w:p w:rsidR="6A65EC4E" w:rsidRDefault="6A65EC4E" w14:noSpellErr="1" w14:paraId="665F11C4" w14:textId="01BB633A">
            <w:r w:rsidR="6A65EC4E">
              <w:rPr/>
              <w:t>Measured quality, cash economics and buyer willingness to pay</w:t>
            </w:r>
          </w:p>
        </w:tc>
      </w:tr>
      <w:tr w:rsidR="6A65EC4E" w:rsidTr="3927AF3A" w14:paraId="2B2A82DF">
        <w:tc>
          <w:tcPr>
            <w:tcW w:w="1200" w:type="dxa"/>
            <w:tcMar/>
          </w:tcPr>
          <w:p w:rsidR="6A65EC4E" w:rsidRDefault="6A65EC4E" w14:noSpellErr="1" w14:paraId="1E861181" w14:textId="18D0C3AF">
            <w:r w:rsidR="6A65EC4E">
              <w:rPr/>
              <w:t>Months 6-12</w:t>
            </w:r>
          </w:p>
        </w:tc>
        <w:tc>
          <w:tcPr>
            <w:tcW w:w="1450" w:type="dxa"/>
            <w:tcMar/>
          </w:tcPr>
          <w:p w:rsidR="6A65EC4E" w:rsidRDefault="6A65EC4E" w14:noSpellErr="1" w14:paraId="163F4888" w14:textId="11AEAA73">
            <w:r w:rsidR="6A65EC4E">
              <w:rPr/>
              <w:t>COO and commercial lead</w:t>
            </w:r>
          </w:p>
        </w:tc>
        <w:tc>
          <w:tcPr>
            <w:tcW w:w="2450" w:type="dxa"/>
            <w:tcMar/>
          </w:tcPr>
          <w:p w:rsidR="6A65EC4E" w:rsidRDefault="6A65EC4E" w14:noSpellErr="1" w14:paraId="18D907BB" w14:textId="0A8C9137">
            <w:r w:rsidR="6A65EC4E">
              <w:rPr/>
              <w:t>Productise successful workflows; introduce evaluation and incident ownership</w:t>
            </w:r>
          </w:p>
        </w:tc>
        <w:tc>
          <w:tcPr>
            <w:tcW w:w="2100" w:type="dxa"/>
            <w:tcMar/>
          </w:tcPr>
          <w:p w:rsidR="6A65EC4E" w:rsidRDefault="6A65EC4E" w14:noSpellErr="1" w14:paraId="3F4BED82" w14:textId="036A77FB">
            <w:r w:rsidR="6A65EC4E">
              <w:rPr/>
              <w:t>Move pilots to recurring managed offers; revise renewals</w:t>
            </w:r>
          </w:p>
        </w:tc>
        <w:tc>
          <w:tcPr>
            <w:tcW w:w="1826" w:type="dxa"/>
            <w:tcMar/>
          </w:tcPr>
          <w:p w:rsidR="6A65EC4E" w:rsidRDefault="6A65EC4E" w14:noSpellErr="1" w14:paraId="23357437" w14:textId="7C485EBF">
            <w:r w:rsidR="6A65EC4E">
              <w:rPr/>
              <w:t>Renewal evidence and positive fully loaded contribution</w:t>
            </w:r>
          </w:p>
        </w:tc>
      </w:tr>
      <w:tr w:rsidR="6A65EC4E" w:rsidTr="3927AF3A" w14:paraId="3AF73E8E">
        <w:tc>
          <w:tcPr>
            <w:tcW w:w="1200" w:type="dxa"/>
            <w:tcMar/>
          </w:tcPr>
          <w:p w:rsidR="6A65EC4E" w:rsidRDefault="6A65EC4E" w14:noSpellErr="1" w14:paraId="5BCDCCBA" w14:textId="135DBF34">
            <w:r w:rsidR="6A65EC4E">
              <w:rPr/>
              <w:t>Months 12-24</w:t>
            </w:r>
          </w:p>
        </w:tc>
        <w:tc>
          <w:tcPr>
            <w:tcW w:w="1450" w:type="dxa"/>
            <w:tcMar/>
          </w:tcPr>
          <w:p w:rsidR="6A65EC4E" w:rsidRDefault="6A65EC4E" w14:noSpellErr="1" w14:paraId="4C8D17AB" w14:textId="0C3BA5F8">
            <w:r w:rsidR="6A65EC4E">
              <w:rPr/>
              <w:t>CEO and practice leads</w:t>
            </w:r>
          </w:p>
        </w:tc>
        <w:tc>
          <w:tcPr>
            <w:tcW w:w="2450" w:type="dxa"/>
            <w:tcMar/>
          </w:tcPr>
          <w:p w:rsidR="6A65EC4E" w:rsidRDefault="6A65EC4E" w14:noSpellErr="1" w14:paraId="4590AE18" w14:textId="05198CBC">
            <w:r w:rsidR="6A65EC4E">
              <w:rPr/>
              <w:t>Redeploy capacity to security, data and business processes; retire duplicate tools</w:t>
            </w:r>
          </w:p>
        </w:tc>
        <w:tc>
          <w:tcPr>
            <w:tcW w:w="2100" w:type="dxa"/>
            <w:tcMar/>
          </w:tcPr>
          <w:p w:rsidR="6A65EC4E" w:rsidRDefault="6A65EC4E" w14:noSpellErr="1" w14:paraId="6F6BF4F5" w14:textId="7DF77380">
            <w:r w:rsidR="6A65EC4E">
              <w:rPr/>
              <w:t>Scale a small portfolio in one or two target sectors</w:t>
            </w:r>
          </w:p>
        </w:tc>
        <w:tc>
          <w:tcPr>
            <w:tcW w:w="1826" w:type="dxa"/>
            <w:tcMar/>
          </w:tcPr>
          <w:p w:rsidR="6A65EC4E" w:rsidRDefault="6A65EC4E" w14:noSpellErr="1" w14:paraId="3508A29E" w14:textId="76D55A44">
            <w:r w:rsidR="6A65EC4E">
              <w:rPr/>
              <w:t>Repeatable delivery without founder dependence</w:t>
            </w:r>
          </w:p>
        </w:tc>
      </w:tr>
      <w:tr w:rsidR="6A65EC4E" w:rsidTr="3927AF3A" w14:paraId="18AD1113">
        <w:tc>
          <w:tcPr>
            <w:tcW w:w="1200" w:type="dxa"/>
            <w:tcMar/>
          </w:tcPr>
          <w:p w:rsidR="6A65EC4E" w:rsidRDefault="6A65EC4E" w14:noSpellErr="1" w14:paraId="7EFD228B" w14:textId="0DEABAB9">
            <w:r w:rsidR="6A65EC4E">
              <w:rPr/>
              <w:t>2029-2030</w:t>
            </w:r>
          </w:p>
        </w:tc>
        <w:tc>
          <w:tcPr>
            <w:tcW w:w="1450" w:type="dxa"/>
            <w:tcMar/>
          </w:tcPr>
          <w:p w:rsidR="6A65EC4E" w:rsidRDefault="6A65EC4E" w14:noSpellErr="1" w14:paraId="6D0AF267" w14:textId="06C8A17D">
            <w:r w:rsidR="6A65EC4E">
              <w:rPr/>
              <w:t>Board</w:t>
            </w:r>
          </w:p>
        </w:tc>
        <w:tc>
          <w:tcPr>
            <w:tcW w:w="2450" w:type="dxa"/>
            <w:tcMar/>
          </w:tcPr>
          <w:p w:rsidR="6A65EC4E" w:rsidRDefault="6A65EC4E" w14:noSpellErr="1" w14:paraId="107D4BC6" w14:textId="7FA68841">
            <w:r w:rsidR="6A65EC4E">
              <w:rPr/>
              <w:t>Rebalance capacity and acquisition strategy around proven economics</w:t>
            </w:r>
          </w:p>
        </w:tc>
        <w:tc>
          <w:tcPr>
            <w:tcW w:w="2100" w:type="dxa"/>
            <w:tcMar/>
          </w:tcPr>
          <w:p w:rsidR="6A65EC4E" w:rsidRDefault="6A65EC4E" w14:noSpellErr="1" w14:paraId="7DC35D7B" w14:textId="78846F05">
            <w:r w:rsidR="6A65EC4E">
              <w:rPr/>
              <w:t>Retire, reprice or divest structurally weak services</w:t>
            </w:r>
          </w:p>
        </w:tc>
        <w:tc>
          <w:tcPr>
            <w:tcW w:w="1826" w:type="dxa"/>
            <w:tcMar/>
          </w:tcPr>
          <w:p w:rsidR="6A65EC4E" w:rsidRDefault="6A65EC4E" w14:noSpellErr="1" w14:paraId="4128B95B" w14:textId="716255C9">
            <w:r w:rsidR="6A65EC4E">
              <w:rPr/>
              <w:t>Sustained cash generation and defensible recurring gross profit</w:t>
            </w:r>
          </w:p>
        </w:tc>
      </w:tr>
    </w:tbl>
    <w:p w:rsidR="6A65EC4E" w:rsidRDefault="6A65EC4E" w14:noSpellErr="1" w14:paraId="7BA9B30A" w14:textId="688BAC3B">
      <w:r w:rsidR="6A65EC4E">
        <w:rPr/>
        <w:t>The windows are recommended sequencing, not evidence that all providers can complete each stage on this timetable. Smaller firms should narrow the number of simultaneous offers and use specialist delivery partners. Larger firms should separate experimentation from production service ownership and avoid parallel bespoke versions for every acquired customer. Continue extending proven capabilities into 2031-2036 rather than committing today to a fixed ten-year technology stack.</w:t>
      </w:r>
    </w:p>
    <w:p w:rsidR="6A65EC4E" w:rsidRDefault="6A65EC4E" w14:noSpellErr="1" w14:paraId="694DAE4B" w14:textId="18B2359F">
      <w:r w:rsidR="6A65EC4E">
        <w:rPr/>
        <w:t>Internal deployment comes first where it can create credible reference economics: knowledge retrieval, ticket classification, summarisation, documentation and onboarding checks. Expand autonomy only after permissions, evaluation cases, rollback, observability and accountable service ownership are in place. High-impact identity, security and financial actions require risk-appropriate approvals; a faster unsafe process is not a productivity gain. [R64; M1]</w:t>
      </w:r>
    </w:p>
    <w:p w:rsidR="6A65EC4E" w:rsidRDefault="6A65EC4E" w14:noSpellErr="1" w14:paraId="42FE6BDA" w14:textId="15CAA581">
      <w:r w:rsidR="6A65EC4E">
        <w:rPr/>
        <w:t>Staffing evolution should start with skills and capacity, not a target layoff percentage. Protect enough experienced engineers to diagnose exceptions and teach the system. Retrain suitable delivery staff into automation engineering, security operations, data stewardship, business analysis and customer success. Replace utilisation-only targets with contribution margin, quality, first-time resolution, prevented incidents and repeatable customer outcomes.</w:t>
      </w:r>
    </w:p>
    <w:p w:rsidR="6A65EC4E" w:rsidP="6A65EC4E" w:rsidRDefault="6A65EC4E" w14:paraId="28711425" w14:textId="22362B4A" w14:noSpellErr="1">
      <w:pPr>
        <w:pStyle w:val="Heading2"/>
      </w:pPr>
      <w:r w:rsidRPr="3927AF3A" w:rsidR="3794A404">
        <w:rPr>
          <w:color w:val="006D77"/>
        </w:rPr>
        <w:t>10.3 Commercial evolution: a hybrid contract, not a new slogan</w:t>
      </w:r>
    </w:p>
    <w:p w:rsidR="6A65EC4E" w:rsidRDefault="6A65EC4E" w14:noSpellErr="1" w14:paraId="47A5B90F" w14:textId="64291B19">
      <w:r w:rsidR="6A65EC4E">
        <w:rPr/>
        <w:t>Retain per-user or per-device units where they remain sensible exposure measures, but stop presenting the unit itself as the source of value. A seat can define the protected population; a device can define the management boundary. Neither should automatically entitle the customer to unlimited business-process redesign, unbounded AI consumption or uncapped incident liability. Ticket counts are diagnostic measures, not the benefit to sell.</w:t>
      </w:r>
    </w:p>
    <w:tbl>
      <w:tblPr>
        <w:tblStyle w:val="TableGrid"/>
        <w:tblW w:w="0" w:type="auto"/>
        <w:tblLook w:val="0000" w:firstRow="0" w:lastRow="0" w:firstColumn="0" w:lastColumn="0" w:noHBand="0" w:noVBand="0"/>
      </w:tblPr>
      <w:tblGrid>
        <w:gridCol w:w="2200"/>
        <w:gridCol w:w="2100"/>
        <w:gridCol w:w="2350"/>
        <w:gridCol w:w="2376"/>
      </w:tblGrid>
      <w:tr w:rsidR="6A65EC4E" w:rsidTr="3927AF3A" w14:paraId="175EFED0">
        <w:trPr>
          <w:tblHeader/>
        </w:trPr>
        <w:tc>
          <w:tcPr>
            <w:tcW w:w="2200" w:type="dxa"/>
            <w:tcMar/>
          </w:tcPr>
          <w:p w:rsidR="6A65EC4E" w:rsidRDefault="6A65EC4E" w14:paraId="1AD17767" w14:textId="285E44B0" w14:noSpellErr="1">
            <w:r w:rsidRPr="3927AF3A" w:rsidR="3794A404">
              <w:rPr>
                <w:b w:val="1"/>
                <w:bCs w:val="1"/>
              </w:rPr>
              <w:t>Offer component</w:t>
            </w:r>
          </w:p>
        </w:tc>
        <w:tc>
          <w:tcPr>
            <w:tcW w:w="2100" w:type="dxa"/>
            <w:tcMar/>
          </w:tcPr>
          <w:p w:rsidR="6A65EC4E" w:rsidRDefault="6A65EC4E" w14:paraId="68816478" w14:textId="213C2B74" w14:noSpellErr="1">
            <w:r w:rsidRPr="3927AF3A" w:rsidR="3794A404">
              <w:rPr>
                <w:b w:val="1"/>
                <w:bCs w:val="1"/>
              </w:rPr>
              <w:t>Charging basis</w:t>
            </w:r>
          </w:p>
        </w:tc>
        <w:tc>
          <w:tcPr>
            <w:tcW w:w="2350" w:type="dxa"/>
            <w:tcMar/>
          </w:tcPr>
          <w:p w:rsidR="6A65EC4E" w:rsidRDefault="6A65EC4E" w14:paraId="1ACA827A" w14:textId="1A1A1238" w14:noSpellErr="1">
            <w:r w:rsidRPr="3927AF3A" w:rsidR="3794A404">
              <w:rPr>
                <w:b w:val="1"/>
                <w:bCs w:val="1"/>
              </w:rPr>
              <w:t>Customer promise</w:t>
            </w:r>
          </w:p>
        </w:tc>
        <w:tc>
          <w:tcPr>
            <w:tcW w:w="2376" w:type="dxa"/>
            <w:tcMar/>
          </w:tcPr>
          <w:p w:rsidR="6A65EC4E" w:rsidRDefault="6A65EC4E" w14:paraId="477076FE" w14:textId="12F7F8FC" w14:noSpellErr="1">
            <w:r w:rsidRPr="3927AF3A" w:rsidR="3794A404">
              <w:rPr>
                <w:b w:val="1"/>
                <w:bCs w:val="1"/>
              </w:rPr>
              <w:t>Necessary safeguard</w:t>
            </w:r>
          </w:p>
        </w:tc>
      </w:tr>
      <w:tr w:rsidR="6A65EC4E" w:rsidTr="3927AF3A" w14:paraId="1B410CDF">
        <w:tc>
          <w:tcPr>
            <w:tcW w:w="2200" w:type="dxa"/>
            <w:tcMar/>
          </w:tcPr>
          <w:p w:rsidR="6A65EC4E" w:rsidRDefault="6A65EC4E" w14:noSpellErr="1" w14:paraId="5C84E131" w14:textId="2A0D5971">
            <w:r w:rsidR="6A65EC4E">
              <w:rPr/>
              <w:t>Foundation platform</w:t>
            </w:r>
          </w:p>
        </w:tc>
        <w:tc>
          <w:tcPr>
            <w:tcW w:w="2100" w:type="dxa"/>
            <w:tcMar/>
          </w:tcPr>
          <w:p w:rsidR="6A65EC4E" w:rsidRDefault="6A65EC4E" w14:noSpellErr="1" w14:paraId="4E51C82D" w14:textId="22EB4035">
            <w:r w:rsidR="6A65EC4E">
              <w:rPr/>
              <w:t>Recurring platform fee with user/device bands</w:t>
            </w:r>
          </w:p>
        </w:tc>
        <w:tc>
          <w:tcPr>
            <w:tcW w:w="2350" w:type="dxa"/>
            <w:tcMar/>
          </w:tcPr>
          <w:p w:rsidR="6A65EC4E" w:rsidRDefault="6A65EC4E" w14:noSpellErr="1" w14:paraId="65F6F9B3" w14:textId="1BC926F9">
            <w:r w:rsidR="6A65EC4E">
              <w:rPr/>
              <w:t>Controlled, maintained environment</w:t>
            </w:r>
          </w:p>
        </w:tc>
        <w:tc>
          <w:tcPr>
            <w:tcW w:w="2376" w:type="dxa"/>
            <w:tcMar/>
          </w:tcPr>
          <w:p w:rsidR="6A65EC4E" w:rsidRDefault="6A65EC4E" w14:noSpellErr="1" w14:paraId="76A632AD" w14:textId="14A70DBD">
            <w:r w:rsidR="6A65EC4E">
              <w:rPr/>
              <w:t>Defined scope, exclusions and renewal terms</w:t>
            </w:r>
          </w:p>
        </w:tc>
      </w:tr>
      <w:tr w:rsidR="6A65EC4E" w:rsidTr="3927AF3A" w14:paraId="6E6C313E">
        <w:tc>
          <w:tcPr>
            <w:tcW w:w="2200" w:type="dxa"/>
            <w:tcMar/>
          </w:tcPr>
          <w:p w:rsidR="6A65EC4E" w:rsidRDefault="6A65EC4E" w14:noSpellErr="1" w14:paraId="3555B128" w14:textId="2BBC6E32">
            <w:r w:rsidR="6A65EC4E">
              <w:rPr/>
              <w:t>Security and resilience</w:t>
            </w:r>
          </w:p>
        </w:tc>
        <w:tc>
          <w:tcPr>
            <w:tcW w:w="2100" w:type="dxa"/>
            <w:tcMar/>
          </w:tcPr>
          <w:p w:rsidR="6A65EC4E" w:rsidRDefault="6A65EC4E" w14:noSpellErr="1" w14:paraId="3D35D03D" w14:textId="249A54F6">
            <w:r w:rsidR="6A65EC4E">
              <w:rPr/>
              <w:t>Subscription by risk/exposure tier</w:t>
            </w:r>
          </w:p>
        </w:tc>
        <w:tc>
          <w:tcPr>
            <w:tcW w:w="2350" w:type="dxa"/>
            <w:tcMar/>
          </w:tcPr>
          <w:p w:rsidR="6A65EC4E" w:rsidRDefault="6A65EC4E" w14:noSpellErr="1" w14:paraId="1A867B5F" w14:textId="1D783BBA">
            <w:r w:rsidR="6A65EC4E">
              <w:rPr/>
              <w:t>Specified control coverage and response service</w:t>
            </w:r>
          </w:p>
        </w:tc>
        <w:tc>
          <w:tcPr>
            <w:tcW w:w="2376" w:type="dxa"/>
            <w:tcMar/>
          </w:tcPr>
          <w:p w:rsidR="6A65EC4E" w:rsidRDefault="6A65EC4E" w14:noSpellErr="1" w14:paraId="293BCD8A" w14:textId="1656227E">
            <w:r w:rsidR="6A65EC4E">
              <w:rPr/>
              <w:t>Response obligations; no zero-breach guarantee</w:t>
            </w:r>
          </w:p>
        </w:tc>
      </w:tr>
      <w:tr w:rsidR="6A65EC4E" w:rsidTr="3927AF3A" w14:paraId="349F9926">
        <w:tc>
          <w:tcPr>
            <w:tcW w:w="2200" w:type="dxa"/>
            <w:tcMar/>
          </w:tcPr>
          <w:p w:rsidR="6A65EC4E" w:rsidRDefault="6A65EC4E" w14:noSpellErr="1" w14:paraId="60AE5685" w14:textId="2D6B82F3">
            <w:r w:rsidR="6A65EC4E">
              <w:rPr/>
              <w:t>Reusable workflow / intellectual property</w:t>
            </w:r>
          </w:p>
        </w:tc>
        <w:tc>
          <w:tcPr>
            <w:tcW w:w="2100" w:type="dxa"/>
            <w:tcMar/>
          </w:tcPr>
          <w:p w:rsidR="6A65EC4E" w:rsidRDefault="6A65EC4E" w14:noSpellErr="1" w14:paraId="10D131CB" w14:textId="264969B7">
            <w:r w:rsidR="6A65EC4E">
              <w:rPr/>
              <w:t>Subscription per managed workflow or business unit</w:t>
            </w:r>
          </w:p>
        </w:tc>
        <w:tc>
          <w:tcPr>
            <w:tcW w:w="2350" w:type="dxa"/>
            <w:tcMar/>
          </w:tcPr>
          <w:p w:rsidR="6A65EC4E" w:rsidRDefault="6A65EC4E" w14:noSpellErr="1" w14:paraId="1894FE94" w14:textId="1F27507B">
            <w:r w:rsidR="6A65EC4E">
              <w:rPr/>
              <w:t>Maintained automation and improvement</w:t>
            </w:r>
          </w:p>
        </w:tc>
        <w:tc>
          <w:tcPr>
            <w:tcW w:w="2376" w:type="dxa"/>
            <w:tcMar/>
          </w:tcPr>
          <w:p w:rsidR="6A65EC4E" w:rsidRDefault="6A65EC4E" w14:noSpellErr="1" w14:paraId="3E05E64C" w14:textId="1805373F">
            <w:r w:rsidR="6A65EC4E">
              <w:rPr/>
              <w:t>IP rights, data portability and exit plan</w:t>
            </w:r>
          </w:p>
        </w:tc>
      </w:tr>
      <w:tr w:rsidR="6A65EC4E" w:rsidTr="3927AF3A" w14:paraId="3D56BA08">
        <w:tc>
          <w:tcPr>
            <w:tcW w:w="2200" w:type="dxa"/>
            <w:tcMar/>
          </w:tcPr>
          <w:p w:rsidR="6A65EC4E" w:rsidRDefault="6A65EC4E" w14:noSpellErr="1" w14:paraId="298179F8" w14:textId="2F1A97B4">
            <w:r w:rsidR="6A65EC4E">
              <w:rPr/>
              <w:t>Managed AI operations</w:t>
            </w:r>
          </w:p>
        </w:tc>
        <w:tc>
          <w:tcPr>
            <w:tcW w:w="2100" w:type="dxa"/>
            <w:tcMar/>
          </w:tcPr>
          <w:p w:rsidR="6A65EC4E" w:rsidRDefault="6A65EC4E" w14:noSpellErr="1" w14:paraId="307F1449" w14:textId="27F87E78">
            <w:r w:rsidR="6A65EC4E">
              <w:rPr/>
              <w:t>Base fee plus transparent consumption bands</w:t>
            </w:r>
          </w:p>
        </w:tc>
        <w:tc>
          <w:tcPr>
            <w:tcW w:w="2350" w:type="dxa"/>
            <w:tcMar/>
          </w:tcPr>
          <w:p w:rsidR="6A65EC4E" w:rsidRDefault="6A65EC4E" w14:noSpellErr="1" w14:paraId="7C06E799" w14:textId="20D6653C">
            <w:r w:rsidR="6A65EC4E">
              <w:rPr/>
              <w:t>Evaluation, policy, lifecycle and cost control</w:t>
            </w:r>
          </w:p>
        </w:tc>
        <w:tc>
          <w:tcPr>
            <w:tcW w:w="2376" w:type="dxa"/>
            <w:tcMar/>
          </w:tcPr>
          <w:p w:rsidR="6A65EC4E" w:rsidRDefault="6A65EC4E" w14:noSpellErr="1" w14:paraId="5365367E" w14:textId="19B44C00">
            <w:r w:rsidR="6A65EC4E">
              <w:rPr/>
              <w:t>Usage caps, change control and supplier-cost terms</w:t>
            </w:r>
          </w:p>
        </w:tc>
      </w:tr>
      <w:tr w:rsidR="6A65EC4E" w:rsidTr="3927AF3A" w14:paraId="32941772">
        <w:tc>
          <w:tcPr>
            <w:tcW w:w="2200" w:type="dxa"/>
            <w:tcMar/>
          </w:tcPr>
          <w:p w:rsidR="6A65EC4E" w:rsidRDefault="6A65EC4E" w14:noSpellErr="1" w14:paraId="4B861033" w14:textId="30C9AC75">
            <w:r w:rsidR="6A65EC4E">
              <w:rPr/>
              <w:t>Business outcome programme</w:t>
            </w:r>
          </w:p>
        </w:tc>
        <w:tc>
          <w:tcPr>
            <w:tcW w:w="2100" w:type="dxa"/>
            <w:tcMar/>
          </w:tcPr>
          <w:p w:rsidR="6A65EC4E" w:rsidRDefault="6A65EC4E" w14:noSpellErr="1" w14:paraId="50524D3C" w14:textId="29A79339">
            <w:r w:rsidR="6A65EC4E">
              <w:rPr/>
              <w:t>Milestone fee plus bounded outcome component</w:t>
            </w:r>
          </w:p>
        </w:tc>
        <w:tc>
          <w:tcPr>
            <w:tcW w:w="2350" w:type="dxa"/>
            <w:tcMar/>
          </w:tcPr>
          <w:p w:rsidR="6A65EC4E" w:rsidRDefault="6A65EC4E" w14:noSpellErr="1" w14:paraId="7E81E8B9" w14:textId="228579FD">
            <w:r w:rsidR="6A65EC4E">
              <w:rPr/>
              <w:t>Agreed measurable business improvement</w:t>
            </w:r>
          </w:p>
        </w:tc>
        <w:tc>
          <w:tcPr>
            <w:tcW w:w="2376" w:type="dxa"/>
            <w:tcMar/>
          </w:tcPr>
          <w:p w:rsidR="6A65EC4E" w:rsidRDefault="6A65EC4E" w14:noSpellErr="1" w14:paraId="2133FD38" w14:textId="1B6360C1">
            <w:r w:rsidR="6A65EC4E">
              <w:rPr/>
              <w:t>Baseline, attribution, dependencies and liability cap</w:t>
            </w:r>
          </w:p>
        </w:tc>
      </w:tr>
    </w:tbl>
    <w:p w:rsidR="6A65EC4E" w:rsidRDefault="6A65EC4E" w14:noSpellErr="1" w14:paraId="4C00FB4B" w14:textId="61CFB26D">
      <w:r w:rsidR="6A65EC4E">
        <w:rPr/>
        <w:t>Outcome pricing works only when the provider can influence the outcome and the parties can measure it. Define baseline volumes, excluded business changes, quality thresholds, acceptance tests, observation windows and who owns the data. Avoid guaranteeing savings caused partly by the customer's staffing, demand or process decisions. Price discovery, implementation and recurring operation separately when their risks differ.</w:t>
      </w:r>
    </w:p>
    <w:p w:rsidR="6A65EC4E" w:rsidRDefault="6A65EC4E" w14:noSpellErr="1" w14:paraId="7D65A6A8" w14:textId="63E333BA">
      <w:r w:rsidR="6A65EC4E">
        <w:rPr/>
        <w:t>Platform pricing and subscription intellectual property require a genuine maintained asset: evaluated workflows, connectors, sector-specific controls, templates with support, or a governed knowledge layer. Repackaging a vendor licence is not proprietary IP. Managed AI offers must recover inference, orchestration, data, monitoring and human-escalation costs as well as model access. Build contractual pass-through or review mechanisms where supplier economics can change.</w:t>
      </w:r>
    </w:p>
    <w:p w:rsidR="6A65EC4E" w:rsidP="6A65EC4E" w:rsidRDefault="6A65EC4E" w14:paraId="78A809FB" w14:textId="7ABA8982" w14:noSpellErr="1">
      <w:pPr>
        <w:pStyle w:val="Heading1"/>
      </w:pPr>
      <w:r w:rsidRPr="3927AF3A" w:rsidR="3794A404">
        <w:rPr>
          <w:color w:val="17365D" w:themeColor="text2" w:themeTint="FF" w:themeShade="BF"/>
        </w:rPr>
        <w:t>11. Recommended Actions</w:t>
      </w:r>
    </w:p>
    <w:p w:rsidR="6A65EC4E" w:rsidRDefault="6A65EC4E" w14:noSpellErr="1" w14:paraId="3B54CA21" w14:textId="57F8AEBE">
      <w:r w:rsidR="6A65EC4E">
        <w:rPr/>
        <w:t>The first board decision should authorise a bounded transformation programme with explicit stop rules, not endorse an indiscriminate AI spending target. Preserve the profitable core while measuring which parts of it are becoming easier for customers, vendors or competitors to deliver. Use a small number of paid customer experiments to test demand and a separate internal programme to test unit economics.</w:t>
      </w:r>
    </w:p>
    <w:tbl>
      <w:tblPr>
        <w:tblStyle w:val="TableGrid"/>
        <w:tblW w:w="0" w:type="auto"/>
        <w:tblLook w:val="0000" w:firstRow="0" w:lastRow="0" w:firstColumn="0" w:lastColumn="0" w:noHBand="0" w:noVBand="0"/>
      </w:tblPr>
      <w:tblGrid>
        <w:gridCol w:w="2200"/>
        <w:gridCol w:w="2100"/>
        <w:gridCol w:w="2350"/>
        <w:gridCol w:w="2376"/>
      </w:tblGrid>
      <w:tr w:rsidR="6A65EC4E" w:rsidTr="3927AF3A" w14:paraId="5B8493A3">
        <w:trPr>
          <w:tblHeader/>
        </w:trPr>
        <w:tc>
          <w:tcPr>
            <w:tcW w:w="2200" w:type="dxa"/>
            <w:tcMar/>
          </w:tcPr>
          <w:p w:rsidR="6A65EC4E" w:rsidRDefault="6A65EC4E" w14:paraId="70197B73" w14:textId="77B8E295" w14:noSpellErr="1">
            <w:r w:rsidRPr="3927AF3A" w:rsidR="3794A404">
              <w:rPr>
                <w:b w:val="1"/>
                <w:bCs w:val="1"/>
              </w:rPr>
              <w:t>Decision / action</w:t>
            </w:r>
          </w:p>
        </w:tc>
        <w:tc>
          <w:tcPr>
            <w:tcW w:w="2100" w:type="dxa"/>
            <w:tcMar/>
          </w:tcPr>
          <w:p w:rsidR="6A65EC4E" w:rsidRDefault="6A65EC4E" w14:paraId="10A83863" w14:textId="7096C959" w14:noSpellErr="1">
            <w:r w:rsidRPr="3927AF3A" w:rsidR="3794A404">
              <w:rPr>
                <w:b w:val="1"/>
                <w:bCs w:val="1"/>
              </w:rPr>
              <w:t>Accountable role</w:t>
            </w:r>
          </w:p>
        </w:tc>
        <w:tc>
          <w:tcPr>
            <w:tcW w:w="2350" w:type="dxa"/>
            <w:tcMar/>
          </w:tcPr>
          <w:p w:rsidR="6A65EC4E" w:rsidRDefault="6A65EC4E" w14:paraId="4873CDB0" w14:textId="6974B01D" w14:noSpellErr="1">
            <w:r w:rsidRPr="3927AF3A" w:rsidR="3794A404">
              <w:rPr>
                <w:b w:val="1"/>
                <w:bCs w:val="1"/>
              </w:rPr>
              <w:t>Evidence to review</w:t>
            </w:r>
          </w:p>
        </w:tc>
        <w:tc>
          <w:tcPr>
            <w:tcW w:w="2376" w:type="dxa"/>
            <w:tcMar/>
          </w:tcPr>
          <w:p w:rsidR="6A65EC4E" w:rsidRDefault="6A65EC4E" w14:paraId="2337FD95" w14:textId="625296E1" w14:noSpellErr="1">
            <w:r w:rsidRPr="3927AF3A" w:rsidR="3794A404">
              <w:rPr>
                <w:b w:val="1"/>
                <w:bCs w:val="1"/>
              </w:rPr>
              <w:t>Proposed gate</w:t>
            </w:r>
          </w:p>
        </w:tc>
      </w:tr>
      <w:tr w:rsidR="6A65EC4E" w:rsidTr="3927AF3A" w14:paraId="3739CFEB">
        <w:tc>
          <w:tcPr>
            <w:tcW w:w="2200" w:type="dxa"/>
            <w:tcMar/>
          </w:tcPr>
          <w:p w:rsidR="6A65EC4E" w:rsidRDefault="6A65EC4E" w14:noSpellErr="1" w14:paraId="28260CFC" w14:textId="7967F756">
            <w:r w:rsidR="6A65EC4E">
              <w:rPr/>
              <w:t>Create a customer-level economic baseline</w:t>
            </w:r>
          </w:p>
        </w:tc>
        <w:tc>
          <w:tcPr>
            <w:tcW w:w="2100" w:type="dxa"/>
            <w:tcMar/>
          </w:tcPr>
          <w:p w:rsidR="6A65EC4E" w:rsidRDefault="6A65EC4E" w14:noSpellErr="1" w14:paraId="3AADCB91" w14:textId="7245DE1A">
            <w:r w:rsidR="6A65EC4E">
              <w:rPr/>
              <w:t>Finance and COO</w:t>
            </w:r>
          </w:p>
        </w:tc>
        <w:tc>
          <w:tcPr>
            <w:tcW w:w="2350" w:type="dxa"/>
            <w:tcMar/>
          </w:tcPr>
          <w:p w:rsidR="6A65EC4E" w:rsidRDefault="6A65EC4E" w14:noSpellErr="1" w14:paraId="172E11CD" w14:textId="6B23C4DE">
            <w:r w:rsidR="6A65EC4E">
              <w:rPr/>
              <w:t>Labour, tools, rework, revenue recognition and cash collection</w:t>
            </w:r>
          </w:p>
        </w:tc>
        <w:tc>
          <w:tcPr>
            <w:tcW w:w="2376" w:type="dxa"/>
            <w:tcMar/>
          </w:tcPr>
          <w:p w:rsidR="6A65EC4E" w:rsidRDefault="6A65EC4E" w14:noSpellErr="1" w14:paraId="59D76959" w14:textId="6401ABA2">
            <w:r w:rsidR="6A65EC4E">
              <w:rPr/>
              <w:t>No major repricing without contribution visibility</w:t>
            </w:r>
          </w:p>
        </w:tc>
      </w:tr>
      <w:tr w:rsidR="6A65EC4E" w:rsidTr="3927AF3A" w14:paraId="7C0DEC4C">
        <w:tc>
          <w:tcPr>
            <w:tcW w:w="2200" w:type="dxa"/>
            <w:tcMar/>
          </w:tcPr>
          <w:p w:rsidR="6A65EC4E" w:rsidRDefault="6A65EC4E" w14:noSpellErr="1" w14:paraId="583F7419" w14:textId="7B170C17">
            <w:r w:rsidR="6A65EC4E">
              <w:rPr/>
              <w:t>Assess service substitutability</w:t>
            </w:r>
          </w:p>
        </w:tc>
        <w:tc>
          <w:tcPr>
            <w:tcW w:w="2100" w:type="dxa"/>
            <w:tcMar/>
          </w:tcPr>
          <w:p w:rsidR="6A65EC4E" w:rsidRDefault="6A65EC4E" w14:noSpellErr="1" w14:paraId="5BD089DE" w14:textId="73F4F2DB">
            <w:r w:rsidR="6A65EC4E">
              <w:rPr/>
              <w:t>Practice leads</w:t>
            </w:r>
          </w:p>
        </w:tc>
        <w:tc>
          <w:tcPr>
            <w:tcW w:w="2350" w:type="dxa"/>
            <w:tcMar/>
          </w:tcPr>
          <w:p w:rsidR="6A65EC4E" w:rsidRDefault="6A65EC4E" w14:noSpellErr="1" w14:paraId="18028422" w14:textId="6CD2D99F">
            <w:r w:rsidR="6A65EC4E">
              <w:rPr/>
              <w:t>Tasks already included in customers' platform licences</w:t>
            </w:r>
          </w:p>
        </w:tc>
        <w:tc>
          <w:tcPr>
            <w:tcW w:w="2376" w:type="dxa"/>
            <w:tcMar/>
          </w:tcPr>
          <w:p w:rsidR="6A65EC4E" w:rsidRDefault="6A65EC4E" w14:noSpellErr="1" w14:paraId="7878FE33" w14:textId="65B0C063">
            <w:r w:rsidR="6A65EC4E">
              <w:rPr/>
              <w:t>Retire duplicate work or explain independent value</w:t>
            </w:r>
          </w:p>
        </w:tc>
      </w:tr>
      <w:tr w:rsidR="6A65EC4E" w:rsidTr="3927AF3A" w14:paraId="603CF703">
        <w:tc>
          <w:tcPr>
            <w:tcW w:w="2200" w:type="dxa"/>
            <w:tcMar/>
          </w:tcPr>
          <w:p w:rsidR="6A65EC4E" w:rsidRDefault="6A65EC4E" w14:noSpellErr="1" w14:paraId="11B9F163" w14:textId="7CC620D8">
            <w:r w:rsidR="6A65EC4E">
              <w:rPr/>
              <w:t>Select internal automation pilots</w:t>
            </w:r>
          </w:p>
        </w:tc>
        <w:tc>
          <w:tcPr>
            <w:tcW w:w="2100" w:type="dxa"/>
            <w:tcMar/>
          </w:tcPr>
          <w:p w:rsidR="6A65EC4E" w:rsidRDefault="6A65EC4E" w14:noSpellErr="1" w14:paraId="1AC0607B" w14:textId="75A4079C">
            <w:r w:rsidR="6A65EC4E">
              <w:rPr/>
              <w:t>COO</w:t>
            </w:r>
          </w:p>
        </w:tc>
        <w:tc>
          <w:tcPr>
            <w:tcW w:w="2350" w:type="dxa"/>
            <w:tcMar/>
          </w:tcPr>
          <w:p w:rsidR="6A65EC4E" w:rsidRDefault="6A65EC4E" w14:noSpellErr="1" w14:paraId="7231A659" w14:textId="6E81EE60">
            <w:r w:rsidR="6A65EC4E">
              <w:rPr/>
              <w:t>Before/after effort, error rate and escalation cost</w:t>
            </w:r>
          </w:p>
        </w:tc>
        <w:tc>
          <w:tcPr>
            <w:tcW w:w="2376" w:type="dxa"/>
            <w:tcMar/>
          </w:tcPr>
          <w:p w:rsidR="6A65EC4E" w:rsidRDefault="6A65EC4E" w14:noSpellErr="1" w14:paraId="32D715B0" w14:textId="675FD524">
            <w:r w:rsidR="6A65EC4E">
              <w:rPr/>
              <w:t>Scale only with quality and unit-economics improvement</w:t>
            </w:r>
          </w:p>
        </w:tc>
      </w:tr>
      <w:tr w:rsidR="6A65EC4E" w:rsidTr="3927AF3A" w14:paraId="2B644E4A">
        <w:tc>
          <w:tcPr>
            <w:tcW w:w="2200" w:type="dxa"/>
            <w:tcMar/>
          </w:tcPr>
          <w:p w:rsidR="6A65EC4E" w:rsidRDefault="6A65EC4E" w14:noSpellErr="1" w14:paraId="38716EC9" w14:textId="7E753599">
            <w:r w:rsidR="6A65EC4E">
              <w:rPr/>
              <w:t>Make security accountability explicit</w:t>
            </w:r>
          </w:p>
        </w:tc>
        <w:tc>
          <w:tcPr>
            <w:tcW w:w="2100" w:type="dxa"/>
            <w:tcMar/>
          </w:tcPr>
          <w:p w:rsidR="6A65EC4E" w:rsidRDefault="6A65EC4E" w14:noSpellErr="1" w14:paraId="427E65E7" w14:textId="77531C5D">
            <w:r w:rsidR="6A65EC4E">
              <w:rPr/>
              <w:t>Security lead</w:t>
            </w:r>
          </w:p>
        </w:tc>
        <w:tc>
          <w:tcPr>
            <w:tcW w:w="2350" w:type="dxa"/>
            <w:tcMar/>
          </w:tcPr>
          <w:p w:rsidR="6A65EC4E" w:rsidRDefault="6A65EC4E" w14:noSpellErr="1" w14:paraId="478549B7" w14:textId="70310321">
            <w:r w:rsidR="6A65EC4E">
              <w:rPr/>
              <w:t>Response coverage, identity controls and recovery evidence</w:t>
            </w:r>
          </w:p>
        </w:tc>
        <w:tc>
          <w:tcPr>
            <w:tcW w:w="2376" w:type="dxa"/>
            <w:tcMar/>
          </w:tcPr>
          <w:p w:rsidR="6A65EC4E" w:rsidRDefault="6A65EC4E" w14:noSpellErr="1" w14:paraId="2928CD36" w14:textId="690EE9E5">
            <w:r w:rsidR="6A65EC4E">
              <w:rPr/>
              <w:t>No unsupported guarantees or unclear response ownership</w:t>
            </w:r>
          </w:p>
        </w:tc>
      </w:tr>
      <w:tr w:rsidR="6A65EC4E" w:rsidTr="3927AF3A" w14:paraId="6C246EF7">
        <w:tc>
          <w:tcPr>
            <w:tcW w:w="2200" w:type="dxa"/>
            <w:tcMar/>
          </w:tcPr>
          <w:p w:rsidR="6A65EC4E" w:rsidRDefault="6A65EC4E" w14:noSpellErr="1" w14:paraId="1511B185" w14:textId="00244A5A">
            <w:r w:rsidR="6A65EC4E">
              <w:rPr/>
              <w:t>Validate a vertical workflow offer</w:t>
            </w:r>
          </w:p>
        </w:tc>
        <w:tc>
          <w:tcPr>
            <w:tcW w:w="2100" w:type="dxa"/>
            <w:tcMar/>
          </w:tcPr>
          <w:p w:rsidR="6A65EC4E" w:rsidRDefault="6A65EC4E" w14:noSpellErr="1" w14:paraId="605DDA1B" w14:textId="7902311E">
            <w:r w:rsidR="6A65EC4E">
              <w:rPr/>
              <w:t>Commercial lead</w:t>
            </w:r>
          </w:p>
        </w:tc>
        <w:tc>
          <w:tcPr>
            <w:tcW w:w="2350" w:type="dxa"/>
            <w:tcMar/>
          </w:tcPr>
          <w:p w:rsidR="6A65EC4E" w:rsidRDefault="6A65EC4E" w14:noSpellErr="1" w14:paraId="405D8B69" w14:textId="71E017E2">
            <w:r w:rsidR="6A65EC4E">
              <w:rPr/>
              <w:t>Paid demand, business baseline and measurable adoption</w:t>
            </w:r>
          </w:p>
        </w:tc>
        <w:tc>
          <w:tcPr>
            <w:tcW w:w="2376" w:type="dxa"/>
            <w:tcMar/>
          </w:tcPr>
          <w:p w:rsidR="6A65EC4E" w:rsidRDefault="6A65EC4E" w14:noSpellErr="1" w14:paraId="45FC81BC" w14:textId="6ABDFEA6">
            <w:r w:rsidR="6A65EC4E">
              <w:rPr/>
              <w:t>Convert to recurring service only after acceptance</w:t>
            </w:r>
          </w:p>
        </w:tc>
      </w:tr>
      <w:tr w:rsidR="6A65EC4E" w:rsidTr="3927AF3A" w14:paraId="5C9BAE3D">
        <w:tc>
          <w:tcPr>
            <w:tcW w:w="2200" w:type="dxa"/>
            <w:tcMar/>
          </w:tcPr>
          <w:p w:rsidR="6A65EC4E" w:rsidRDefault="6A65EC4E" w14:noSpellErr="1" w14:paraId="4327128F" w14:textId="01D35F1B">
            <w:r w:rsidR="6A65EC4E">
              <w:rPr/>
              <w:t>Establish AI governance and evaluation</w:t>
            </w:r>
          </w:p>
        </w:tc>
        <w:tc>
          <w:tcPr>
            <w:tcW w:w="2100" w:type="dxa"/>
            <w:tcMar/>
          </w:tcPr>
          <w:p w:rsidR="6A65EC4E" w:rsidRDefault="6A65EC4E" w14:noSpellErr="1" w14:paraId="2ED819A7" w14:textId="7AB145DF">
            <w:r w:rsidR="6A65EC4E">
              <w:rPr/>
              <w:t>Technical and risk leads</w:t>
            </w:r>
          </w:p>
        </w:tc>
        <w:tc>
          <w:tcPr>
            <w:tcW w:w="2350" w:type="dxa"/>
            <w:tcMar/>
          </w:tcPr>
          <w:p w:rsidR="6A65EC4E" w:rsidRDefault="6A65EC4E" w14:noSpellErr="1" w14:paraId="1A51D0BF" w14:textId="738F2CA3">
            <w:r w:rsidR="6A65EC4E">
              <w:rPr/>
              <w:t>Permissions, data use, test cases, monitoring and fallback</w:t>
            </w:r>
          </w:p>
        </w:tc>
        <w:tc>
          <w:tcPr>
            <w:tcW w:w="2376" w:type="dxa"/>
            <w:tcMar/>
          </w:tcPr>
          <w:p w:rsidR="6A65EC4E" w:rsidRDefault="6A65EC4E" w14:noSpellErr="1" w14:paraId="73EB6575" w14:textId="6C6D1367">
            <w:r w:rsidR="6A65EC4E">
              <w:rPr/>
              <w:t>No privileged autonomy without controls</w:t>
            </w:r>
          </w:p>
        </w:tc>
      </w:tr>
      <w:tr w:rsidR="6A65EC4E" w:rsidTr="3927AF3A" w14:paraId="54644BDF">
        <w:tc>
          <w:tcPr>
            <w:tcW w:w="2200" w:type="dxa"/>
            <w:tcMar/>
          </w:tcPr>
          <w:p w:rsidR="6A65EC4E" w:rsidRDefault="6A65EC4E" w14:noSpellErr="1" w14:paraId="14157321" w14:textId="038273DC">
            <w:r w:rsidR="6A65EC4E">
              <w:rPr/>
              <w:t>Revise contract and pricing architecture</w:t>
            </w:r>
          </w:p>
        </w:tc>
        <w:tc>
          <w:tcPr>
            <w:tcW w:w="2100" w:type="dxa"/>
            <w:tcMar/>
          </w:tcPr>
          <w:p w:rsidR="6A65EC4E" w:rsidRDefault="6A65EC4E" w14:noSpellErr="1" w14:paraId="36B41666" w14:textId="7C605AA0">
            <w:r w:rsidR="6A65EC4E">
              <w:rPr/>
              <w:t>CEO, finance and legal advisers</w:t>
            </w:r>
          </w:p>
        </w:tc>
        <w:tc>
          <w:tcPr>
            <w:tcW w:w="2350" w:type="dxa"/>
            <w:tcMar/>
          </w:tcPr>
          <w:p w:rsidR="6A65EC4E" w:rsidRDefault="6A65EC4E" w14:noSpellErr="1" w14:paraId="54A8DABC" w14:textId="753E4164">
            <w:r w:rsidR="6A65EC4E">
              <w:rPr/>
              <w:t>Scope, consumption, IP, attribution and exit rights</w:t>
            </w:r>
          </w:p>
        </w:tc>
        <w:tc>
          <w:tcPr>
            <w:tcW w:w="2376" w:type="dxa"/>
            <w:tcMar/>
          </w:tcPr>
          <w:p w:rsidR="6A65EC4E" w:rsidRDefault="6A65EC4E" w14:noSpellErr="1" w14:paraId="7A7BA0B1" w14:textId="6E1C2828">
            <w:r w:rsidR="6A65EC4E">
              <w:rPr/>
              <w:t>Margin floor and bounded risk at renewal</w:t>
            </w:r>
          </w:p>
        </w:tc>
      </w:tr>
      <w:tr w:rsidR="6A65EC4E" w:rsidTr="3927AF3A" w14:paraId="2A2840B2">
        <w:tc>
          <w:tcPr>
            <w:tcW w:w="2200" w:type="dxa"/>
            <w:tcMar/>
          </w:tcPr>
          <w:p w:rsidR="6A65EC4E" w:rsidRDefault="6A65EC4E" w14:noSpellErr="1" w14:paraId="35684694" w14:textId="0531889D">
            <w:r w:rsidR="6A65EC4E">
              <w:rPr/>
              <w:t>Re-underwrite acquisition and funding plans</w:t>
            </w:r>
          </w:p>
        </w:tc>
        <w:tc>
          <w:tcPr>
            <w:tcW w:w="2100" w:type="dxa"/>
            <w:tcMar/>
          </w:tcPr>
          <w:p w:rsidR="6A65EC4E" w:rsidRDefault="6A65EC4E" w14:noSpellErr="1" w14:paraId="58962242" w14:textId="7E0F6F61">
            <w:r w:rsidR="6A65EC4E">
              <w:rPr/>
              <w:t>Board and investors</w:t>
            </w:r>
          </w:p>
        </w:tc>
        <w:tc>
          <w:tcPr>
            <w:tcW w:w="2350" w:type="dxa"/>
            <w:tcMar/>
          </w:tcPr>
          <w:p w:rsidR="6A65EC4E" w:rsidRDefault="6A65EC4E" w14:noSpellErr="1" w14:paraId="66C7764B" w14:textId="76ED5625">
            <w:r w:rsidR="6A65EC4E">
              <w:rPr/>
              <w:t>Organic retained gross profit, integration costs and downside cash</w:t>
            </w:r>
          </w:p>
        </w:tc>
        <w:tc>
          <w:tcPr>
            <w:tcW w:w="2376" w:type="dxa"/>
            <w:tcMar/>
          </w:tcPr>
          <w:p w:rsidR="6A65EC4E" w:rsidRDefault="6A65EC4E" w14:noSpellErr="1" w14:paraId="3044A920" w14:textId="6FCB3CE9">
            <w:r w:rsidR="6A65EC4E">
              <w:rPr/>
              <w:t>No debt case based on unproven AI savings</w:t>
            </w:r>
          </w:p>
        </w:tc>
      </w:tr>
    </w:tbl>
    <w:p w:rsidR="6A65EC4E" w:rsidRDefault="6A65EC4E" w14:noSpellErr="1" w14:paraId="287116DC" w14:textId="2A0199E8">
      <w:r w:rsidR="6A65EC4E">
        <w:rPr/>
        <w:t>The gate language is a recommended management policy, not a universal threshold. Set numeric thresholds from the firm's baseline and contract risk rather than importing a vendor's headline success rate. Require the same evidence from an internal pilot that would persuade a sceptical customer: a defined starting state, a counterfactual or comparable workload, complete costs and a quality measure.</w:t>
      </w:r>
    </w:p>
    <w:p w:rsidR="6A65EC4E" w:rsidRDefault="6A65EC4E" w14:noSpellErr="1" w14:paraId="7E1DDD9E" w14:textId="2CEF2164">
      <w:r w:rsidR="6A65EC4E">
        <w:rPr/>
        <w:t>For Microsoft-centred providers, review existing customer entitlements before selling another administrative or security layer. Where the platform already supplies the function, the provider's offer must explain configuration, integration, assurance, response or adoption value beyond access to the feature. Maintain enough supplier diversity and documented exit processes to avoid making the entire customer relationship dependent on one incentive schedule.</w:t>
      </w:r>
    </w:p>
    <w:p w:rsidR="6A65EC4E" w:rsidP="6A65EC4E" w:rsidRDefault="6A65EC4E" w14:paraId="7574630F" w14:textId="458A60D3" w14:noSpellErr="1">
      <w:pPr>
        <w:pStyle w:val="Heading2"/>
      </w:pPr>
      <w:r w:rsidRPr="3927AF3A" w:rsidR="3794A404">
        <w:rPr>
          <w:color w:val="006D77"/>
        </w:rPr>
        <w:t>11.1 A board scorecard that detects erosion early</w:t>
      </w:r>
    </w:p>
    <w:tbl>
      <w:tblPr>
        <w:tblStyle w:val="TableGrid"/>
        <w:tblW w:w="0" w:type="auto"/>
        <w:tblLook w:val="0000" w:firstRow="0" w:lastRow="0" w:firstColumn="0" w:lastColumn="0" w:noHBand="0" w:noVBand="0"/>
      </w:tblPr>
      <w:tblGrid>
        <w:gridCol w:w="2200"/>
        <w:gridCol w:w="2100"/>
        <w:gridCol w:w="2350"/>
        <w:gridCol w:w="2376"/>
      </w:tblGrid>
      <w:tr w:rsidR="6A65EC4E" w:rsidTr="3927AF3A" w14:paraId="2AC98CC8">
        <w:trPr>
          <w:tblHeader/>
        </w:trPr>
        <w:tc>
          <w:tcPr>
            <w:tcW w:w="2200" w:type="dxa"/>
            <w:tcMar/>
          </w:tcPr>
          <w:p w:rsidR="6A65EC4E" w:rsidRDefault="6A65EC4E" w14:noSpellErr="1" w14:paraId="2F5E0580" w14:textId="717A51AA">
            <w:r w:rsidR="6A65EC4E">
              <w:rPr/>
              <w:t>Indicator</w:t>
            </w:r>
          </w:p>
        </w:tc>
        <w:tc>
          <w:tcPr>
            <w:tcW w:w="2100" w:type="dxa"/>
            <w:tcMar/>
          </w:tcPr>
          <w:p w:rsidR="6A65EC4E" w:rsidRDefault="6A65EC4E" w14:noSpellErr="1" w14:paraId="323A4D06" w14:textId="6A58386E">
            <w:r w:rsidR="6A65EC4E">
              <w:rPr/>
              <w:t>Measure</w:t>
            </w:r>
          </w:p>
        </w:tc>
        <w:tc>
          <w:tcPr>
            <w:tcW w:w="2350" w:type="dxa"/>
            <w:tcMar/>
          </w:tcPr>
          <w:p w:rsidR="6A65EC4E" w:rsidRDefault="6A65EC4E" w14:paraId="2A152096" w14:textId="63361F32" w14:noSpellErr="1">
            <w:r w:rsidRPr="3927AF3A" w:rsidR="3794A404">
              <w:rPr>
                <w:b w:val="1"/>
                <w:bCs w:val="1"/>
              </w:rPr>
              <w:t>Why it matters</w:t>
            </w:r>
          </w:p>
        </w:tc>
        <w:tc>
          <w:tcPr>
            <w:tcW w:w="2376" w:type="dxa"/>
            <w:tcMar/>
          </w:tcPr>
          <w:p w:rsidR="6A65EC4E" w:rsidRDefault="6A65EC4E" w14:paraId="6384BF4B" w14:textId="5C1405F6" w14:noSpellErr="1">
            <w:r w:rsidRPr="3927AF3A" w:rsidR="3794A404">
              <w:rPr>
                <w:b w:val="1"/>
                <w:bCs w:val="1"/>
              </w:rPr>
              <w:t>Action if worsening</w:t>
            </w:r>
          </w:p>
        </w:tc>
      </w:tr>
      <w:tr w:rsidR="6A65EC4E" w:rsidTr="3927AF3A" w14:paraId="3C7DF535">
        <w:tc>
          <w:tcPr>
            <w:tcW w:w="2200" w:type="dxa"/>
            <w:tcMar/>
          </w:tcPr>
          <w:p w:rsidR="6A65EC4E" w:rsidRDefault="6A65EC4E" w14:noSpellErr="1" w14:paraId="1FA592DA" w14:textId="7329666B">
            <w:r w:rsidR="6A65EC4E">
              <w:rPr/>
              <w:t>Retained gross profit</w:t>
            </w:r>
          </w:p>
        </w:tc>
        <w:tc>
          <w:tcPr>
            <w:tcW w:w="2100" w:type="dxa"/>
            <w:tcMar/>
          </w:tcPr>
          <w:p w:rsidR="6A65EC4E" w:rsidRDefault="6A65EC4E" w14:noSpellErr="1" w14:paraId="409F1836" w14:textId="6C074D2F">
            <w:r w:rsidR="6A65EC4E">
              <w:rPr/>
              <w:t>Same-customer recurring gross profit after price, tools and labour</w:t>
            </w:r>
          </w:p>
        </w:tc>
        <w:tc>
          <w:tcPr>
            <w:tcW w:w="2350" w:type="dxa"/>
            <w:tcMar/>
          </w:tcPr>
          <w:p w:rsidR="6A65EC4E" w:rsidRDefault="6A65EC4E" w14:noSpellErr="1" w14:paraId="5FDE82DC" w14:textId="64E533F3">
            <w:r w:rsidR="6A65EC4E">
              <w:rPr/>
              <w:t>Separates growth from deteriorating delivery economics</w:t>
            </w:r>
          </w:p>
        </w:tc>
        <w:tc>
          <w:tcPr>
            <w:tcW w:w="2376" w:type="dxa"/>
            <w:tcMar/>
          </w:tcPr>
          <w:p w:rsidR="6A65EC4E" w:rsidRDefault="6A65EC4E" w14:noSpellErr="1" w14:paraId="57A03319" w14:textId="5DC31AB7">
            <w:r w:rsidR="6A65EC4E">
              <w:rPr/>
              <w:t>Reprice, rescope or redesign the cohort</w:t>
            </w:r>
          </w:p>
        </w:tc>
      </w:tr>
      <w:tr w:rsidR="6A65EC4E" w:rsidTr="3927AF3A" w14:paraId="596F4FFB">
        <w:tc>
          <w:tcPr>
            <w:tcW w:w="2200" w:type="dxa"/>
            <w:tcMar/>
          </w:tcPr>
          <w:p w:rsidR="6A65EC4E" w:rsidRDefault="6A65EC4E" w14:noSpellErr="1" w14:paraId="55FE3A2F" w14:textId="74D87B2C">
            <w:r w:rsidR="6A65EC4E">
              <w:rPr/>
              <w:t>Cash automation benefit</w:t>
            </w:r>
          </w:p>
        </w:tc>
        <w:tc>
          <w:tcPr>
            <w:tcW w:w="2100" w:type="dxa"/>
            <w:tcMar/>
          </w:tcPr>
          <w:p w:rsidR="6A65EC4E" w:rsidRDefault="6A65EC4E" w14:noSpellErr="1" w14:paraId="4B4F911D" w14:textId="6DB661F0">
            <w:r w:rsidR="6A65EC4E">
              <w:rPr/>
              <w:t>Avoided hiring or cash cost removed, less complete AI cost</w:t>
            </w:r>
          </w:p>
        </w:tc>
        <w:tc>
          <w:tcPr>
            <w:tcW w:w="2350" w:type="dxa"/>
            <w:tcMar/>
          </w:tcPr>
          <w:p w:rsidR="6A65EC4E" w:rsidRDefault="6A65EC4E" w14:noSpellErr="1" w14:paraId="46C7EB42" w14:textId="669448B4">
            <w:r w:rsidR="6A65EC4E">
              <w:rPr/>
              <w:t>Separates capacity from realised profit</w:t>
            </w:r>
          </w:p>
        </w:tc>
        <w:tc>
          <w:tcPr>
            <w:tcW w:w="2376" w:type="dxa"/>
            <w:tcMar/>
          </w:tcPr>
          <w:p w:rsidR="6A65EC4E" w:rsidRDefault="6A65EC4E" w14:noSpellErr="1" w14:paraId="450EB0A8" w14:textId="5F722F78">
            <w:r w:rsidR="6A65EC4E">
              <w:rPr/>
              <w:t>Narrow pilots; fix workflow and adoption</w:t>
            </w:r>
          </w:p>
        </w:tc>
      </w:tr>
      <w:tr w:rsidR="6A65EC4E" w:rsidTr="3927AF3A" w14:paraId="412CF55D">
        <w:tc>
          <w:tcPr>
            <w:tcW w:w="2200" w:type="dxa"/>
            <w:tcMar/>
          </w:tcPr>
          <w:p w:rsidR="6A65EC4E" w:rsidRDefault="6A65EC4E" w14:noSpellErr="1" w14:paraId="16981338" w14:textId="76878FED">
            <w:r w:rsidR="6A65EC4E">
              <w:rPr/>
              <w:t>Service quality</w:t>
            </w:r>
          </w:p>
        </w:tc>
        <w:tc>
          <w:tcPr>
            <w:tcW w:w="2100" w:type="dxa"/>
            <w:tcMar/>
          </w:tcPr>
          <w:p w:rsidR="6A65EC4E" w:rsidRDefault="6A65EC4E" w14:noSpellErr="1" w14:paraId="7D3B3B24" w14:textId="6F6576B1">
            <w:r w:rsidR="6A65EC4E">
              <w:rPr/>
              <w:t>Reopens, incorrect actions, incidents and resolution time</w:t>
            </w:r>
          </w:p>
        </w:tc>
        <w:tc>
          <w:tcPr>
            <w:tcW w:w="2350" w:type="dxa"/>
            <w:tcMar/>
          </w:tcPr>
          <w:p w:rsidR="6A65EC4E" w:rsidRDefault="6A65EC4E" w14:noSpellErr="1" w14:paraId="39C6AF78" w14:textId="68435D75">
            <w:r w:rsidR="6A65EC4E">
              <w:rPr/>
              <w:t>Prevents false savings from displaced rework</w:t>
            </w:r>
          </w:p>
        </w:tc>
        <w:tc>
          <w:tcPr>
            <w:tcW w:w="2376" w:type="dxa"/>
            <w:tcMar/>
          </w:tcPr>
          <w:p w:rsidR="6A65EC4E" w:rsidRDefault="6A65EC4E" w14:noSpellErr="1" w14:paraId="2FA1AD79" w14:textId="61214439">
            <w:r w:rsidR="6A65EC4E">
              <w:rPr/>
              <w:t>Reduce autonomy and strengthen evaluations</w:t>
            </w:r>
          </w:p>
        </w:tc>
      </w:tr>
      <w:tr w:rsidR="6A65EC4E" w:rsidTr="3927AF3A" w14:paraId="13154148">
        <w:tc>
          <w:tcPr>
            <w:tcW w:w="2200" w:type="dxa"/>
            <w:tcMar/>
          </w:tcPr>
          <w:p w:rsidR="6A65EC4E" w:rsidRDefault="6A65EC4E" w14:noSpellErr="1" w14:paraId="7A23AB7A" w14:textId="7836A4AE">
            <w:r w:rsidR="6A65EC4E">
              <w:rPr/>
              <w:t>Price realisation</w:t>
            </w:r>
          </w:p>
        </w:tc>
        <w:tc>
          <w:tcPr>
            <w:tcW w:w="2100" w:type="dxa"/>
            <w:tcMar/>
          </w:tcPr>
          <w:p w:rsidR="6A65EC4E" w:rsidRDefault="6A65EC4E" w14:noSpellErr="1" w14:paraId="650CD2B7" w14:textId="71148B72">
            <w:r w:rsidR="6A65EC4E">
              <w:rPr/>
              <w:t>Like-for-like net price at renewal</w:t>
            </w:r>
          </w:p>
        </w:tc>
        <w:tc>
          <w:tcPr>
            <w:tcW w:w="2350" w:type="dxa"/>
            <w:tcMar/>
          </w:tcPr>
          <w:p w:rsidR="6A65EC4E" w:rsidRDefault="6A65EC4E" w14:noSpellErr="1" w14:paraId="59859ECC" w14:textId="69F27236">
            <w:r w:rsidR="6A65EC4E">
              <w:rPr/>
              <w:t>Detects commoditisation before churn</w:t>
            </w:r>
          </w:p>
        </w:tc>
        <w:tc>
          <w:tcPr>
            <w:tcW w:w="2376" w:type="dxa"/>
            <w:tcMar/>
          </w:tcPr>
          <w:p w:rsidR="6A65EC4E" w:rsidRDefault="6A65EC4E" w14:noSpellErr="1" w14:paraId="3071CD62" w14:textId="62D058FA">
            <w:r w:rsidR="6A65EC4E">
              <w:rPr/>
              <w:t>Clarify outcomes and adjust packaging</w:t>
            </w:r>
          </w:p>
        </w:tc>
      </w:tr>
      <w:tr w:rsidR="6A65EC4E" w:rsidTr="3927AF3A" w14:paraId="7B07F187">
        <w:tc>
          <w:tcPr>
            <w:tcW w:w="2200" w:type="dxa"/>
            <w:tcMar/>
          </w:tcPr>
          <w:p w:rsidR="6A65EC4E" w:rsidRDefault="6A65EC4E" w14:noSpellErr="1" w14:paraId="1AED208E" w14:textId="79E5B96F">
            <w:r w:rsidR="6A65EC4E">
              <w:rPr/>
              <w:t>New-service durability</w:t>
            </w:r>
          </w:p>
        </w:tc>
        <w:tc>
          <w:tcPr>
            <w:tcW w:w="2100" w:type="dxa"/>
            <w:tcMar/>
          </w:tcPr>
          <w:p w:rsidR="6A65EC4E" w:rsidRDefault="6A65EC4E" w14:noSpellErr="1" w14:paraId="6AEC1F67" w14:textId="72C3A033">
            <w:r w:rsidR="6A65EC4E">
              <w:rPr/>
              <w:t>Renewal, expansion and contribution of paid new offers</w:t>
            </w:r>
          </w:p>
        </w:tc>
        <w:tc>
          <w:tcPr>
            <w:tcW w:w="2350" w:type="dxa"/>
            <w:tcMar/>
          </w:tcPr>
          <w:p w:rsidR="6A65EC4E" w:rsidRDefault="6A65EC4E" w14:noSpellErr="1" w14:paraId="367C5660" w14:textId="6BA186F7">
            <w:r w:rsidR="6A65EC4E">
              <w:rPr/>
              <w:t>Tests whether transformation is repeatable</w:t>
            </w:r>
          </w:p>
        </w:tc>
        <w:tc>
          <w:tcPr>
            <w:tcW w:w="2376" w:type="dxa"/>
            <w:tcMar/>
          </w:tcPr>
          <w:p w:rsidR="6A65EC4E" w:rsidRDefault="6A65EC4E" w14:noSpellErr="1" w14:paraId="3CBBC656" w14:textId="647F6DBB">
            <w:r w:rsidR="6A65EC4E">
              <w:rPr/>
              <w:t>Stop low-value experiments; refine the offer</w:t>
            </w:r>
          </w:p>
        </w:tc>
      </w:tr>
      <w:tr w:rsidR="6A65EC4E" w:rsidTr="3927AF3A" w14:paraId="17FE1A04">
        <w:tc>
          <w:tcPr>
            <w:tcW w:w="2200" w:type="dxa"/>
            <w:tcMar/>
          </w:tcPr>
          <w:p w:rsidR="6A65EC4E" w:rsidRDefault="6A65EC4E" w14:noSpellErr="1" w14:paraId="611E0A0F" w14:textId="7B94CE30">
            <w:r w:rsidR="6A65EC4E">
              <w:rPr/>
              <w:t>Dependence</w:t>
            </w:r>
          </w:p>
        </w:tc>
        <w:tc>
          <w:tcPr>
            <w:tcW w:w="2100" w:type="dxa"/>
            <w:tcMar/>
          </w:tcPr>
          <w:p w:rsidR="6A65EC4E" w:rsidRDefault="6A65EC4E" w14:noSpellErr="1" w14:paraId="73E8677B" w14:textId="7472B4F4">
            <w:r w:rsidR="6A65EC4E">
              <w:rPr/>
              <w:t>Customer, supplier and key-person concentration</w:t>
            </w:r>
          </w:p>
        </w:tc>
        <w:tc>
          <w:tcPr>
            <w:tcW w:w="2350" w:type="dxa"/>
            <w:tcMar/>
          </w:tcPr>
          <w:p w:rsidR="6A65EC4E" w:rsidRDefault="6A65EC4E" w14:noSpellErr="1" w14:paraId="23E06F2E" w14:textId="6D509BB8">
            <w:r w:rsidR="6A65EC4E">
              <w:rPr/>
              <w:t>Identifies fragile enterprise value</w:t>
            </w:r>
          </w:p>
        </w:tc>
        <w:tc>
          <w:tcPr>
            <w:tcW w:w="2376" w:type="dxa"/>
            <w:tcMar/>
          </w:tcPr>
          <w:p w:rsidR="6A65EC4E" w:rsidRDefault="6A65EC4E" w14:noSpellErr="1" w14:paraId="7B3A4F09" w14:textId="662E827C">
            <w:r w:rsidR="6A65EC4E">
              <w:rPr/>
              <w:t>Diversify and document delivery</w:t>
            </w:r>
          </w:p>
        </w:tc>
      </w:tr>
      <w:tr w:rsidR="6A65EC4E" w:rsidTr="3927AF3A" w14:paraId="1534CFD1">
        <w:tc>
          <w:tcPr>
            <w:tcW w:w="2200" w:type="dxa"/>
            <w:tcMar/>
          </w:tcPr>
          <w:p w:rsidR="6A65EC4E" w:rsidRDefault="6A65EC4E" w14:noSpellErr="1" w14:paraId="79A267E2" w14:textId="7D43E2F1">
            <w:r w:rsidR="6A65EC4E">
              <w:rPr/>
              <w:t>Security assurance</w:t>
            </w:r>
          </w:p>
        </w:tc>
        <w:tc>
          <w:tcPr>
            <w:tcW w:w="2100" w:type="dxa"/>
            <w:tcMar/>
          </w:tcPr>
          <w:p w:rsidR="6A65EC4E" w:rsidRDefault="6A65EC4E" w14:noSpellErr="1" w14:paraId="511012E3" w14:textId="7621C9B5">
            <w:r w:rsidR="6A65EC4E">
              <w:rPr/>
              <w:t>Control coverage, response evidence and recovery tests</w:t>
            </w:r>
          </w:p>
        </w:tc>
        <w:tc>
          <w:tcPr>
            <w:tcW w:w="2350" w:type="dxa"/>
            <w:tcMar/>
          </w:tcPr>
          <w:p w:rsidR="6A65EC4E" w:rsidRDefault="6A65EC4E" w14:noSpellErr="1" w14:paraId="6D2A66F3" w14:textId="6EFFB079">
            <w:r w:rsidR="6A65EC4E">
              <w:rPr/>
              <w:t>Tests the promise behind the subscription</w:t>
            </w:r>
          </w:p>
        </w:tc>
        <w:tc>
          <w:tcPr>
            <w:tcW w:w="2376" w:type="dxa"/>
            <w:tcMar/>
          </w:tcPr>
          <w:p w:rsidR="6A65EC4E" w:rsidRDefault="6A65EC4E" w14:noSpellErr="1" w14:paraId="7BB5EEB1" w14:textId="67DD973D">
            <w:r w:rsidR="6A65EC4E">
              <w:rPr/>
              <w:t>Fund remediation or specialist coverage</w:t>
            </w:r>
          </w:p>
        </w:tc>
      </w:tr>
      <w:tr w:rsidR="6A65EC4E" w:rsidTr="3927AF3A" w14:paraId="1B25DD03">
        <w:tc>
          <w:tcPr>
            <w:tcW w:w="2200" w:type="dxa"/>
            <w:tcMar/>
          </w:tcPr>
          <w:p w:rsidR="6A65EC4E" w:rsidRDefault="6A65EC4E" w14:noSpellErr="1" w14:paraId="5F0867B8" w14:textId="7EF2F7B2">
            <w:r w:rsidR="6A65EC4E">
              <w:rPr/>
              <w:t>Cash and integration</w:t>
            </w:r>
          </w:p>
        </w:tc>
        <w:tc>
          <w:tcPr>
            <w:tcW w:w="2100" w:type="dxa"/>
            <w:tcMar/>
          </w:tcPr>
          <w:p w:rsidR="6A65EC4E" w:rsidRDefault="6A65EC4E" w14:noSpellErr="1" w14:paraId="79DA4B20" w14:textId="77D0DE76">
            <w:r w:rsidR="6A65EC4E">
              <w:rPr/>
              <w:t>Collections, committed supplier cost and acquisition execution</w:t>
            </w:r>
          </w:p>
        </w:tc>
        <w:tc>
          <w:tcPr>
            <w:tcW w:w="2350" w:type="dxa"/>
            <w:tcMar/>
          </w:tcPr>
          <w:p w:rsidR="6A65EC4E" w:rsidRDefault="6A65EC4E" w14:noSpellErr="1" w14:paraId="76888B14" w14:textId="70AEC53A">
            <w:r w:rsidR="6A65EC4E">
              <w:rPr/>
              <w:t>Protects liquidity during the transition</w:t>
            </w:r>
          </w:p>
        </w:tc>
        <w:tc>
          <w:tcPr>
            <w:tcW w:w="2376" w:type="dxa"/>
            <w:tcMar/>
          </w:tcPr>
          <w:p w:rsidR="6A65EC4E" w:rsidRDefault="6A65EC4E" w14:noSpellErr="1" w14:paraId="59F28326" w14:textId="698CABFE">
            <w:r w:rsidR="6A65EC4E">
              <w:rPr/>
              <w:t>Slow expansion before the balance sheet forces it</w:t>
            </w:r>
          </w:p>
        </w:tc>
      </w:tr>
    </w:tbl>
    <w:p w:rsidR="6A65EC4E" w:rsidRDefault="6A65EC4E" w14:noSpellErr="1" w14:paraId="7A210B60" w14:textId="27154F26">
      <w:r w:rsidR="6A65EC4E">
        <w:rPr/>
        <w:t>Review these measures quarterly and examine materially different customer cohorts separately. Falling ticket counts can be positive if contracts renew and outcomes improve; they are negative if the provider loses both contribution and relevance. Rising AI consumption can signal customer value or uncontrolled cost. None of these measures should be interpreted in isolation.</w:t>
      </w:r>
    </w:p>
    <w:p w:rsidR="6A65EC4E" w:rsidP="6A65EC4E" w:rsidRDefault="6A65EC4E" w14:paraId="11B75FDE" w14:textId="51238F12" w14:noSpellErr="1">
      <w:pPr>
        <w:pStyle w:val="Heading1"/>
      </w:pPr>
      <w:r w:rsidRPr="3927AF3A" w:rsidR="3794A404">
        <w:rPr>
          <w:color w:val="17365D" w:themeColor="text2" w:themeTint="FF" w:themeShade="BF"/>
        </w:rPr>
        <w:t>12. Risks and Counterarguments</w:t>
      </w:r>
    </w:p>
    <w:p w:rsidR="6A65EC4E" w:rsidP="6A65EC4E" w:rsidRDefault="6A65EC4E" w14:paraId="2CE53C3D" w14:textId="578C79E1" w14:noSpellErr="1">
      <w:pPr>
        <w:pStyle w:val="Heading2"/>
      </w:pPr>
      <w:r w:rsidRPr="3927AF3A" w:rsidR="3794A404">
        <w:rPr>
          <w:color w:val="006D77"/>
        </w:rPr>
        <w:t>12.1 Risks in the transformation thesis itself</w:t>
      </w:r>
    </w:p>
    <w:tbl>
      <w:tblPr>
        <w:tblStyle w:val="TableGrid"/>
        <w:tblW w:w="0" w:type="auto"/>
        <w:tblLook w:val="0000" w:firstRow="0" w:lastRow="0" w:firstColumn="0" w:lastColumn="0" w:noHBand="0" w:noVBand="0"/>
      </w:tblPr>
      <w:tblGrid>
        <w:gridCol w:w="2400"/>
        <w:gridCol w:w="3150"/>
        <w:gridCol w:w="3476"/>
      </w:tblGrid>
      <w:tr w:rsidR="6A65EC4E" w:rsidTr="3927AF3A" w14:paraId="24A05E17">
        <w:trPr>
          <w:tblHeader/>
        </w:trPr>
        <w:tc>
          <w:tcPr>
            <w:tcW w:w="2400" w:type="dxa"/>
            <w:tcMar/>
          </w:tcPr>
          <w:p w:rsidR="6A65EC4E" w:rsidRDefault="6A65EC4E" w14:noSpellErr="1" w14:paraId="41CDD8CF" w14:textId="09733A70">
            <w:r w:rsidR="6A65EC4E">
              <w:rPr/>
              <w:t>Risk</w:t>
            </w:r>
          </w:p>
        </w:tc>
        <w:tc>
          <w:tcPr>
            <w:tcW w:w="3150" w:type="dxa"/>
            <w:tcMar/>
          </w:tcPr>
          <w:p w:rsidR="6A65EC4E" w:rsidRDefault="6A65EC4E" w14:paraId="415B9FBA" w14:textId="02512134" w14:noSpellErr="1">
            <w:r w:rsidRPr="3927AF3A" w:rsidR="3794A404">
              <w:rPr>
                <w:b w:val="1"/>
                <w:bCs w:val="1"/>
              </w:rPr>
              <w:t>How the thesis could be wrong or value destroyed</w:t>
            </w:r>
          </w:p>
        </w:tc>
        <w:tc>
          <w:tcPr>
            <w:tcW w:w="3476" w:type="dxa"/>
            <w:tcMar/>
          </w:tcPr>
          <w:p w:rsidR="6A65EC4E" w:rsidRDefault="6A65EC4E" w14:paraId="18364ADD" w14:textId="7B2F07F8" w14:noSpellErr="1">
            <w:r w:rsidRPr="3927AF3A" w:rsidR="3794A404">
              <w:rPr>
                <w:b w:val="1"/>
                <w:bCs w:val="1"/>
              </w:rPr>
              <w:t>Management response</w:t>
            </w:r>
          </w:p>
        </w:tc>
      </w:tr>
      <w:tr w:rsidR="6A65EC4E" w:rsidTr="3927AF3A" w14:paraId="16282494">
        <w:tc>
          <w:tcPr>
            <w:tcW w:w="2400" w:type="dxa"/>
            <w:tcMar/>
          </w:tcPr>
          <w:p w:rsidR="6A65EC4E" w:rsidRDefault="6A65EC4E" w14:noSpellErr="1" w14:paraId="5EF14B40" w14:textId="1244686D">
            <w:r w:rsidR="6A65EC4E">
              <w:rPr/>
              <w:t>Adoption is slower than capability</w:t>
            </w:r>
          </w:p>
        </w:tc>
        <w:tc>
          <w:tcPr>
            <w:tcW w:w="3150" w:type="dxa"/>
            <w:tcMar/>
          </w:tcPr>
          <w:p w:rsidR="6A65EC4E" w:rsidRDefault="6A65EC4E" w14:noSpellErr="1" w14:paraId="44CFBBF6" w14:textId="0B224F31">
            <w:r w:rsidR="6A65EC4E">
              <w:rPr/>
              <w:t>Customers retain manual support for legacy systems, trust or economics</w:t>
            </w:r>
          </w:p>
        </w:tc>
        <w:tc>
          <w:tcPr>
            <w:tcW w:w="3476" w:type="dxa"/>
            <w:tcMar/>
          </w:tcPr>
          <w:p w:rsidR="6A65EC4E" w:rsidRDefault="6A65EC4E" w14:noSpellErr="1" w14:paraId="139BF555" w14:textId="040035F5">
            <w:r w:rsidR="6A65EC4E">
              <w:rPr/>
              <w:t>Keep a profitable core and use staged investments</w:t>
            </w:r>
          </w:p>
        </w:tc>
      </w:tr>
      <w:tr w:rsidR="6A65EC4E" w:rsidTr="3927AF3A" w14:paraId="1CF09F75">
        <w:tc>
          <w:tcPr>
            <w:tcW w:w="2400" w:type="dxa"/>
            <w:tcMar/>
          </w:tcPr>
          <w:p w:rsidR="6A65EC4E" w:rsidRDefault="6A65EC4E" w14:noSpellErr="1" w14:paraId="7948BCD5" w14:textId="1B15966A">
            <w:r w:rsidR="6A65EC4E">
              <w:rPr/>
              <w:t>Automation creates more work</w:t>
            </w:r>
          </w:p>
        </w:tc>
        <w:tc>
          <w:tcPr>
            <w:tcW w:w="3150" w:type="dxa"/>
            <w:tcMar/>
          </w:tcPr>
          <w:p w:rsidR="6A65EC4E" w:rsidRDefault="6A65EC4E" w14:noSpellErr="1" w14:paraId="4895D1B7" w14:textId="13F37D2E">
            <w:r w:rsidR="6A65EC4E">
              <w:rPr/>
              <w:t>Errors, evaluations and exceptions absorb handling-time savings</w:t>
            </w:r>
          </w:p>
        </w:tc>
        <w:tc>
          <w:tcPr>
            <w:tcW w:w="3476" w:type="dxa"/>
            <w:tcMar/>
          </w:tcPr>
          <w:p w:rsidR="6A65EC4E" w:rsidRDefault="6A65EC4E" w14:noSpellErr="1" w14:paraId="3641C3B0" w14:textId="0CD163F2">
            <w:r w:rsidR="6A65EC4E">
              <w:rPr/>
              <w:t>Measure end-to-end cost and quality</w:t>
            </w:r>
          </w:p>
        </w:tc>
      </w:tr>
      <w:tr w:rsidR="6A65EC4E" w:rsidTr="3927AF3A" w14:paraId="4532C99E">
        <w:tc>
          <w:tcPr>
            <w:tcW w:w="2400" w:type="dxa"/>
            <w:tcMar/>
          </w:tcPr>
          <w:p w:rsidR="6A65EC4E" w:rsidRDefault="6A65EC4E" w14:noSpellErr="1" w14:paraId="1F00BEDC" w14:textId="23E6C467">
            <w:r w:rsidR="6A65EC4E">
              <w:rPr/>
              <w:t>Platform cost captures the benefit</w:t>
            </w:r>
          </w:p>
        </w:tc>
        <w:tc>
          <w:tcPr>
            <w:tcW w:w="3150" w:type="dxa"/>
            <w:tcMar/>
          </w:tcPr>
          <w:p w:rsidR="6A65EC4E" w:rsidRDefault="6A65EC4E" w14:noSpellErr="1" w14:paraId="3AD3EF73" w14:textId="1CC4AB2B">
            <w:r w:rsidR="6A65EC4E">
              <w:rPr/>
              <w:t>Inference, licences, data and security charges rise with usage</w:t>
            </w:r>
          </w:p>
        </w:tc>
        <w:tc>
          <w:tcPr>
            <w:tcW w:w="3476" w:type="dxa"/>
            <w:tcMar/>
          </w:tcPr>
          <w:p w:rsidR="6A65EC4E" w:rsidRDefault="6A65EC4E" w14:noSpellErr="1" w14:paraId="7D8A0618" w14:textId="15A291EF">
            <w:r w:rsidR="6A65EC4E">
              <w:rPr/>
              <w:t>Meter costs and use contractual review mechanisms</w:t>
            </w:r>
          </w:p>
        </w:tc>
      </w:tr>
      <w:tr w:rsidR="6A65EC4E" w:rsidTr="3927AF3A" w14:paraId="4D6B2492">
        <w:tc>
          <w:tcPr>
            <w:tcW w:w="2400" w:type="dxa"/>
            <w:tcMar/>
          </w:tcPr>
          <w:p w:rsidR="6A65EC4E" w:rsidRDefault="6A65EC4E" w14:noSpellErr="1" w14:paraId="73ABD1A5" w14:textId="2CB7F264">
            <w:r w:rsidR="6A65EC4E">
              <w:rPr/>
              <w:t>Customers will not pay for advisory</w:t>
            </w:r>
          </w:p>
        </w:tc>
        <w:tc>
          <w:tcPr>
            <w:tcW w:w="3150" w:type="dxa"/>
            <w:tcMar/>
          </w:tcPr>
          <w:p w:rsidR="6A65EC4E" w:rsidRDefault="6A65EC4E" w14:noSpellErr="1" w14:paraId="7281D3DE" w14:textId="2595D928">
            <w:r w:rsidR="6A65EC4E">
              <w:rPr/>
              <w:t>Interest in AI does not translate into a funded buying case</w:t>
            </w:r>
          </w:p>
        </w:tc>
        <w:tc>
          <w:tcPr>
            <w:tcW w:w="3476" w:type="dxa"/>
            <w:tcMar/>
          </w:tcPr>
          <w:p w:rsidR="6A65EC4E" w:rsidRDefault="6A65EC4E" w14:noSpellErr="1" w14:paraId="13BBDD25" w14:textId="1E73BFEC">
            <w:r w:rsidR="6A65EC4E">
              <w:rPr/>
              <w:t>Use paid discovery and measurable acceptance</w:t>
            </w:r>
          </w:p>
        </w:tc>
      </w:tr>
      <w:tr w:rsidR="6A65EC4E" w:rsidTr="3927AF3A" w14:paraId="35CD09BB">
        <w:tc>
          <w:tcPr>
            <w:tcW w:w="2400" w:type="dxa"/>
            <w:tcMar/>
          </w:tcPr>
          <w:p w:rsidR="6A65EC4E" w:rsidRDefault="6A65EC4E" w14:noSpellErr="1" w14:paraId="5CDF7D54" w14:textId="35892061">
            <w:r w:rsidR="6A65EC4E">
              <w:rPr/>
              <w:t>Security liability overwhelms margin</w:t>
            </w:r>
          </w:p>
        </w:tc>
        <w:tc>
          <w:tcPr>
            <w:tcW w:w="3150" w:type="dxa"/>
            <w:tcMar/>
          </w:tcPr>
          <w:p w:rsidR="6A65EC4E" w:rsidRDefault="6A65EC4E" w14:noSpellErr="1" w14:paraId="4A1C2616" w14:textId="2E670725">
            <w:r w:rsidR="6A65EC4E">
              <w:rPr/>
              <w:t>A stronger service promise exceeds actual response capability</w:t>
            </w:r>
          </w:p>
        </w:tc>
        <w:tc>
          <w:tcPr>
            <w:tcW w:w="3476" w:type="dxa"/>
            <w:tcMar/>
          </w:tcPr>
          <w:p w:rsidR="6A65EC4E" w:rsidRDefault="6A65EC4E" w14:noSpellErr="1" w14:paraId="45F205EB" w14:textId="2744EDE9">
            <w:r w:rsidR="6A65EC4E">
              <w:rPr/>
              <w:t>Bound scope; partner with specialists; validate coverage</w:t>
            </w:r>
          </w:p>
        </w:tc>
      </w:tr>
      <w:tr w:rsidR="6A65EC4E" w:rsidTr="3927AF3A" w14:paraId="1965C000">
        <w:tc>
          <w:tcPr>
            <w:tcW w:w="2400" w:type="dxa"/>
            <w:tcMar/>
          </w:tcPr>
          <w:p w:rsidR="6A65EC4E" w:rsidRDefault="6A65EC4E" w14:noSpellErr="1" w14:paraId="1F5AF89A" w14:textId="3E5A4E5E">
            <w:r w:rsidR="6A65EC4E">
              <w:rPr/>
              <w:t>Price competition reaches new services</w:t>
            </w:r>
          </w:p>
        </w:tc>
        <w:tc>
          <w:tcPr>
            <w:tcW w:w="3150" w:type="dxa"/>
            <w:tcMar/>
          </w:tcPr>
          <w:p w:rsidR="6A65EC4E" w:rsidRDefault="6A65EC4E" w14:noSpellErr="1" w14:paraId="7E856F03" w14:textId="37383522">
            <w:r w:rsidR="6A65EC4E">
              <w:rPr/>
              <w:t>Generic AI implementation becomes easy to reproduce</w:t>
            </w:r>
          </w:p>
        </w:tc>
        <w:tc>
          <w:tcPr>
            <w:tcW w:w="3476" w:type="dxa"/>
            <w:tcMar/>
          </w:tcPr>
          <w:p w:rsidR="6A65EC4E" w:rsidRDefault="6A65EC4E" w14:noSpellErr="1" w14:paraId="600634E3" w14:textId="30161BE6">
            <w:r w:rsidR="6A65EC4E">
              <w:rPr/>
              <w:t>Build vertical context, reusable assets and ongoing ownership</w:t>
            </w:r>
          </w:p>
        </w:tc>
      </w:tr>
      <w:tr w:rsidR="6A65EC4E" w:rsidTr="3927AF3A" w14:paraId="11708CB0">
        <w:tc>
          <w:tcPr>
            <w:tcW w:w="2400" w:type="dxa"/>
            <w:tcMar/>
          </w:tcPr>
          <w:p w:rsidR="6A65EC4E" w:rsidRDefault="6A65EC4E" w14:noSpellErr="1" w14:paraId="445E3E66" w14:textId="472B7C5B">
            <w:r w:rsidR="6A65EC4E">
              <w:rPr/>
              <w:t>Transition damages the core</w:t>
            </w:r>
          </w:p>
        </w:tc>
        <w:tc>
          <w:tcPr>
            <w:tcW w:w="3150" w:type="dxa"/>
            <w:tcMar/>
          </w:tcPr>
          <w:p w:rsidR="6A65EC4E" w:rsidRDefault="6A65EC4E" w14:noSpellErr="1" w14:paraId="19F57B70" w14:textId="4009631F">
            <w:r w:rsidR="6A65EC4E">
              <w:rPr/>
              <w:t>Key staff leave or incumbent service quality deteriorates</w:t>
            </w:r>
          </w:p>
        </w:tc>
        <w:tc>
          <w:tcPr>
            <w:tcW w:w="3476" w:type="dxa"/>
            <w:tcMar/>
          </w:tcPr>
          <w:p w:rsidR="6A65EC4E" w:rsidRDefault="6A65EC4E" w14:noSpellErr="1" w14:paraId="74A59FB2" w14:textId="38E749E3">
            <w:r w:rsidR="6A65EC4E">
              <w:rPr/>
              <w:t>Fund capacity and sequence migration</w:t>
            </w:r>
          </w:p>
        </w:tc>
      </w:tr>
      <w:tr w:rsidR="6A65EC4E" w:rsidTr="3927AF3A" w14:paraId="4D8A7C4E">
        <w:tc>
          <w:tcPr>
            <w:tcW w:w="2400" w:type="dxa"/>
            <w:tcMar/>
          </w:tcPr>
          <w:p w:rsidR="6A65EC4E" w:rsidRDefault="6A65EC4E" w14:noSpellErr="1" w14:paraId="432EA243" w14:textId="4FFCAA58">
            <w:r w:rsidR="6A65EC4E">
              <w:rPr/>
              <w:t>Acquisition leverage reduces choice</w:t>
            </w:r>
          </w:p>
        </w:tc>
        <w:tc>
          <w:tcPr>
            <w:tcW w:w="3150" w:type="dxa"/>
            <w:tcMar/>
          </w:tcPr>
          <w:p w:rsidR="6A65EC4E" w:rsidRDefault="6A65EC4E" w14:noSpellErr="1" w14:paraId="74568C84" w14:textId="48DA911C">
            <w:r w:rsidR="6A65EC4E">
              <w:rPr/>
              <w:t>Debt and integration needs consume transformation capital</w:t>
            </w:r>
          </w:p>
        </w:tc>
        <w:tc>
          <w:tcPr>
            <w:tcW w:w="3476" w:type="dxa"/>
            <w:tcMar/>
          </w:tcPr>
          <w:p w:rsidR="6A65EC4E" w:rsidRDefault="6A65EC4E" w14:noSpellErr="1" w14:paraId="46AA7936" w14:textId="41B877E0">
            <w:r w:rsidR="6A65EC4E">
              <w:rPr/>
              <w:t>Stress liquidity and avoid unproven savings in underwriting</w:t>
            </w:r>
          </w:p>
        </w:tc>
      </w:tr>
    </w:tbl>
    <w:p w:rsidR="6A65EC4E" w:rsidRDefault="6A65EC4E" w14:noSpellErr="1" w14:paraId="2F051069" w14:textId="7FD038B8">
      <w:r w:rsidR="6A65EC4E">
        <w:rPr/>
        <w:t>These risks support a selective transition, not a passive status quo. The right response to uncertain adoption is reversible investment with evidence gates. The right response to uncertain margins is to measure fully loaded contribution, including evaluation and exception handling. The right response to supplier concentration is a differentiated customer relationship and explicit portability, not a claim that all platforms can be swapped at no cost.</w:t>
      </w:r>
    </w:p>
    <w:p w:rsidR="6A65EC4E" w:rsidP="6A65EC4E" w:rsidRDefault="6A65EC4E" w14:paraId="51DF0003" w14:textId="28C018DB" w14:noSpellErr="1">
      <w:pPr>
        <w:pStyle w:val="Heading2"/>
      </w:pPr>
      <w:r w:rsidRPr="3927AF3A" w:rsidR="3794A404">
        <w:rPr>
          <w:color w:val="006D77"/>
        </w:rPr>
        <w:t>12.2 The strongest arguments for survival</w:t>
      </w:r>
    </w:p>
    <w:p w:rsidR="6A65EC4E" w:rsidRDefault="6A65EC4E" w14:noSpellErr="1" w14:paraId="35C6F33D" w14:textId="378A49D3">
      <w:r w:rsidR="6A65EC4E">
        <w:rPr/>
        <w:t>Current profitability is real counter-evidence, not an inconvenience to dismiss. The 2026 Service Leadership release reports stronger MSP growth and rising enterprise values in its panel. Accenture's FY2025 managed-services revenue grew 9%. These findings do not validate every conventional SME provider, but they reject the claim that customers have broadly stopped paying external firms to operate technology. [R01; R21]</w:t>
      </w:r>
    </w:p>
    <w:p w:rsidR="6A65EC4E" w:rsidRDefault="6A65EC4E" w14:noSpellErr="1" w14:paraId="1E6D9436" w14:textId="26A912EE">
      <w:r w:rsidR="6A65EC4E">
        <w:rPr/>
        <w:t>Deployment friction leaves work for trusted operators. Deloitte's survey shows a substantial gap between experimentation and production, while Microsoft's own partner catalogue includes continuing managed operations. Complex legacy environments, cross-system integration, human accountability and customer adoption can preserve an external provider's role. The opportunity is conditional on solving those problems, not assuming that complexity alone protects any price. [R50; R29]</w:t>
      </w:r>
    </w:p>
    <w:p w:rsidR="6A65EC4E" w:rsidRDefault="6A65EC4E" w14:noSpellErr="1" w14:paraId="7D168B55" w14:textId="17695A57">
      <w:r w:rsidR="6A65EC4E">
        <w:rPr/>
        <w:t>AI can strengthen an incumbent: fixed-fee revenue combined with lower delivery cost can improve contribution, and customer knowledge can make the provider's automation more relevant than a generic alternative. Bounded controls and specialist judgement remain necessary in Microsoft's own autonomous-agent guidance. The bull case is therefore credible; there is no need to assume that platforms must retain all productivity gains. [R64; M1]</w:t>
      </w:r>
    </w:p>
    <w:p w:rsidR="6A65EC4E" w:rsidP="6A65EC4E" w:rsidRDefault="6A65EC4E" w14:paraId="70BA66BA" w14:textId="6034D16D" w14:noSpellErr="1">
      <w:pPr>
        <w:pStyle w:val="Heading2"/>
      </w:pPr>
      <w:r w:rsidRPr="3927AF3A" w:rsidR="3794A404">
        <w:rPr>
          <w:color w:val="006D77"/>
        </w:rPr>
        <w:t>12.3 The strongest arguments for disruption</w:t>
      </w:r>
    </w:p>
    <w:p w:rsidR="6A65EC4E" w:rsidRDefault="6A65EC4E" w14:noSpellErr="1" w14:paraId="504A7FB8" w14:textId="486063B4">
      <w:r w:rsidR="6A65EC4E">
        <w:rPr/>
        <w:t>The disruption case rests on observable overlap, not science-fiction autonomy: supplier tools already address monitoring, patching, support and governance, while commercial models increasingly charge for consumption. A provider may lose pricing power before customers formally cancel. If transformation costs arrive ahead of new revenue and overhead cannot adjust, an apparently stable recurring-revenue business can become fragile. [R09; R13; R65; R66; R11; M1]</w:t>
      </w:r>
    </w:p>
    <w:p w:rsidR="6A65EC4E" w:rsidP="6A65EC4E" w:rsidRDefault="6A65EC4E" w14:paraId="3CFF9C75" w14:textId="683D3188" w14:noSpellErr="1">
      <w:pPr>
        <w:pStyle w:val="Heading1"/>
      </w:pPr>
      <w:r w:rsidRPr="3927AF3A" w:rsidR="3794A404">
        <w:rPr>
          <w:color w:val="17365D" w:themeColor="text2" w:themeTint="FF" w:themeShade="BF"/>
        </w:rPr>
        <w:t>13. Final Conclusions</w:t>
      </w:r>
    </w:p>
    <w:p w:rsidR="6A65EC4E" w:rsidRDefault="6A65EC4E" w14:noSpellErr="1" w14:paraId="5985CA18" w14:textId="1599C7A4">
      <w:r w:rsidR="6A65EC4E">
        <w:rPr/>
        <w:t>The traditional MSP/TSP model is not universally broken, and managed services should remain viable in 2030. The evidence supports a more discriminating conclusion: a model whose value rests mainly on human administration, routine tickets and supplier-controlled resale economics is becoming less defensible. Current successful providers have both an opportunity to capture automation gains and an obligation to test whether their current margin sources will endure. [R01; R05; R09; R13; R65]</w:t>
      </w:r>
    </w:p>
    <w:p w:rsidR="6A65EC4E" w:rsidRDefault="6A65EC4E" w14:noSpellErr="1" w14:paraId="1F7FFFBC" w14:textId="68655436">
      <w:r w:rsidR="6A65EC4E">
        <w:rPr/>
        <w:t>The most likely strategic outcome is a redistribution of value and provider roles. Efficient generalists can survive; security, data, governance and workflow specialists can expand; undifferentiated providers face increasing pressure to reprice, transform, consolidate or exit. No credible population forecast found in this research quantifies those outcomes. The report's 2036 cohort allocations are illustrative planning choices, not evidence-backed failure probabilities. [R01; R24; R29; R68; M1]</w:t>
      </w:r>
    </w:p>
    <w:p w:rsidR="6A65EC4E" w:rsidRDefault="6A65EC4E" w14:noSpellErr="1" w14:paraId="1FA48127" w14:textId="6819FAAA">
      <w:r w:rsidR="6A65EC4E">
        <w:rPr/>
        <w:t>For an owner, the decision is not whether to abandon today's profitable business. It is whether to reinvest while that business can fund a deliberate transition. Model M1 shows why waiting for revenue decline is too late a trigger: partial transformation can still grow sales while reducing EBITDA. Equally, the bull case shows that stronger economics can be achieved without relying on an assumed valuation premium or a large reduction in headcount. [M1]</w:t>
      </w:r>
    </w:p>
    <w:p w:rsidR="6A65EC4E" w:rsidRDefault="6A65EC4E" w14:noSpellErr="1" w14:paraId="50640089" w14:textId="76EBEC28">
      <w:r w:rsidR="6A65EC4E">
        <w:rPr/>
        <w:t>For a board or investor, underwrite the right to earn recurring gross profit, not the recurring label alone. Require evidence that the provider can deliver a secure, useful outcome at a controlled cost, renew that outcome at an attractive price, and maintain the customer relationship as platform capabilities change. The business that does so remains relevant; the business that merely preserves familiar activities has a progressively weaker investment case. This is the report's strategic judgement, not a prediction of an individual firm's performance.</w:t>
      </w:r>
    </w:p>
    <w:p w:rsidR="6A65EC4E" w:rsidP="6A65EC4E" w:rsidRDefault="6A65EC4E" w14:paraId="54542B93" w14:textId="23DCF68F" w14:noSpellErr="1">
      <w:pPr>
        <w:pStyle w:val="Heading1"/>
      </w:pPr>
      <w:r w:rsidRPr="3927AF3A" w:rsidR="3794A404">
        <w:rPr>
          <w:color w:val="17365D" w:themeColor="text2" w:themeTint="FF" w:themeShade="BF"/>
        </w:rPr>
        <w:t>14. Complete Reference List</w:t>
      </w:r>
    </w:p>
    <w:p w:rsidR="6A65EC4E" w:rsidRDefault="6A65EC4E" w14:noSpellErr="1" w14:paraId="35307BB5" w14:textId="22143B90">
      <w:r w:rsidR="6A65EC4E">
        <w:rPr/>
        <w:t>Original-source references. Bracketed codes are stable identifiers. Public abstracts, partial reviews and commercial survey limitations are identified below. All online sources were reviewed by 17 September 2026.</w:t>
      </w:r>
    </w:p>
    <w:p w:rsidR="6A65EC4E" w:rsidP="6A65EC4E" w:rsidRDefault="6A65EC4E" w14:paraId="73CD1037" w14:textId="134EE0D7" w14:noSpellErr="1">
      <w:pPr>
        <w:pStyle w:val="Normal"/>
      </w:pPr>
      <w:r w:rsidRPr="3927AF3A" w:rsidR="3794A404">
        <w:rPr>
          <w:color w:val="333333"/>
          <w:sz w:val="19"/>
          <w:szCs w:val="19"/>
        </w:rPr>
        <w:t>[R01] Service Leadership / ConnectWise. Service Leadership Report Reveals Historic Growth for IT Solution Providers and the Operational Factors Defining This Economic Shift. 23 June 2026. Key findings for CY2025. Original public release; commercial benchmarking panel; full paid report not accessed. https://www.connectwise.com/company/press/releases/service-leadership-report-reveals-historic-growth-for-it-solution-providers-and-the-operational-factors-defining-this-economic-shift</w:t>
      </w:r>
    </w:p>
    <w:p w:rsidR="6A65EC4E" w:rsidP="6A65EC4E" w:rsidRDefault="6A65EC4E" w14:paraId="5847B1F1" w14:textId="2ABBCD16" w14:noSpellErr="1">
      <w:pPr>
        <w:pStyle w:val="Normal"/>
      </w:pPr>
      <w:r w:rsidRPr="3927AF3A" w:rsidR="3794A404">
        <w:rPr>
          <w:color w:val="333333"/>
          <w:sz w:val="19"/>
          <w:szCs w:val="19"/>
        </w:rPr>
        <w:t>[R02] Service Leadership / ConnectWise. Service Leadership Index Q4 Data Reveals MSP Profitability Remains Near Historic Highs While Managed Service Revenue Growth Continues to Slowdown. 13 February 2025. Q4 2024 profitability and project-utilisation findings. Original release; older quarterly panel data. https://www.connectwise.com/company/press/releases/service-leadership-index-q4-data</w:t>
      </w:r>
    </w:p>
    <w:p w:rsidR="6A65EC4E" w:rsidP="6A65EC4E" w:rsidRDefault="6A65EC4E" w14:paraId="2117916A" w14:textId="39EEA39E" w14:noSpellErr="1">
      <w:pPr>
        <w:pStyle w:val="Normal"/>
      </w:pPr>
      <w:r w:rsidRPr="3927AF3A" w:rsidR="3794A404">
        <w:rPr>
          <w:color w:val="333333"/>
          <w:sz w:val="19"/>
          <w:szCs w:val="19"/>
        </w:rPr>
        <w:t>[R05] Information Services Group. Global Tech Services Market Grows at Fastest Pace Ever in Q2, Propelled by Soaring AI Demand: ISG Index. 9 July 2026. Second-Quarter Results by Segment; 2026 Global Forecast. Contract awards of at least USD5m ACV, not SME MSP revenue. https://ir.isg-one.com/news-market-information/press-releases/news-details/2026/Global-Tech-Services-Market-Grows-at-Fastest-Pace-Ever-in-Q2-Propelled-by-Soaring-AI-Demand-ISG-Index/default.aspx</w:t>
      </w:r>
    </w:p>
    <w:p w:rsidR="6A65EC4E" w:rsidP="6A65EC4E" w:rsidRDefault="6A65EC4E" w14:paraId="57DC0AD7" w14:textId="79F725E9" w14:noSpellErr="1">
      <w:pPr>
        <w:pStyle w:val="Normal"/>
      </w:pPr>
      <w:r w:rsidRPr="3927AF3A" w:rsidR="3794A404">
        <w:rPr>
          <w:color w:val="333333"/>
          <w:sz w:val="19"/>
          <w:szCs w:val="19"/>
        </w:rPr>
        <w:t>[R06] Gartner. Gartner Forecasts Worldwide IT Spending to Grow 14.2% in 2026, Totaling $6.37 Trillion. 27 July 2026. Table 1, Worldwide IT Spending Forecast. External forecast, not observed 2026 revenue. https://www.gartner.com/en/newsroom/press-releases/2026-07-27-gartner-forecasts-worldwide-it-spending-to-grow-14-point-2-percent-in-2026-totaling-6-point-37-trillion</w:t>
      </w:r>
    </w:p>
    <w:p w:rsidR="6A65EC4E" w:rsidP="6A65EC4E" w:rsidRDefault="6A65EC4E" w14:paraId="41490022" w14:textId="5B0B6C8A" w14:noSpellErr="1">
      <w:pPr>
        <w:pStyle w:val="Normal"/>
      </w:pPr>
      <w:r w:rsidRPr="3927AF3A" w:rsidR="3794A404">
        <w:rPr>
          <w:color w:val="333333"/>
          <w:sz w:val="19"/>
          <w:szCs w:val="19"/>
        </w:rPr>
        <w:t>[R07] Microsoft. FY26 Q4 earnings release: Microsoft Cloud and AI Strength Fuels Fourth Quarter Results. 29 July 2026. Fiscal Year 2026 Results, Business Highlights and CEO statement. Earnings-release figures; financial tables are labelled unaudited. https://www.microsoft.com/en-us/Investor/earnings/FY-2026-Q4/press-release-webcast</w:t>
      </w:r>
    </w:p>
    <w:p w:rsidR="6A65EC4E" w:rsidP="6A65EC4E" w:rsidRDefault="6A65EC4E" w14:paraId="3181E58D" w14:textId="34066FC4" w14:noSpellErr="1">
      <w:pPr>
        <w:pStyle w:val="Normal"/>
      </w:pPr>
      <w:r w:rsidRPr="3927AF3A" w:rsidR="3794A404">
        <w:rPr>
          <w:color w:val="333333"/>
          <w:sz w:val="19"/>
          <w:szCs w:val="19"/>
        </w:rPr>
        <w:t>[R09] Microsoft Learn. Learn about Security Copilot for Microsoft 365 E5 and E7 included customers. Updated 19 June 2026. Licensing and capacity; Features and capabilities; Product experience; Special scenarios. Living official entitlement documentation, reviewed 17 September 2026. https://learn.microsoft.com/en-us/copilot/security/security-copilot-inclusion</w:t>
      </w:r>
    </w:p>
    <w:p w:rsidR="6A65EC4E" w:rsidP="6A65EC4E" w:rsidRDefault="6A65EC4E" w14:paraId="15F2AABF" w14:textId="528D4326" w14:noSpellErr="1">
      <w:pPr>
        <w:pStyle w:val="Normal"/>
      </w:pPr>
      <w:r w:rsidRPr="3927AF3A" w:rsidR="3794A404">
        <w:rPr>
          <w:color w:val="333333"/>
          <w:sz w:val="19"/>
          <w:szCs w:val="19"/>
        </w:rPr>
        <w:t>[R10] Microsoft Learn, Partner Center. July 2026 announcements. Copilot nonprofit partner-margin update and expanded SMB track eligibility. Official programme announcements; specific margin rates not publicly disclosed in the reviewed page. https://learn.microsoft.com/en-us/partner-center/announcements/2026-july</w:t>
      </w:r>
    </w:p>
    <w:p w:rsidR="6A65EC4E" w:rsidP="6A65EC4E" w:rsidRDefault="6A65EC4E" w14:paraId="714CBD8F" w14:textId="4F1BEE0E" w14:noSpellErr="1">
      <w:pPr>
        <w:pStyle w:val="Normal"/>
      </w:pPr>
      <w:r w:rsidRPr="3927AF3A" w:rsidR="3794A404">
        <w:rPr>
          <w:color w:val="333333"/>
          <w:sz w:val="19"/>
          <w:szCs w:val="19"/>
        </w:rPr>
        <w:t>[R11] Microsoft Learn, Partner Center. September 2026 announcements. Updated 16 September 2026. Usage-based billing announcement; New incentives for Microsoft Copilot Cowork adoption; Business Applications roadmap content moving. Future effective dates are distinguished from launch dates. https://learn.microsoft.com/en-us/partner-center/announcements/2026-september</w:t>
      </w:r>
    </w:p>
    <w:p w:rsidR="6A65EC4E" w:rsidP="6A65EC4E" w:rsidRDefault="6A65EC4E" w14:paraId="53C797A3" w14:textId="352227CB" w14:noSpellErr="1">
      <w:pPr>
        <w:pStyle w:val="Normal"/>
      </w:pPr>
      <w:r w:rsidRPr="3927AF3A" w:rsidR="3794A404">
        <w:rPr>
          <w:color w:val="333333"/>
          <w:sz w:val="19"/>
          <w:szCs w:val="19"/>
        </w:rPr>
        <w:t>[R12] ServiceNow. ServiceNow launches Autonomous Workforce that thinks and acts, adds Moveworks to the ServiceNow AI Platform. 26 February 2026. L1 Service Desk specialist scope and controlled availability. Vendor announcement; performance testimonials not treated as independently verified savings. https://newsroom.servicenow.com/press-releases/details/2026/ServiceNow-launches-Autonomous-Workforce-that-thinks-and-acts-adds-Moveworks-to-the-ServiceNow-AI-Platform/default.aspx</w:t>
      </w:r>
    </w:p>
    <w:p w:rsidR="6A65EC4E" w:rsidP="6A65EC4E" w:rsidRDefault="6A65EC4E" w14:paraId="5D7C9268" w14:textId="4FEC9AF8" w14:noSpellErr="1">
      <w:pPr>
        <w:pStyle w:val="Normal"/>
      </w:pPr>
      <w:r w:rsidRPr="3927AF3A" w:rsidR="3794A404">
        <w:rPr>
          <w:color w:val="333333"/>
          <w:sz w:val="19"/>
          <w:szCs w:val="19"/>
        </w:rPr>
        <w:t>[R13] ServiceNow. ServiceNow brings Autonomous Workforce to every major business function. 5 May 2026. L1 availability and planned IT, security and risk specialists. Vendor announcement; later target dates are not assumed to be fulfilled. https://newsroom.servicenow.com/press-releases/details/2026/ServiceNow-brings-Autonomous-Workforce-to-every-major-business-function/default.aspx</w:t>
      </w:r>
    </w:p>
    <w:p w:rsidR="6A65EC4E" w:rsidP="6A65EC4E" w:rsidRDefault="6A65EC4E" w14:paraId="371565E0" w14:textId="19946518" w14:noSpellErr="1">
      <w:pPr>
        <w:pStyle w:val="Normal"/>
      </w:pPr>
      <w:r w:rsidRPr="3927AF3A" w:rsidR="3794A404">
        <w:rPr>
          <w:color w:val="333333"/>
          <w:sz w:val="19"/>
          <w:szCs w:val="19"/>
        </w:rPr>
        <w:t>[R14] Brynjolfsson, Erik; Li, Danielle; Raymond, Lindsey R. Generative AI at Work. NBER Working Paper 31161, April 2023, revised November 2023. Abstract: earlier 5,179-agent / 14% version. Distinct from the published article. https://www.nber.org/papers/w31161</w:t>
      </w:r>
    </w:p>
    <w:p w:rsidR="6A65EC4E" w:rsidP="6A65EC4E" w:rsidRDefault="6A65EC4E" w14:paraId="16872F3B" w14:textId="72F54216" w14:noSpellErr="1">
      <w:pPr>
        <w:pStyle w:val="Normal"/>
      </w:pPr>
      <w:r w:rsidRPr="3927AF3A" w:rsidR="3794A404">
        <w:rPr>
          <w:color w:val="333333"/>
          <w:sz w:val="19"/>
          <w:szCs w:val="19"/>
        </w:rPr>
        <w:t>[R15] Brynjolfsson, Erik; Li, Danielle; Raymond, Lindsey. Generative AI at Work. The Quarterly Journal of Economics, 140(2), May 2025, pp. 889-942; published online 4 February 2025. Abstract, Table I, Sections IV and V.A. Published 5,172-agent / 15% version; original article retrieved. DOI: 10.1093/qje/qjae044. https://academic.oup.com/qje/article/140/2/889/7990658</w:t>
      </w:r>
    </w:p>
    <w:p w:rsidR="6A65EC4E" w:rsidP="6A65EC4E" w:rsidRDefault="6A65EC4E" w14:paraId="73204EC1" w14:textId="3486AAC2" w14:noSpellErr="1">
      <w:pPr>
        <w:pStyle w:val="Normal"/>
      </w:pPr>
      <w:r w:rsidRPr="3927AF3A" w:rsidR="3794A404">
        <w:rPr>
          <w:color w:val="333333"/>
          <w:sz w:val="19"/>
          <w:szCs w:val="19"/>
        </w:rPr>
        <w:t>[R16] METR. Measuring the Impact of Early-2025 AI on Experienced Open-Source Developer Productivity. 10 July 2025. Randomised developer study. Historical, narrow sample; interpret with the 2026 update, not as a universal current effect. https://metr.org/blog/2025-07-10-early-2025-ai-experienced-os-dev-study/</w:t>
      </w:r>
    </w:p>
    <w:p w:rsidR="6A65EC4E" w:rsidP="6A65EC4E" w:rsidRDefault="6A65EC4E" w14:paraId="7209B281" w14:textId="63FE59C8" w14:noSpellErr="1">
      <w:pPr>
        <w:pStyle w:val="Normal"/>
      </w:pPr>
      <w:r w:rsidRPr="3927AF3A" w:rsidR="3794A404">
        <w:rPr>
          <w:color w:val="333333"/>
          <w:sz w:val="19"/>
          <w:szCs w:val="19"/>
        </w:rPr>
        <w:t>[R17] METR. We are Changing our Developer Productivity Experiment Design. 24 February 2026. Follow-up estimates and selection-bias discussion. Authors emphasise uncertainty; confidence intervals cross zero. https://metr.org/blog/2026-02-24-uplift-update/</w:t>
      </w:r>
    </w:p>
    <w:p w:rsidR="6A65EC4E" w:rsidP="6A65EC4E" w:rsidRDefault="6A65EC4E" w14:paraId="2F09B697" w14:textId="6E05E4BC" w14:noSpellErr="1">
      <w:pPr>
        <w:pStyle w:val="Normal"/>
      </w:pPr>
      <w:r w:rsidRPr="3927AF3A" w:rsidR="3794A404">
        <w:rPr>
          <w:color w:val="333333"/>
          <w:sz w:val="19"/>
          <w:szCs w:val="19"/>
        </w:rPr>
        <w:t>[R21] Accenture. Fourth Quarter and Full-Year Fiscal 2025 Results. 25 September 2025. SEC Form 8-K exhibit; FY2025 results and type-of-work revenue. GAAP and adjusted operating measures remain distinct from MSP EBITDA. https://www.sec.gov/Archives/edgar/data/1467373/000146737325000213/q4fy25earnings8-kexhibit.htm</w:t>
      </w:r>
    </w:p>
    <w:p w:rsidR="6A65EC4E" w:rsidP="6A65EC4E" w:rsidRDefault="6A65EC4E" w14:paraId="50BF34A9" w14:textId="2DD48CAA" w14:noSpellErr="1">
      <w:pPr>
        <w:pStyle w:val="Normal"/>
      </w:pPr>
      <w:r w:rsidRPr="3927AF3A" w:rsidR="3794A404">
        <w:rPr>
          <w:color w:val="333333"/>
          <w:sz w:val="19"/>
          <w:szCs w:val="19"/>
        </w:rPr>
        <w:t>[R22] Kyndryl. Kyndryl Reports Fourth-Quarter and Full-Year 2026 Results. 6 May 2026. FY2026 revenue, Consult and hyperscaler-related revenue. Large-enterprise comparator; company-defined categories and constant-currency basis. https://investors.kyndryl.com/news-releases/news-release-details/kyndryl-reports-fourth-quarter-and-full-year-2026-results</w:t>
      </w:r>
    </w:p>
    <w:p w:rsidR="6A65EC4E" w:rsidP="6A65EC4E" w:rsidRDefault="6A65EC4E" w14:paraId="29266A50" w14:textId="635F34DD" w14:noSpellErr="1">
      <w:pPr>
        <w:pStyle w:val="Normal"/>
      </w:pPr>
      <w:r w:rsidRPr="3927AF3A" w:rsidR="3794A404">
        <w:rPr>
          <w:color w:val="333333"/>
          <w:sz w:val="19"/>
          <w:szCs w:val="19"/>
        </w:rPr>
        <w:t>[R23] DXC Technology. DXC Technology Reports Fourth Quarter and Full Fiscal Year 2026 Results. 7 May 2026. GAAP and adjusted EBIT, segment results and guidance. Large-enterprise comparator, not SME MSP benchmark. https://investors.dxc.com/investor-news/news-details/2026/DXC-Technology-Reports-Fourth-Quarter-and-Full-Fiscal-Year-2026-Results/default.aspx</w:t>
      </w:r>
    </w:p>
    <w:p w:rsidR="6A65EC4E" w:rsidP="6A65EC4E" w:rsidRDefault="6A65EC4E" w14:paraId="5C75ABCA" w14:textId="16DA4FFD" w14:noSpellErr="1">
      <w:pPr>
        <w:pStyle w:val="Normal"/>
      </w:pPr>
      <w:r w:rsidRPr="3927AF3A" w:rsidR="3794A404">
        <w:rPr>
          <w:color w:val="333333"/>
          <w:sz w:val="19"/>
          <w:szCs w:val="19"/>
        </w:rPr>
        <w:t>[R24] IDC; David Tapper. Worldwide Managed Cloud Services Forecast, 2026-2030. August 2026, document US54674926. Public abstract only: autonomous operating models, governance and pricing. Paid forecast tables not accessed or quoted. https://my.idc.com/getdoc.jsp?containerId=US54674926</w:t>
      </w:r>
    </w:p>
    <w:p w:rsidR="6A65EC4E" w:rsidP="6A65EC4E" w:rsidRDefault="6A65EC4E" w14:paraId="39820099" w14:textId="32855FE0" w14:noSpellErr="1">
      <w:pPr>
        <w:pStyle w:val="Normal"/>
      </w:pPr>
      <w:r w:rsidRPr="3927AF3A" w:rsidR="3794A404">
        <w:rPr>
          <w:color w:val="333333"/>
          <w:sz w:val="19"/>
          <w:szCs w:val="19"/>
        </w:rPr>
        <w:t>[R29] Microsoft; Nirav Shah, Rob Lefferts and Jason Roszak. Microsoft Agent 365, now generally available, expands capabilities and integrations. 1 May 2026. Availability table, partner services and How to get started. Official capability and pricing source; preview distinctions retained. https://www.microsoft.com/en-us/security/blog/2026/05/01/microsoft-agent-365-now-generally-available-expands-capabilities-and-integrations/</w:t>
      </w:r>
    </w:p>
    <w:p w:rsidR="6A65EC4E" w:rsidP="6A65EC4E" w:rsidRDefault="6A65EC4E" w14:paraId="4888F80D" w14:textId="5CCB1FF2" w14:noSpellErr="1">
      <w:pPr>
        <w:pStyle w:val="Normal"/>
      </w:pPr>
      <w:r w:rsidRPr="3927AF3A" w:rsidR="3794A404">
        <w:rPr>
          <w:color w:val="333333"/>
          <w:sz w:val="19"/>
          <w:szCs w:val="19"/>
        </w:rPr>
        <w:t>[R30] Microsoft. Microsoft Ignite 2025 Book of News. 18-21 November 2025. AI Business Solutions; Introducing Microsoft Agent 365; Copilot Studio announcements. Announcement-time status, checked against later release documentation where used. https://news.microsoft.com/ignite-2025-book-of-news/</w:t>
      </w:r>
    </w:p>
    <w:p w:rsidR="6A65EC4E" w:rsidP="6A65EC4E" w:rsidRDefault="6A65EC4E" w14:paraId="50A1C6FB" w14:textId="754FE721" w14:noSpellErr="1">
      <w:pPr>
        <w:pStyle w:val="Normal"/>
      </w:pPr>
      <w:r w:rsidRPr="3927AF3A" w:rsidR="3794A404">
        <w:rPr>
          <w:color w:val="333333"/>
          <w:sz w:val="19"/>
          <w:szCs w:val="19"/>
        </w:rPr>
        <w:t>[R31] Gartner. Gartner Predicts Over 40% of Agentic AI Projects Will Be Canceled by End of 2027. 25 June 2025. Public forecast and rationale. Project-cancellation prediction, not a provider failure rate. https://www.gartner.com/en/newsroom/press-releases/2025-06-25-gartner-predicts-over-40-percent-of-agentic-ai-projects-will-be-canceled-by-end-of-2027</w:t>
      </w:r>
    </w:p>
    <w:p w:rsidR="6A65EC4E" w:rsidP="6A65EC4E" w:rsidRDefault="6A65EC4E" w14:paraId="7ED9A77C" w14:textId="7A727497" w14:noSpellErr="1">
      <w:pPr>
        <w:pStyle w:val="Normal"/>
      </w:pPr>
      <w:r w:rsidRPr="3927AF3A" w:rsidR="3794A404">
        <w:rPr>
          <w:color w:val="333333"/>
          <w:sz w:val="19"/>
          <w:szCs w:val="19"/>
        </w:rPr>
        <w:t>[R32] Amazon Web Services. AWS Transform. Official product page, reviewed 17 September 2026. Migration and modernisation scope; continuous-modernisation preview. Vendor speed and cost claims are not used as model savings assumptions. https://aws.amazon.com/transform/</w:t>
      </w:r>
    </w:p>
    <w:p w:rsidR="6A65EC4E" w:rsidP="6A65EC4E" w:rsidRDefault="6A65EC4E" w14:paraId="66008B49" w14:textId="4F77118A" w14:noSpellErr="1">
      <w:pPr>
        <w:pStyle w:val="Normal"/>
      </w:pPr>
      <w:r w:rsidRPr="3927AF3A" w:rsidR="3794A404">
        <w:rPr>
          <w:color w:val="333333"/>
          <w:sz w:val="19"/>
          <w:szCs w:val="19"/>
        </w:rPr>
        <w:t>[R33] Google. Google Cloud Next '26 announcements and recap. 24 April 2026. Agent platform and security-agent announcements. Announcement-level evidence; unverified availability and efficacy not inferred. https://blog.google/innovation-and-ai/infrastructure-and-cloud/google-cloud/google-cloud-next-26-recap/</w:t>
      </w:r>
    </w:p>
    <w:p w:rsidR="6A65EC4E" w:rsidP="6A65EC4E" w:rsidRDefault="6A65EC4E" w14:paraId="72E35E01" w14:textId="76BD7552" w14:noSpellErr="1">
      <w:pPr>
        <w:pStyle w:val="Normal"/>
      </w:pPr>
      <w:r w:rsidRPr="3927AF3A" w:rsidR="3794A404">
        <w:rPr>
          <w:color w:val="333333"/>
          <w:sz w:val="19"/>
          <w:szCs w:val="19"/>
        </w:rPr>
        <w:t>[R34] ISC2. 2025 ISC2 Cybersecurity Workforce Study. 4 December 2025. Skills, budget constraints and decision not to publish a workforce-gap estimate. Practitioner survey, not a provider-performance census. https://www.isc2.org/insights/2025/12/2025-ISC2-Cybersecurity-Workforce-Study</w:t>
      </w:r>
    </w:p>
    <w:p w:rsidR="6A65EC4E" w:rsidP="6A65EC4E" w:rsidRDefault="6A65EC4E" w14:paraId="77A0631E" w14:textId="330A7E86" w14:noSpellErr="1">
      <w:pPr>
        <w:pStyle w:val="Normal"/>
      </w:pPr>
      <w:r w:rsidRPr="3927AF3A" w:rsidR="3794A404">
        <w:rPr>
          <w:color w:val="333333"/>
          <w:sz w:val="19"/>
          <w:szCs w:val="19"/>
        </w:rPr>
        <w:t>[R36] Verizon Business. 2026 Data Breach Investigations Report, official newsroom summary. 19 May 2026. Vulnerability-exploitation and third-party-involvement findings, based on the report's incident corpus. Not an economy-wide probability sample. https://www.verizon.com/about/news/breach-industry-wide-dbir-finds</w:t>
      </w:r>
    </w:p>
    <w:p w:rsidR="6A65EC4E" w:rsidP="6A65EC4E" w:rsidRDefault="6A65EC4E" w14:paraId="151AE7F3" w14:textId="7A7D1DED" w14:noSpellErr="1">
      <w:pPr>
        <w:pStyle w:val="Normal"/>
      </w:pPr>
      <w:r w:rsidRPr="3927AF3A" w:rsidR="3794A404">
        <w:rPr>
          <w:color w:val="333333"/>
          <w:sz w:val="19"/>
          <w:szCs w:val="19"/>
        </w:rPr>
        <w:t>[R37] Australian Signals Directorate. Australian Signals Directorate releases Annual Cyber Threat Report 2024-25. 14 October 2025. Business cybercrime cost figures and Australian threat context. Costs are self-reported per report, not expected losses for a typical customer. https://www.asd.gov.au/news/2025-10-14-australian-signals-directorate-releases-annual-cyber-threat-report-2024-25</w:t>
      </w:r>
    </w:p>
    <w:p w:rsidR="6A65EC4E" w:rsidP="6A65EC4E" w:rsidRDefault="6A65EC4E" w14:paraId="5E5430A9" w14:textId="564D6D17" w14:noSpellErr="1">
      <w:pPr>
        <w:pStyle w:val="Normal"/>
      </w:pPr>
      <w:r w:rsidRPr="3927AF3A" w:rsidR="3794A404">
        <w:rPr>
          <w:color w:val="333333"/>
          <w:sz w:val="19"/>
          <w:szCs w:val="19"/>
        </w:rPr>
        <w:t>[R38] U.S. Bureau of Labor Statistics. Occupational Outlook Handbook: Computer Support Specialists. Updated 27 August 2026. Pay and Job Outlook; 2025 base and 2025-2035 projection. Occupation includes in-house support, not only MSPs. https://www.bls.gov/ooh/computer-and-information-technology/computer-support-specialists.htm</w:t>
      </w:r>
    </w:p>
    <w:p w:rsidR="6A65EC4E" w:rsidP="6A65EC4E" w:rsidRDefault="6A65EC4E" w14:paraId="350EBA66" w14:textId="3421572A" w14:noSpellErr="1">
      <w:pPr>
        <w:pStyle w:val="Normal"/>
      </w:pPr>
      <w:r w:rsidRPr="3927AF3A" w:rsidR="3794A404">
        <w:rPr>
          <w:color w:val="333333"/>
          <w:sz w:val="19"/>
          <w:szCs w:val="19"/>
        </w:rPr>
        <w:t>[R39] U.S. Bureau of Labor Statistics. Occupational Outlook Handbook: Travel Agents. Updated 27 August 2026. Employment and Job Outlook, 2025-2035. Used as a survival counterexample; no unverified historical employment series asserted. https://www.bls.gov/ooh/sales/travel-agents.htm</w:t>
      </w:r>
    </w:p>
    <w:p w:rsidR="6A65EC4E" w:rsidP="6A65EC4E" w:rsidRDefault="6A65EC4E" w14:paraId="6CFC5BFA" w14:textId="4E837DC4" w14:noSpellErr="1">
      <w:pPr>
        <w:pStyle w:val="Normal"/>
      </w:pPr>
      <w:r w:rsidRPr="3927AF3A" w:rsidR="3794A404">
        <w:rPr>
          <w:color w:val="333333"/>
          <w:sz w:val="19"/>
          <w:szCs w:val="19"/>
        </w:rPr>
        <w:t>[R40] Kaseya. 2026 State of the MSP Report. Published 2026; survey fielded November 2025, n=1,061, 76% North America. Customer acquisition and value-demonstration responses. Vendor-sponsored, self-selected and banded survey; not audited matched-cohort price data. https://www.kaseya.com/assets/downloads/resources/Kaseya_2026-State-of-the-MSP_report_2026.pdf</w:t>
      </w:r>
    </w:p>
    <w:p w:rsidR="6A65EC4E" w:rsidP="6A65EC4E" w:rsidRDefault="6A65EC4E" w14:paraId="5466CB8F" w14:textId="7DD990AA" w14:noSpellErr="1">
      <w:pPr>
        <w:pStyle w:val="Normal"/>
      </w:pPr>
      <w:r w:rsidRPr="3927AF3A" w:rsidR="3794A404">
        <w:rPr>
          <w:color w:val="333333"/>
          <w:sz w:val="19"/>
          <w:szCs w:val="19"/>
        </w:rPr>
        <w:t>[R41] CompTIA. IT Industry Outlook 2026. 6 January 2026. US online survey of 1,012 business and technology professionals, fielded October-November 2025. AI investment and ROI challenges; intentions, not realised bookings. https://www.comptia.org/en-us/resources/research/it-industry-outlook-2026/</w:t>
      </w:r>
    </w:p>
    <w:p w:rsidR="6A65EC4E" w:rsidP="6A65EC4E" w:rsidRDefault="6A65EC4E" w14:paraId="34C114C8" w14:textId="4F72DB5A" w14:noSpellErr="1">
      <w:pPr>
        <w:pStyle w:val="Normal"/>
      </w:pPr>
      <w:r w:rsidRPr="3927AF3A" w:rsidR="3794A404">
        <w:rPr>
          <w:color w:val="333333"/>
          <w:sz w:val="19"/>
          <w:szCs w:val="19"/>
        </w:rPr>
        <w:t>[R43] McKinsey / QuantumBlack. The State of AI: Global Survey 2026. 25 August 2026. Individual productivity and enterprise EBIT-attribution findings. Executive self-report, not audited financial causation. https://www.mckinsey.com/capabilities/quantumblack/our-insights/the-state-of-ai</w:t>
      </w:r>
    </w:p>
    <w:p w:rsidR="6A65EC4E" w:rsidP="6A65EC4E" w:rsidRDefault="6A65EC4E" w14:paraId="3C748084" w14:textId="29DFF4D2" w14:noSpellErr="1">
      <w:pPr>
        <w:pStyle w:val="Normal"/>
      </w:pPr>
      <w:r w:rsidRPr="3927AF3A" w:rsidR="3794A404">
        <w:rPr>
          <w:color w:val="333333"/>
          <w:sz w:val="19"/>
          <w:szCs w:val="19"/>
        </w:rPr>
        <w:t>[R44] Rackspace Technology. Rackspace Technology Reports Fourth Quarter and Full-Year 2025 Results. 26 February 2026. Private Cloud and Public Cloud segment revenue. Hosting/cloud comparator; not a standalone causal test of platform disruption. https://ir.rackspace.com/news-releases/news-release-details/rackspace-technology-reports-fourth-quarter-and-full-year-2025/</w:t>
      </w:r>
    </w:p>
    <w:p w:rsidR="6A65EC4E" w:rsidP="6A65EC4E" w:rsidRDefault="6A65EC4E" w14:paraId="50079027" w14:textId="4752305D" w14:noSpellErr="1">
      <w:pPr>
        <w:pStyle w:val="Normal"/>
      </w:pPr>
      <w:r w:rsidRPr="3927AF3A" w:rsidR="3794A404">
        <w:rPr>
          <w:color w:val="333333"/>
          <w:sz w:val="19"/>
          <w:szCs w:val="19"/>
        </w:rPr>
        <w:t>[R45] CDW. CDW Reports Fourth Quarter and Full Year 2025 Earnings. 4 February 2026. Consolidated performance and Q4 netted-down revenue discussion. Revenue recognition and mix affect reported margin percentages. https://investor.cdw.com/news/news-details/2026/CDW-Reports-Fourth-Quarter-and-Full-Year-2025-Earnings/default.aspx</w:t>
      </w:r>
    </w:p>
    <w:p w:rsidR="6A65EC4E" w:rsidP="6A65EC4E" w:rsidRDefault="6A65EC4E" w14:paraId="305ACA11" w14:textId="70758B73" w14:noSpellErr="1">
      <w:pPr>
        <w:pStyle w:val="Normal"/>
      </w:pPr>
      <w:r w:rsidRPr="3927AF3A" w:rsidR="3794A404">
        <w:rPr>
          <w:color w:val="333333"/>
          <w:sz w:val="19"/>
          <w:szCs w:val="19"/>
        </w:rPr>
        <w:t>[R46] Computacenter. Computacenter Final Results 2025. 12 March 2026. Gross invoiced income, Technology Sourcing and Services disclosures. Different revenue measures must not be conflated. https://investors.computacenter.com/news-releases/news-release-details/computacenter-final-results-2025</w:t>
      </w:r>
    </w:p>
    <w:p w:rsidR="6A65EC4E" w:rsidP="6A65EC4E" w:rsidRDefault="6A65EC4E" w14:paraId="7C8EAF1C" w14:textId="51894058" w14:noSpellErr="1">
      <w:pPr>
        <w:pStyle w:val="Normal"/>
      </w:pPr>
      <w:r w:rsidRPr="3927AF3A" w:rsidR="3794A404">
        <w:rPr>
          <w:color w:val="333333"/>
          <w:sz w:val="19"/>
          <w:szCs w:val="19"/>
        </w:rPr>
        <w:t>[R48] Microsoft Partner blog; Nicole Dezen, summarising IDC. Microsoft Partners: Driving Economic Value and AI Maturity. 19 September 2024; IDC study US52483124, May 2024 survey of 638 partners. Microsoft-commissioned revenue-attribution study, not a profit multiplier. https://partner.microsoft.com/en-us/blog/article/ai-value-for-partners</w:t>
      </w:r>
    </w:p>
    <w:p w:rsidR="6A65EC4E" w:rsidP="6A65EC4E" w:rsidRDefault="6A65EC4E" w14:paraId="3110BBA0" w14:textId="22745D67" w14:noSpellErr="1">
      <w:pPr>
        <w:pStyle w:val="Normal"/>
      </w:pPr>
      <w:r w:rsidRPr="3927AF3A" w:rsidR="3794A404">
        <w:rPr>
          <w:color w:val="333333"/>
          <w:sz w:val="19"/>
          <w:szCs w:val="19"/>
        </w:rPr>
        <w:t>[R50] Deloitte Insights. Tech Trends 2026. 10 December 2025. Agent-adoption discussion drawing on the Emerging Technology Trends Survey: 500 US technology leaders, June-July 2025. Historical survey, not current population-wide adoption. https://www.deloitte.com/global/en/insights/topics/technology-management/tech-trends/2026.html</w:t>
      </w:r>
    </w:p>
    <w:p w:rsidR="6A65EC4E" w:rsidP="6A65EC4E" w:rsidRDefault="6A65EC4E" w14:paraId="6A0E1E50" w14:textId="157BC59B" w14:noSpellErr="1">
      <w:pPr>
        <w:pStyle w:val="Normal"/>
      </w:pPr>
      <w:r w:rsidRPr="3927AF3A" w:rsidR="3794A404">
        <w:rPr>
          <w:color w:val="333333"/>
          <w:sz w:val="19"/>
          <w:szCs w:val="19"/>
        </w:rPr>
        <w:t>[R51] Microsoft. Microsoft 365 Copilot pricing. Official US pricing page, reviewed 17 September 2026. Seat plans and metered Copilot Cowork designation. Living commercial terms; geography, commitment and promotional conditions vary. https://www.microsoft.com/en-us/microsoft-365-copilot/pricing</w:t>
      </w:r>
    </w:p>
    <w:p w:rsidR="6A65EC4E" w:rsidP="6A65EC4E" w:rsidRDefault="6A65EC4E" w14:paraId="57DA1BE4" w14:textId="3A09C9D5" w14:noSpellErr="1">
      <w:pPr>
        <w:pStyle w:val="Normal"/>
      </w:pPr>
      <w:r w:rsidRPr="3927AF3A" w:rsidR="3794A404">
        <w:rPr>
          <w:color w:val="333333"/>
          <w:sz w:val="19"/>
          <w:szCs w:val="19"/>
        </w:rPr>
        <w:t>[R54] MITRE Engenuity. ATT&amp;CK Evaluations: Managed Services. Official evaluation index, reviewed 17 September 2026. Published evaluations and statement that MITRE does not assign scores, rankings or ratings. https://evals.mitre.org/managed-services</w:t>
      </w:r>
    </w:p>
    <w:p w:rsidR="6A65EC4E" w:rsidP="6A65EC4E" w:rsidRDefault="6A65EC4E" w14:paraId="2A2DDE8B" w14:textId="39BFD297" w14:noSpellErr="1">
      <w:pPr>
        <w:pStyle w:val="Normal"/>
      </w:pPr>
      <w:r w:rsidRPr="3927AF3A" w:rsidR="3794A404">
        <w:rPr>
          <w:color w:val="333333"/>
          <w:sz w:val="19"/>
          <w:szCs w:val="19"/>
        </w:rPr>
        <w:t>[R57] Microsoft. Form 10-K, fiscal year ended 30 June 2026. Filed 29 July 2026. Item 1, Business and Competition: Enterprise and Partner Services. Review of this filing was limited to the business discussion; financial figures used in the report come from R07. https://microsoft.gcs-web.com/sec-filings/sec-filing/10-k/0001193125-26-323660</w:t>
      </w:r>
    </w:p>
    <w:p w:rsidR="6A65EC4E" w:rsidP="6A65EC4E" w:rsidRDefault="6A65EC4E" w14:paraId="4B8880ED" w14:textId="599ED7B6" w14:noSpellErr="1">
      <w:pPr>
        <w:pStyle w:val="Normal"/>
      </w:pPr>
      <w:r w:rsidRPr="3927AF3A" w:rsidR="3794A404">
        <w:rPr>
          <w:color w:val="333333"/>
          <w:sz w:val="19"/>
          <w:szCs w:val="19"/>
        </w:rPr>
        <w:t>[R61] Microsoft; Kyle Daigle. Microsoft Build 2026: Be yourself at work. 3 June 2026. Agents that know you, your business, and the world; The full stack, your way. Official Build announcement; no vendor performance multiple adopted as an independent result. https://news.microsoft.com/source/asia/2026/06/03/microsoft-build-2026-be-yourself-at-work/</w:t>
      </w:r>
    </w:p>
    <w:p w:rsidR="6A65EC4E" w:rsidP="6A65EC4E" w:rsidRDefault="6A65EC4E" w14:paraId="299545C5" w14:textId="25C8A4D3" w14:noSpellErr="1">
      <w:pPr>
        <w:pStyle w:val="Normal"/>
      </w:pPr>
      <w:r w:rsidRPr="3927AF3A" w:rsidR="3794A404">
        <w:rPr>
          <w:color w:val="333333"/>
          <w:sz w:val="19"/>
          <w:szCs w:val="19"/>
        </w:rPr>
        <w:t>[R62] Microsoft. Microsoft Fiscal Year 2026 Fourth Quarter Earnings Conference Call. 29 July 2026. Satya Nadella prepared remarks and Q&amp;A; business-model and customer-knowledge strategy. Management statements are attributed, not treated as proof of MSP outcomes. https://www.microsoft.com/en-us/investor/events/fy-2026/earnings-fy-2026-q4</w:t>
      </w:r>
    </w:p>
    <w:p w:rsidR="6A65EC4E" w:rsidP="6A65EC4E" w:rsidRDefault="6A65EC4E" w14:paraId="3B8928BB" w14:textId="497F7A68" w14:noSpellErr="1">
      <w:pPr>
        <w:pStyle w:val="Normal"/>
      </w:pPr>
      <w:r w:rsidRPr="3927AF3A" w:rsidR="3794A404">
        <w:rPr>
          <w:color w:val="333333"/>
          <w:sz w:val="19"/>
          <w:szCs w:val="19"/>
        </w:rPr>
        <w:t>[R63] Microsoft Learn. What's new in Copilot Studio. Updated 20 August 2026. May, June and July 2026 release entries. Computer-use availability and automatic agent identity; preview labels preserved. https://learn.microsoft.com/en-us/microsoft-copilot-studio/whats-new</w:t>
      </w:r>
    </w:p>
    <w:p w:rsidR="6A65EC4E" w:rsidP="6A65EC4E" w:rsidRDefault="6A65EC4E" w14:paraId="18F34DDB" w14:textId="302688F6" w14:noSpellErr="1">
      <w:pPr>
        <w:pStyle w:val="Normal"/>
      </w:pPr>
      <w:r w:rsidRPr="3927AF3A" w:rsidR="3794A404">
        <w:rPr>
          <w:color w:val="333333"/>
          <w:sz w:val="19"/>
          <w:szCs w:val="19"/>
        </w:rPr>
        <w:t>[R64] Microsoft Learn. Design autonomous agent capabilities. Updated 11 June 2026. Best practices for implementation; Security considerations and guardrails. Official guidance on scope, testing, oversight and permissions. https://learn.microsoft.com/en-us/microsoft-copilot-studio/guidance/autonomous-agents</w:t>
      </w:r>
    </w:p>
    <w:p w:rsidR="6A65EC4E" w:rsidP="6A65EC4E" w:rsidRDefault="6A65EC4E" w14:paraId="699F22F9" w14:textId="504E6232" w14:noSpellErr="1">
      <w:pPr>
        <w:pStyle w:val="Normal"/>
      </w:pPr>
      <w:r w:rsidRPr="3927AF3A" w:rsidR="3794A404">
        <w:rPr>
          <w:color w:val="333333"/>
          <w:sz w:val="19"/>
          <w:szCs w:val="19"/>
        </w:rPr>
        <w:t>[R65] Amazon Web Services. AWS Systems Manager; AWS Systems Manager Automation. Official product page and user guide, reviewed 17 September 2026. Native node management, Amazon Q queries, runbooks and approval controls. https://aws.amazon.com/systems-manager/ ; https://docs.aws.amazon.com/systems-manager/latest/userguide/systems-manager-automation.html</w:t>
      </w:r>
    </w:p>
    <w:p w:rsidR="6A65EC4E" w:rsidP="6A65EC4E" w:rsidRDefault="6A65EC4E" w14:paraId="2A7EFD5C" w14:textId="66E45474" w14:noSpellErr="1">
      <w:pPr>
        <w:pStyle w:val="Normal"/>
      </w:pPr>
      <w:r w:rsidRPr="3927AF3A" w:rsidR="3794A404">
        <w:rPr>
          <w:color w:val="333333"/>
          <w:sz w:val="19"/>
          <w:szCs w:val="19"/>
        </w:rPr>
        <w:t>[R66] Amazon Web Services. AWS Managed Services Accelerate. Official service description, reviewed 17 September 2026. Service desk, operational monitoring, backup and patch-management sections. Scope and service terms, not an independent efficacy study. https://aws.amazon.com/managed-services/features/accelerate-operations-plan/</w:t>
      </w:r>
    </w:p>
    <w:p w:rsidR="6A65EC4E" w:rsidP="6A65EC4E" w:rsidRDefault="6A65EC4E" w14:paraId="61FF0157" w14:textId="56402BE2" w14:noSpellErr="1">
      <w:pPr>
        <w:pStyle w:val="Normal"/>
      </w:pPr>
      <w:r w:rsidRPr="3927AF3A" w:rsidR="3794A404">
        <w:rPr>
          <w:color w:val="333333"/>
          <w:sz w:val="19"/>
          <w:szCs w:val="19"/>
        </w:rPr>
        <w:t>[R67] Amazon Web Services. Managed service provider solutions in AWS Marketplace. Official marketplace page, reviewed 17 September 2026. Evidence of an active partner route alongside AWS-delivered operations; customer testimonials not used as independent savings evidence. https://aws.amazon.com/marketplace/solutions/managed-services-providers</w:t>
      </w:r>
    </w:p>
    <w:p w:rsidR="6A65EC4E" w:rsidP="6A65EC4E" w:rsidRDefault="6A65EC4E" w14:paraId="70E98538" w14:textId="7111D7AF" w14:noSpellErr="1">
      <w:pPr>
        <w:pStyle w:val="Normal"/>
      </w:pPr>
      <w:r w:rsidRPr="3927AF3A" w:rsidR="3794A404">
        <w:rPr>
          <w:color w:val="333333"/>
          <w:sz w:val="19"/>
          <w:szCs w:val="19"/>
        </w:rPr>
        <w:t>[R68] Gartner; Shailendra Upadhyay and colleagues. Forecast Analysis: Information Security, Worldwide, 2026. 5 February 2026. Public Summary: USD244bn spending forecast and 11.6% constant-currency growth. Abstract only; paid forecast tables not accessed. https://www.gartner.com/en/documents/7408930</w:t>
      </w:r>
    </w:p>
    <w:p w:rsidR="6A65EC4E" w:rsidP="6A65EC4E" w:rsidRDefault="6A65EC4E" w14:paraId="7285DB4F" w14:textId="6252B420" w14:noSpellErr="1">
      <w:pPr>
        <w:pStyle w:val="Normal"/>
      </w:pPr>
      <w:r w:rsidRPr="3927AF3A" w:rsidR="3794A404">
        <w:rPr>
          <w:color w:val="333333"/>
          <w:sz w:val="19"/>
          <w:szCs w:val="19"/>
        </w:rPr>
        <w:t>[R69] Microsoft; Richard Riley. One always-on roadmap: Dynamics 365, Power Platform, and Dataverse join the AI at Work roadmap. 25 August 2026. Transition milestones; What's not changing. Roadmap communication change, not a change to product deployment schedules. https://www.microsoft.com/en-us/dynamics-365/blog/business-leader/2026/08/25/one-always-on-roadmap-dynamics-365-power-platform-and-dataverse-join-the-ai-at-work-roadmap/</w:t>
      </w:r>
    </w:p>
    <w:p w:rsidR="6A65EC4E" w:rsidP="6A65EC4E" w:rsidRDefault="6A65EC4E" w14:paraId="320FDC23" w14:textId="69F382B3" w14:noSpellErr="1">
      <w:pPr>
        <w:pStyle w:val="Normal"/>
      </w:pPr>
      <w:r w:rsidRPr="3927AF3A" w:rsidR="3794A404">
        <w:rPr>
          <w:color w:val="333333"/>
          <w:sz w:val="19"/>
          <w:szCs w:val="19"/>
        </w:rPr>
        <w:t>[R70] Microsoft Learn. Intuitive inline deployments in Copilot Studio. 2026 release wave 1 plan; updated 27 August 2026. Availability table and Feature details. Public preview dated 14 April 2026; no GA date in the reviewed plan. https://learn.microsoft.com/en-us/power-platform/release-plan/2026wave1/power-platform-governance-administration/intuitive-inline-deployments-copilot-studio</w:t>
      </w:r>
    </w:p>
    <w:p w:rsidR="6A65EC4E" w:rsidP="6A65EC4E" w:rsidRDefault="6A65EC4E" w14:paraId="36E7FC3F" w14:textId="687A7539" w14:noSpellErr="1">
      <w:pPr>
        <w:pStyle w:val="Normal"/>
      </w:pPr>
      <w:r w:rsidRPr="3927AF3A" w:rsidR="3794A404">
        <w:rPr>
          <w:color w:val="333333"/>
          <w:sz w:val="19"/>
          <w:szCs w:val="19"/>
        </w:rPr>
        <w:t>[R71] Blockbuster Inc. Form 10-K for fiscal year ended 3 January 2010. Item 1, Business: Digital Delivery, Competition and Portfolio Management, pp. 2-8. Original SEC filing documents both digital initiatives and competitive threats. https://www.sec.gov/Archives/edgar/data/1085734/000119312510058339/d10k.htm</w:t>
      </w:r>
    </w:p>
    <w:p w:rsidR="6A65EC4E" w:rsidP="6A65EC4E" w:rsidRDefault="6A65EC4E" w14:paraId="46EB7397" w14:textId="14AFED32" w14:noSpellErr="1">
      <w:pPr>
        <w:pStyle w:val="Normal"/>
      </w:pPr>
      <w:r w:rsidRPr="3927AF3A" w:rsidR="3794A404">
        <w:rPr>
          <w:color w:val="333333"/>
          <w:sz w:val="19"/>
          <w:szCs w:val="19"/>
        </w:rPr>
        <w:t>[R72] Blockbuster Inc. Form 8-K. 23 September 2010. Item 1.03, Bankruptcy or Receivership; Item 2.04, debt obligations; Exhibit 99.1 recapitalisation announcement. Original filing distinguishes bankruptcy from immediate cessation of operations. https://www.sec.gov/Archives/edgar/data/1085734/000119312510215765/d8k.htm</w:t>
      </w:r>
    </w:p>
    <w:p w:rsidR="6A65EC4E" w:rsidP="6A65EC4E" w:rsidRDefault="6A65EC4E" w14:paraId="278DA78C" w14:textId="649FCD2B" w14:noSpellErr="1">
      <w:pPr>
        <w:pStyle w:val="Normal"/>
      </w:pPr>
      <w:r w:rsidRPr="3927AF3A" w:rsidR="3794A404">
        <w:rPr>
          <w:color w:val="333333"/>
          <w:sz w:val="19"/>
          <w:szCs w:val="19"/>
        </w:rPr>
        <w:t>[R73] BB Liquidating Inc., formerly Blockbuster Inc. Form 8-K. 28 September 2011. Item 7.01, Regulation FD Disclosure: asset sale to DISH and distinction between ongoing brand operations and original shareholder claims. https://www.sec.gov/Archives/edgar/data/1085734/000119312511258985/d238288d8k.htm</w:t>
      </w:r>
    </w:p>
    <w:p w:rsidR="6A65EC4E" w:rsidP="6A65EC4E" w:rsidRDefault="6A65EC4E" w14:paraId="5219D832" w14:textId="31F77C4F" w14:noSpellErr="1">
      <w:pPr>
        <w:pStyle w:val="Normal"/>
      </w:pPr>
      <w:r w:rsidRPr="3927AF3A" w:rsidR="3794A404">
        <w:rPr>
          <w:color w:val="333333"/>
          <w:sz w:val="19"/>
          <w:szCs w:val="19"/>
        </w:rPr>
        <w:t>[M1] Author's illustrative MSP economic model, calculated 17 September 2026. This report, Section 6: baseline, assumptions, equations, annual outcomes, staffing equivalents and valuation sensitivity. Nominal USD; not a market forecast. The separate 2036 cohort allocations and opportunity rankings are author-selected planning judgements, not model-derived probabilities.</w:t>
      </w:r>
    </w:p>
    <w:sectPr w:rsidRPr="0006063C" w:rsidR="00FC693F" w:rsidSect="00034616">
      <w:pgSz w:w="11906" w:h="16838" w:orient="portrait"/>
      <w:pgMar w:top="1440" w:right="1440" w:bottom="1440" w:left="1440" w:header="720" w:footer="720" w:gutter="0"/>
      <w:cols w:space="720"/>
      <w:docGrid w:linePitch="360"/>
      <w:headerReference w:type="default" r:id="Rc157aaa617b049e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18845CC0" w:rsidRDefault="18845CC0" p2:noSpellErr="1" w14:paraId="12B67C42" w14:textId="4DDB3739">
    <w:r w:rsidR="18845CC0">
      <w:rPr/>
      <w:t>MSP / TSP strategic research | Evidence-led industry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D746D"/>
    <w:rsid w:val="00AA1D8D"/>
    <w:rsid w:val="00B47730"/>
    <w:rsid w:val="00CB0664"/>
    <w:rsid w:val="00D97C47"/>
    <w:rsid w:val="00FC693F"/>
    <w:rsid w:val="01482332"/>
    <w:rsid w:val="01482332"/>
    <w:rsid w:val="015C5766"/>
    <w:rsid w:val="01C2750B"/>
    <w:rsid w:val="01DC6DA9"/>
    <w:rsid w:val="02E8FA52"/>
    <w:rsid w:val="02F4160A"/>
    <w:rsid w:val="02F4160A"/>
    <w:rsid w:val="030E83F6"/>
    <w:rsid w:val="044B7195"/>
    <w:rsid w:val="05085CBE"/>
    <w:rsid w:val="0530F2F0"/>
    <w:rsid w:val="057C425C"/>
    <w:rsid w:val="05DEF4E8"/>
    <w:rsid w:val="064F03DF"/>
    <w:rsid w:val="064F8548"/>
    <w:rsid w:val="06948763"/>
    <w:rsid w:val="06948763"/>
    <w:rsid w:val="06C1826F"/>
    <w:rsid w:val="06C4479C"/>
    <w:rsid w:val="06D83E56"/>
    <w:rsid w:val="06D83E56"/>
    <w:rsid w:val="07CBB072"/>
    <w:rsid w:val="08791705"/>
    <w:rsid w:val="0A62E9FB"/>
    <w:rsid w:val="0A8A7AD0"/>
    <w:rsid w:val="0A9F1CC7"/>
    <w:rsid w:val="0AC20BF6"/>
    <w:rsid w:val="0AF14C85"/>
    <w:rsid w:val="0B2E09FF"/>
    <w:rsid w:val="0B2E09FF"/>
    <w:rsid w:val="0B338199"/>
    <w:rsid w:val="0B3A2AC9"/>
    <w:rsid w:val="0BD1BD04"/>
    <w:rsid w:val="0CB38729"/>
    <w:rsid w:val="0E53C9E4"/>
    <w:rsid w:val="0EE1EF04"/>
    <w:rsid w:val="0EECC5DA"/>
    <w:rsid w:val="0F3DF88B"/>
    <w:rsid w:val="0F5EA285"/>
    <w:rsid w:val="0F6472C3"/>
    <w:rsid w:val="10A85BEE"/>
    <w:rsid w:val="10B09A00"/>
    <w:rsid w:val="1113A060"/>
    <w:rsid w:val="1141D1FA"/>
    <w:rsid w:val="11C1F2DC"/>
    <w:rsid w:val="12283DDD"/>
    <w:rsid w:val="126DFCB5"/>
    <w:rsid w:val="12CF7842"/>
    <w:rsid w:val="12F1698B"/>
    <w:rsid w:val="137127C4"/>
    <w:rsid w:val="13AB0424"/>
    <w:rsid w:val="13E02B3C"/>
    <w:rsid w:val="13E9E1DB"/>
    <w:rsid w:val="13E9E1DB"/>
    <w:rsid w:val="154A52F5"/>
    <w:rsid w:val="15576EFC"/>
    <w:rsid w:val="1561D31E"/>
    <w:rsid w:val="1561D31E"/>
    <w:rsid w:val="1708E227"/>
    <w:rsid w:val="17A214D4"/>
    <w:rsid w:val="17FC993D"/>
    <w:rsid w:val="18845CC0"/>
    <w:rsid w:val="1994A6D6"/>
    <w:rsid w:val="1994A6D6"/>
    <w:rsid w:val="19B070C8"/>
    <w:rsid w:val="19D4426C"/>
    <w:rsid w:val="19D4426C"/>
    <w:rsid w:val="1A48F91F"/>
    <w:rsid w:val="1A6F38EB"/>
    <w:rsid w:val="1A781D4A"/>
    <w:rsid w:val="1ADEC81A"/>
    <w:rsid w:val="1B7A4FEB"/>
    <w:rsid w:val="1BCBAE2E"/>
    <w:rsid w:val="1BD186E8"/>
    <w:rsid w:val="1BD7CE1B"/>
    <w:rsid w:val="1CDD1CE6"/>
    <w:rsid w:val="1CDD1CE6"/>
    <w:rsid w:val="1F36324A"/>
    <w:rsid w:val="2057B285"/>
    <w:rsid w:val="2057B285"/>
    <w:rsid w:val="206990D9"/>
    <w:rsid w:val="207E4561"/>
    <w:rsid w:val="216A63D1"/>
    <w:rsid w:val="2183DA6A"/>
    <w:rsid w:val="219784EF"/>
    <w:rsid w:val="2261DECD"/>
    <w:rsid w:val="22CAF624"/>
    <w:rsid w:val="231AF87C"/>
    <w:rsid w:val="2339B791"/>
    <w:rsid w:val="23D7B628"/>
    <w:rsid w:val="2458C35F"/>
    <w:rsid w:val="25179FA1"/>
    <w:rsid w:val="275DA787"/>
    <w:rsid w:val="2783616E"/>
    <w:rsid w:val="289E68ED"/>
    <w:rsid w:val="28BAEC03"/>
    <w:rsid w:val="29267AD6"/>
    <w:rsid w:val="294F30E5"/>
    <w:rsid w:val="29902548"/>
    <w:rsid w:val="29D945C6"/>
    <w:rsid w:val="29EE6E45"/>
    <w:rsid w:val="29EE6E45"/>
    <w:rsid w:val="2AE502C3"/>
    <w:rsid w:val="2AE502C3"/>
    <w:rsid w:val="2BBCE21F"/>
    <w:rsid w:val="2BC8BF1C"/>
    <w:rsid w:val="2C503048"/>
    <w:rsid w:val="2C5B6A6C"/>
    <w:rsid w:val="2CB41979"/>
    <w:rsid w:val="2CB41979"/>
    <w:rsid w:val="2CE94B07"/>
    <w:rsid w:val="2D1370AC"/>
    <w:rsid w:val="2D1E6A12"/>
    <w:rsid w:val="2E8C8F52"/>
    <w:rsid w:val="2EE1B3EE"/>
    <w:rsid w:val="2F5FE3E2"/>
    <w:rsid w:val="2F711373"/>
    <w:rsid w:val="2F711373"/>
    <w:rsid w:val="2FACC190"/>
    <w:rsid w:val="2FB5D401"/>
    <w:rsid w:val="307ADD57"/>
    <w:rsid w:val="30CDC6EC"/>
    <w:rsid w:val="3193C742"/>
    <w:rsid w:val="31C27CF5"/>
    <w:rsid w:val="31EF7C4D"/>
    <w:rsid w:val="32A45679"/>
    <w:rsid w:val="32BDD88C"/>
    <w:rsid w:val="32C06C25"/>
    <w:rsid w:val="32CCE4D9"/>
    <w:rsid w:val="3315F5A2"/>
    <w:rsid w:val="3426D099"/>
    <w:rsid w:val="3504F211"/>
    <w:rsid w:val="355A4AF6"/>
    <w:rsid w:val="35CB04D1"/>
    <w:rsid w:val="35CB0D35"/>
    <w:rsid w:val="365E6F02"/>
    <w:rsid w:val="365E6F02"/>
    <w:rsid w:val="36B2A4CF"/>
    <w:rsid w:val="36B2A4CF"/>
    <w:rsid w:val="371E36F2"/>
    <w:rsid w:val="37418D43"/>
    <w:rsid w:val="374293E3"/>
    <w:rsid w:val="3794A404"/>
    <w:rsid w:val="3799CBBA"/>
    <w:rsid w:val="38071A46"/>
    <w:rsid w:val="382BF6B5"/>
    <w:rsid w:val="385B784D"/>
    <w:rsid w:val="385B784D"/>
    <w:rsid w:val="3927AF3A"/>
    <w:rsid w:val="3A5644D8"/>
    <w:rsid w:val="3B811231"/>
    <w:rsid w:val="3BBD6CF2"/>
    <w:rsid w:val="3BBD6CF2"/>
    <w:rsid w:val="3CF2AF6D"/>
    <w:rsid w:val="3CF2AF6D"/>
    <w:rsid w:val="3D726BF2"/>
    <w:rsid w:val="3D91F271"/>
    <w:rsid w:val="3D91F271"/>
    <w:rsid w:val="3E42B409"/>
    <w:rsid w:val="3E5E5148"/>
    <w:rsid w:val="3EE47B0E"/>
    <w:rsid w:val="3EE47B0E"/>
    <w:rsid w:val="3EFAD16F"/>
    <w:rsid w:val="3F6112A4"/>
    <w:rsid w:val="3F6112A4"/>
    <w:rsid w:val="3F6308A4"/>
    <w:rsid w:val="3FA9380B"/>
    <w:rsid w:val="3FF32B0E"/>
    <w:rsid w:val="3FF32B0E"/>
    <w:rsid w:val="40C12237"/>
    <w:rsid w:val="40C9A3DC"/>
    <w:rsid w:val="41900727"/>
    <w:rsid w:val="424C23A7"/>
    <w:rsid w:val="42FA0E66"/>
    <w:rsid w:val="430198C9"/>
    <w:rsid w:val="430198C9"/>
    <w:rsid w:val="4347FB68"/>
    <w:rsid w:val="43B45D49"/>
    <w:rsid w:val="44E81D01"/>
    <w:rsid w:val="4506AD9F"/>
    <w:rsid w:val="4506AD9F"/>
    <w:rsid w:val="4714BCBB"/>
    <w:rsid w:val="472B9072"/>
    <w:rsid w:val="47DD5FD2"/>
    <w:rsid w:val="483D2D4E"/>
    <w:rsid w:val="486A8B78"/>
    <w:rsid w:val="486A8B78"/>
    <w:rsid w:val="48FA9B41"/>
    <w:rsid w:val="493BF07B"/>
    <w:rsid w:val="49E7764E"/>
    <w:rsid w:val="49F0FDE1"/>
    <w:rsid w:val="4A38D13C"/>
    <w:rsid w:val="4ABFB166"/>
    <w:rsid w:val="4BEB5732"/>
    <w:rsid w:val="4BF33AAE"/>
    <w:rsid w:val="4C539D75"/>
    <w:rsid w:val="4CCE5CF9"/>
    <w:rsid w:val="4CFE6CD3"/>
    <w:rsid w:val="4D794C3A"/>
    <w:rsid w:val="4D794C3A"/>
    <w:rsid w:val="4E7DAE96"/>
    <w:rsid w:val="4E9A9614"/>
    <w:rsid w:val="4F2E3C92"/>
    <w:rsid w:val="50496AC4"/>
    <w:rsid w:val="511E6187"/>
    <w:rsid w:val="512E9D7D"/>
    <w:rsid w:val="5162B46B"/>
    <w:rsid w:val="52B86978"/>
    <w:rsid w:val="52B86978"/>
    <w:rsid w:val="52D0B105"/>
    <w:rsid w:val="53F5AB48"/>
    <w:rsid w:val="53FB26CA"/>
    <w:rsid w:val="5547EE54"/>
    <w:rsid w:val="55739DBD"/>
    <w:rsid w:val="560EB5DB"/>
    <w:rsid w:val="56498FA6"/>
    <w:rsid w:val="56498FA6"/>
    <w:rsid w:val="57EEC767"/>
    <w:rsid w:val="58384AC2"/>
    <w:rsid w:val="594B5A8B"/>
    <w:rsid w:val="594B5A8B"/>
    <w:rsid w:val="59C9AF8A"/>
    <w:rsid w:val="5AAD7018"/>
    <w:rsid w:val="5B8250D3"/>
    <w:rsid w:val="5B94AA20"/>
    <w:rsid w:val="5BB22C36"/>
    <w:rsid w:val="5BE03E44"/>
    <w:rsid w:val="5C5980E6"/>
    <w:rsid w:val="5D44A6C5"/>
    <w:rsid w:val="5D893966"/>
    <w:rsid w:val="5D8E9E2E"/>
    <w:rsid w:val="5DFBAD54"/>
    <w:rsid w:val="5F0525C1"/>
    <w:rsid w:val="5F0525C1"/>
    <w:rsid w:val="601E5E2B"/>
    <w:rsid w:val="6095FEF6"/>
    <w:rsid w:val="6095FEF6"/>
    <w:rsid w:val="610FF5C4"/>
    <w:rsid w:val="610FF5C4"/>
    <w:rsid w:val="616AB363"/>
    <w:rsid w:val="617F8370"/>
    <w:rsid w:val="6189F1DB"/>
    <w:rsid w:val="6189F1DB"/>
    <w:rsid w:val="64165786"/>
    <w:rsid w:val="64165786"/>
    <w:rsid w:val="64B21CAD"/>
    <w:rsid w:val="64D68DC1"/>
    <w:rsid w:val="64E988CB"/>
    <w:rsid w:val="64E988CB"/>
    <w:rsid w:val="65F68D55"/>
    <w:rsid w:val="65F68D55"/>
    <w:rsid w:val="6655B04E"/>
    <w:rsid w:val="66929EB4"/>
    <w:rsid w:val="66BA355B"/>
    <w:rsid w:val="680D0363"/>
    <w:rsid w:val="680D0363"/>
    <w:rsid w:val="681C3AC7"/>
    <w:rsid w:val="68B6CDBD"/>
    <w:rsid w:val="69100F86"/>
    <w:rsid w:val="69922E41"/>
    <w:rsid w:val="69C444A6"/>
    <w:rsid w:val="69D119F8"/>
    <w:rsid w:val="69E787FA"/>
    <w:rsid w:val="6A309C22"/>
    <w:rsid w:val="6A4189E6"/>
    <w:rsid w:val="6A542BE0"/>
    <w:rsid w:val="6A65EC4E"/>
    <w:rsid w:val="6AA301B6"/>
    <w:rsid w:val="6AABCAB4"/>
    <w:rsid w:val="6AABCAB4"/>
    <w:rsid w:val="6AB3CCF4"/>
    <w:rsid w:val="6AFD0336"/>
    <w:rsid w:val="6B609341"/>
    <w:rsid w:val="6BCFA08C"/>
    <w:rsid w:val="6C51059C"/>
    <w:rsid w:val="6C51059C"/>
    <w:rsid w:val="6C97CB61"/>
    <w:rsid w:val="6C9D3AB5"/>
    <w:rsid w:val="6D9FF362"/>
    <w:rsid w:val="6DFC8F8C"/>
    <w:rsid w:val="6E966B6E"/>
    <w:rsid w:val="6F244996"/>
    <w:rsid w:val="6F466FF7"/>
    <w:rsid w:val="6FC4C7D4"/>
    <w:rsid w:val="6FC4C7D4"/>
    <w:rsid w:val="6FD6B313"/>
    <w:rsid w:val="70786D4A"/>
    <w:rsid w:val="7157B8C5"/>
    <w:rsid w:val="71BF03B9"/>
    <w:rsid w:val="71C482F9"/>
    <w:rsid w:val="723F1726"/>
    <w:rsid w:val="723F1726"/>
    <w:rsid w:val="72FC3C1D"/>
    <w:rsid w:val="72FC3C1D"/>
    <w:rsid w:val="7453D2F9"/>
    <w:rsid w:val="75526A11"/>
    <w:rsid w:val="765F86E0"/>
    <w:rsid w:val="765F86E0"/>
    <w:rsid w:val="76B69E84"/>
    <w:rsid w:val="76CC6418"/>
    <w:rsid w:val="7764EC5E"/>
    <w:rsid w:val="77FD32DA"/>
    <w:rsid w:val="783D0B53"/>
    <w:rsid w:val="7849EBE7"/>
    <w:rsid w:val="78594E29"/>
    <w:rsid w:val="78AD2B3E"/>
    <w:rsid w:val="79A2015F"/>
    <w:rsid w:val="7ACC84CE"/>
    <w:rsid w:val="7ACC84CE"/>
    <w:rsid w:val="7B0B0561"/>
    <w:rsid w:val="7CE57C52"/>
    <w:rsid w:val="7D25B37D"/>
    <w:rsid w:val="7E1C11D2"/>
    <w:rsid w:val="7ED57331"/>
    <w:rsid w:val="7EE725DB"/>
    <w:rsid w:val="7F2608AB"/>
    <w:rsid w:val="7F261F1E"/>
    <w:rsid w:val="7F347268"/>
    <w:rsid w:val="7F347268"/>
    <w:rsid w:val="7FB810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55E8B36-B7C6-4F18-8A10-A843CDF028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c157aaa617b049e2" /><Relationship Type="http://schemas.openxmlformats.org/officeDocument/2006/relationships/image" Target="/media/image.png" Id="rId2012325885" /><Relationship Type="http://schemas.openxmlformats.org/officeDocument/2006/relationships/image" Target="/media/image2.png" Id="rId444151699" /><Relationship Type="http://schemas.openxmlformats.org/officeDocument/2006/relationships/image" Target="/media/image3.png" Id="rId1463505807" /><Relationship Type="http://schemas.openxmlformats.org/officeDocument/2006/relationships/image" Target="/media/image4.png" Id="rId7480285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Robert D. Crane</lastModifiedBy>
  <revision>6</revision>
  <dcterms:created xsi:type="dcterms:W3CDTF">2026-09-16T21:28:21.0000000Z</dcterms:created>
  <dcterms:modified xsi:type="dcterms:W3CDTF">2026-09-16T22:46:25.0306242Z</dcterms:modified>
  <category/>
</coreProperties>
</file>