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 w:rsidR="48F11165" w:rsidP="48F11165" w:rsidRDefault="48F11165" w14:noSpellErr="1" w14:paraId="21A7F6AF" w14:textId="2C0B95CB">
      <w:pPr>
        <w:pStyle w:val="Title"/>
      </w:pPr>
      <w:r w:rsidRPr="48F11165" w:rsidR="48F11165">
        <w:rPr>
          <w:b w:val="1"/>
          <w:bCs w:val="1"/>
          <w:color w:val="14617D" w:themeColor="accent6" w:themeTint="FF" w:themeShade="FF"/>
          <w:sz w:val="54"/>
          <w:szCs w:val="54"/>
        </w:rPr>
        <w:t>The Traditional MSP and TSP Model at an Inflection Point</w:t>
      </w:r>
    </w:p>
    <w:p w:rsidR="48F11165" w:rsidP="48F11165" w:rsidRDefault="48F11165" w14:paraId="515FA577" w14:textId="50D4FF25" w14:noSpellErr="1">
      <w:pPr>
        <w:pStyle w:val="Subtitle"/>
        <w:rPr/>
      </w:pPr>
      <w:r w:rsidRPr="147095AF" w:rsidR="258D814E">
        <w:rPr>
          <w:color w:val="14617D" w:themeColor="accent6" w:themeTint="FF" w:themeShade="FF"/>
        </w:rPr>
        <w:t>An evidence-based assessment of viability, AI, security and partner strategy through 2035</w:t>
      </w:r>
    </w:p>
    <w:p w:rsidR="48F11165" w:rsidRDefault="48F11165" w14:noSpellErr="1" w14:paraId="44CFE282" w14:textId="2054E248">
      <w:r w:rsidR="55A7003A">
        <w:rPr/>
        <w:t>Strategic research report | 23 September 2026</w:t>
      </w:r>
    </w:p>
    <w:p w:rsidR="2E188A5F" w:rsidP="2E188A5F" w:rsidRDefault="2E188A5F" w14:noSpellErr="1" w14:paraId="49CF1A18" w14:textId="518FFBAC">
      <w:pPr>
        <w:pStyle w:val="Heading1"/>
      </w:pPr>
      <w:r w:rsidRPr="2E188A5F" w:rsidR="2E188A5F">
        <w:rPr>
          <w:color w:val="14617D" w:themeColor="accent6" w:themeTint="FF" w:themeShade="FF"/>
        </w:rPr>
        <w:t>Executive Summary</w:t>
      </w:r>
    </w:p>
    <w:p w:rsidR="2E188A5F" w:rsidRDefault="2E188A5F" w14:noSpellErr="1" w14:paraId="21CEA6F0" w14:textId="2322B786">
      <w:r w:rsidR="3DE1F1AF">
        <w:rPr/>
        <w:t>This report separates the future of the MSP and TSP channel from the future of a conventional operating model built around per-seat or per-device contracts, human ticket resolution, reactive support and routine administration. The test is whether those activities remain sufficiently differentiated to earn attractive returns by 2030, not whether customers will cease to need accountable technology partners.</w:t>
      </w:r>
    </w:p>
    <w:p w:rsidR="147095AF" w:rsidRDefault="147095AF" w14:noSpellErr="1" w14:paraId="53822542" w14:textId="7BC0F181">
      <w:r w:rsidR="147095AF">
        <w:rPr/>
        <w:t>Verdict. The available evidence does not show an MSP/TSP industry in terminal decline. A global channel forecast expected managed-services revenue to rise 13% in 2025, and an industry benchmark reported 9.6% MSP revenue growth and 17.1% adjusted EBITDA-dollar growth in that year. [3, 1] Yet the same benchmark found 18% of participants loss-making in one 2024 quarter, while enterprise outsourcing data show Q2 2026 managed-services contract value growing only 2.7% against 65% for cloud as-a-service. [2, 4] The better-supported thesis is bifurcation: an undifferentiated, labour-heavy delivery model is being unbundled and repriced; a capable, automated, security-led provider can still grow. [1, 2, 4, 6]</w:t>
      </w:r>
    </w:p>
    <w:p w:rsidR="147095AF" w:rsidRDefault="147095AF" w14:noSpellErr="1" w14:paraId="56532467" w14:textId="5C239C90">
      <w:r w:rsidR="147095AF">
        <w:rPr/>
        <w:t>The pressure is economic, not simply technological. Per-user and per-device contracts can earn more gross profit when automation removes work, but that dividend is competed away if prices fall, platform vendors bundle the task, or usage-based AI costs sit inside a fixed fee. [4, 9, 10, 12] Gartner forecasts 2026 IT-services spending growth of 5.3%, versus 15.5% for software and 29.3% for IaaS; those broad categories do not directly measure the SMB MSP market, but indicate where incremental technology spend is concentrating. [5] Customers still need integration, accountability, change management and security assurance; providers must sell those outcomes rather than the number of tickets closed. [3, 6, 12, 33]</w:t>
      </w:r>
    </w:p>
    <w:p w:rsidR="147095AF" w:rsidRDefault="147095AF" w14:noSpellErr="1" w14:paraId="428AB081" w14:textId="71E1C27E">
      <w:r w:rsidR="147095AF">
        <w:rPr/>
        <w:t>AI is already useful, but substitution is uneven. A peer-reviewed study of 5,172 customer-support agents found a 15% lift in issues resolved per hour with AI assistance, not wholesale elimination of staff. [27] In Gartner's October 2025 survey, 20% of customer-service leaders had reduced agent staffing because of AI, while 55% held staffing level as volume rose; McKinsey found 23% of organizations scaling at least one agentic system, but only 39% reporting any enterprise EBIT impact from AI. [25, 26] Those settings are not an MSP-specific causal estimate. The near-term implication is to automate bounded Level-1, triage and knowledge tasks while retaining human review for privileged, security-critical and ambiguous work. [16, 24, 25, 27]</w:t>
      </w:r>
    </w:p>
    <w:p w:rsidR="147095AF" w:rsidRDefault="147095AF" w14:noSpellErr="1" w14:paraId="3CF2E9BC" w14:textId="739F0A35">
      <w:r w:rsidR="147095AF">
        <w:rPr/>
        <w:t>The illustrative US$10 million reference firm in Section 6 begins at US$1.11 million adjusted EBITDA, calibrated to a published 11.1% quarterly MSP benchmark; the service mix and line margins are explicitly hypothetical. [2] Under stated 2030 inputs, conventional drift yields roughly US$0.34 million EBITDA, AI-enabled defensive delivery about US$1.11 million, and a security-and-AI pivot about US$2.25 million. These are sensitivity cases, not predictions of industry results. The recommended board decision is to defend the core with measured automation and security, then fund repeatable governance, data and process outcomes with separate pricing and accountability. [4, 6, 12, 22]</w:t>
      </w:r>
    </w:p>
    <w:p w:rsidR="147095AF" w:rsidRDefault="147095AF" w14:noSpellErr="1" w14:paraId="272F4A62" w14:textId="13A6639C">
      <w:r w:rsidR="147095AF">
        <w:rPr/>
        <w:t>Bottom line for 2030. The MSP channel is likely to remain viable; the unchanged ticket-and-device operating model is unlikely to be the best source of growth or valuation. The pace of repricing, agent reliability, customer trust and partner economics remain uncertain. No authoritative data support a precise percentage of MSPs that will fail, so Section 9 presents explicit planning judgements rather than a purported industry forecast. [1, 2, 4, 24, 33]</w:t>
      </w:r>
    </w:p>
    <w:p w:rsidR="147095AF" w:rsidP="147095AF" w:rsidRDefault="147095AF" w14:noSpellErr="1" w14:paraId="6B92A8DE" w14:textId="4BC64281">
      <w:pPr>
        <w:pStyle w:val="Heading1"/>
        <w:numPr>
          <w:ilvl w:val="0"/>
          <w:numId w:val="0"/>
        </w:numPr>
      </w:pPr>
      <w:r w:rsidRPr="147095AF" w:rsidR="147095AF">
        <w:rPr>
          <w:color w:val="14617D" w:themeColor="accent6" w:themeTint="FF" w:themeShade="FF"/>
        </w:rPr>
        <w:t>Research Methodology</w:t>
      </w:r>
    </w:p>
    <w:p w:rsidR="147095AF" w:rsidRDefault="147095AF" w14:noSpellErr="1" w14:paraId="20617F69" w14:textId="40C72E08">
      <w:r w:rsidR="147095AF">
        <w:rPr/>
        <w:t>Scope and test. 'Traditional MSP/TSP' here means a provider whose core economics depend on recurring per-user or per-device fees for end-user support, reactive tickets, device and infrastructure administration, monitoring and resale; it is not a synonym for every managed security, cloud or transformation provider. The test asks whether that model can maintain revenue, gross margin, relevance and exit quality from 2026 to 2030, with a qualitative stress horizon to 2035. It compares three hypotheses: broad obsolescence, bifurcation between commodity and differentiated providers, and a resilient status quo.</w:t>
      </w:r>
    </w:p>
    <w:p w:rsidR="147095AF" w:rsidRDefault="147095AF" w14:noSpellErr="1" w14:paraId="1730FF3C" w14:textId="7F2BCE8D">
      <w:r w:rsidR="147095AF">
        <w:rPr/>
        <w:t>Source selection. The review uses original vendor disclosures and public filings for product and financial facts; analyst releases for forecasts and contract-market data; government and peer-reviewed work for labour and productivity; and partner surveys for operating signals. [1–45] Survey claims are explicitly self-reported, forecasts are not outcomes, product announcements are not deployments, and vendor case studies are not independently audited results. Microsoft, AWS, Alphabet and ServiceNow are used as evidence of platform strategy, not as direct financial peers to an SMB MSP. All sources were available by 23 September 2026; references identify the original public page, date and link.</w:t>
      </w:r>
    </w:p>
    <w:p w:rsidR="147095AF" w:rsidRDefault="147095AF" w14:noSpellErr="1" w14:paraId="36B55268" w14:textId="7DBE7F34">
      <w:r w:rsidR="147095AF">
        <w:rPr/>
        <w:t>Comparability limits. Service Leadership's published release does not disclose a representative service-line gross-margin or revenue-per-employee distribution, and the full benchmark is not public. [1, 2] Its participant data, Kaseya's November 2025 survey of 1,061 MSPs (76% North American), ISG's US$5 million-plus enterprise contracts, and Omdia's broad channel market use different denominators and cannot be averaged into a single MSP growth rate. [1, 2, 3, 4, 6] The financial model therefore discloses every chosen input and reports sensitivities; its US$10 million scale is a normalized example, not an asserted industry mean.</w:t>
      </w:r>
    </w:p>
    <w:p w:rsidR="147095AF" w:rsidRDefault="147095AF" w14:noSpellErr="1" w14:paraId="6FE8378D" w14:textId="7000D61C">
      <w:r w:rsidR="147095AF">
        <w:rPr/>
        <w:t>Decision standard. 'Obsolete' would require persistent erosion of the legacy offer's economic return despite reasonable operational change. Continued market growth and strong best-in-class profits count against a blanket extinction thesis; narrowing margins, price deflation, bundled administration and shrinking low-value contracts count against an unchanged model. [1, 2, 4, 6, 10, 12] Evidence is graded in the next section by what it measures, not by the prominence of its publisher.</w:t>
      </w:r>
    </w:p>
    <w:p w:rsidR="147095AF" w:rsidP="147095AF" w:rsidRDefault="147095AF" w14:noSpellErr="1" w14:paraId="74EF2E47" w14:textId="1148999D">
      <w:pPr>
        <w:pStyle w:val="Heading1"/>
        <w:numPr>
          <w:ilvl w:val="0"/>
          <w:numId w:val="0"/>
        </w:numPr>
      </w:pPr>
      <w:r w:rsidRPr="147095AF" w:rsidR="147095AF">
        <w:rPr>
          <w:color w:val="14617D" w:themeColor="accent6" w:themeTint="FF" w:themeShade="FF"/>
        </w:rPr>
        <w:t>Key Findings</w:t>
      </w:r>
    </w:p>
    <w:p w:rsidR="147095AF" w:rsidRDefault="147095AF" w14:noSpellErr="1" w14:paraId="190B00F4" w14:textId="28DA8549">
      <w:r w:rsidR="147095AF">
        <w:rPr/>
        <w:t>The following findings separate observations from inferences. Confidence describes the direction of the claim, not the exact timing of disruption.</w:t>
      </w:r>
    </w:p>
    <w:tbl>
      <w:tblPr>
        <w:tblStyle w:val="TableGrid"/>
        <w:tblW w:w="0" w:type="auto"/>
        <w:tblLook w:val="04A0" w:firstRow="1" w:lastRow="0" w:firstColumn="1" w:lastColumn="0" w:noHBand="0" w:noVBand="1"/>
      </w:tblPr>
      <w:tblGrid>
        <w:gridCol w:w="3120"/>
        <w:gridCol w:w="3120"/>
        <w:gridCol w:w="3120"/>
      </w:tblGrid>
      <w:tr w:rsidR="147095AF" w:rsidTr="147095AF" w14:paraId="5051F7F9">
        <w:trPr>
          <w:trHeight w:val="300"/>
        </w:trPr>
        <w:tc>
          <w:tcPr>
            <w:tcW w:w="3120" w:type="dxa"/>
            <w:tcMar/>
          </w:tcPr>
          <w:p w:rsidR="147095AF" w:rsidRDefault="147095AF" w14:noSpellErr="1" w14:paraId="583CBEB1" w14:textId="5891921A">
            <w:r w:rsidR="147095AF">
              <w:rPr/>
              <w:t>Finding</w:t>
            </w:r>
          </w:p>
        </w:tc>
        <w:tc>
          <w:tcPr>
            <w:tcW w:w="3120" w:type="dxa"/>
            <w:tcMar/>
          </w:tcPr>
          <w:p w:rsidR="147095AF" w:rsidRDefault="147095AF" w14:noSpellErr="1" w14:paraId="1F43C5FF" w14:textId="516F78DE">
            <w:r w:rsidR="147095AF">
              <w:rPr/>
              <w:t>Best available evidence</w:t>
            </w:r>
          </w:p>
        </w:tc>
        <w:tc>
          <w:tcPr>
            <w:tcW w:w="3120" w:type="dxa"/>
            <w:tcMar/>
          </w:tcPr>
          <w:p w:rsidR="147095AF" w:rsidRDefault="147095AF" w14:noSpellErr="1" w14:paraId="3C28B611" w14:textId="4A4D5FA2">
            <w:r w:rsidR="147095AF">
              <w:rPr/>
              <w:t>Board implication / confidence</w:t>
            </w:r>
          </w:p>
        </w:tc>
      </w:tr>
      <w:tr w:rsidR="147095AF" w:rsidTr="147095AF" w14:paraId="65FA3591">
        <w:tc>
          <w:tcPr>
            <w:tcW w:w="3120" w:type="dxa"/>
            <w:tcMar/>
          </w:tcPr>
          <w:p w:rsidR="147095AF" w:rsidRDefault="147095AF" w14:noSpellErr="1" w14:paraId="37F9F920" w14:textId="6162C017">
            <w:r w:rsidR="147095AF">
              <w:rPr/>
              <w:t>The channel is not disappearing</w:t>
            </w:r>
          </w:p>
        </w:tc>
        <w:tc>
          <w:tcPr>
            <w:tcW w:w="3120" w:type="dxa"/>
            <w:tcMar/>
          </w:tcPr>
          <w:p w:rsidR="147095AF" w:rsidRDefault="147095AF" w14:noSpellErr="1" w14:paraId="531649B7" w14:textId="5A40A6DB">
            <w:r w:rsidR="147095AF">
              <w:rPr/>
              <w:t>2025 MSP revenue +9.6%; adjusted EBITDA dollars +17.1% in one benchmark. [1] Omdia forecast +13% broad channel growth. [3]</w:t>
            </w:r>
          </w:p>
        </w:tc>
        <w:tc>
          <w:tcPr>
            <w:tcW w:w="3120" w:type="dxa"/>
            <w:tcMar/>
          </w:tcPr>
          <w:p w:rsidR="147095AF" w:rsidRDefault="147095AF" w14:noSpellErr="1" w14:paraId="13B63799" w14:textId="531E8D9F">
            <w:r w:rsidR="147095AF">
              <w:rPr/>
              <w:t>Do not underwrite a category collapse. High on growth in measured samples; medium on population generalisation.</w:t>
            </w:r>
          </w:p>
        </w:tc>
      </w:tr>
      <w:tr w:rsidR="147095AF" w:rsidTr="147095AF" w14:paraId="77B6D87A">
        <w:tc>
          <w:tcPr>
            <w:tcW w:w="3120" w:type="dxa"/>
            <w:tcMar/>
          </w:tcPr>
          <w:p w:rsidR="147095AF" w:rsidRDefault="147095AF" w14:noSpellErr="1" w14:paraId="2A74CDB9" w14:textId="6A33EE14">
            <w:r w:rsidR="147095AF">
              <w:rPr/>
              <w:t>The routine core faces repricing</w:t>
            </w:r>
          </w:p>
        </w:tc>
        <w:tc>
          <w:tcPr>
            <w:tcW w:w="3120" w:type="dxa"/>
            <w:tcMar/>
          </w:tcPr>
          <w:p w:rsidR="147095AF" w:rsidRDefault="147095AF" w14:noSpellErr="1" w14:paraId="1807A73D" w14:textId="6311D4D8">
            <w:r w:rsidR="147095AF">
              <w:rPr/>
              <w:t>Q2 2026 enterprise managed-services ACV +2.7% versus XaaS +65%; ITO −3%. [4]</w:t>
            </w:r>
          </w:p>
        </w:tc>
        <w:tc>
          <w:tcPr>
            <w:tcW w:w="3120" w:type="dxa"/>
            <w:tcMar/>
          </w:tcPr>
          <w:p w:rsidR="147095AF" w:rsidRDefault="147095AF" w14:noSpellErr="1" w14:paraId="45D649F5" w14:textId="5BEFBB9C">
            <w:r w:rsidR="147095AF">
              <w:rPr/>
              <w:t>Separate contract growth from workload growth. High for enterprise divergence; SMB translation uncertain.</w:t>
            </w:r>
          </w:p>
        </w:tc>
      </w:tr>
      <w:tr w:rsidR="147095AF" w:rsidTr="147095AF" w14:paraId="521DC080">
        <w:tc>
          <w:tcPr>
            <w:tcW w:w="3120" w:type="dxa"/>
            <w:tcMar/>
          </w:tcPr>
          <w:p w:rsidR="147095AF" w:rsidRDefault="147095AF" w14:noSpellErr="1" w14:paraId="4301C921" w14:textId="73051C11">
            <w:r w:rsidR="147095AF">
              <w:rPr/>
              <w:t>Profitability is polarised</w:t>
            </w:r>
          </w:p>
        </w:tc>
        <w:tc>
          <w:tcPr>
            <w:tcW w:w="3120" w:type="dxa"/>
            <w:tcMar/>
          </w:tcPr>
          <w:p w:rsidR="147095AF" w:rsidRDefault="147095AF" w14:noSpellErr="1" w14:paraId="1DE2C848" w14:textId="6BE302D5">
            <w:r w:rsidR="147095AF">
              <w:rPr/>
              <w:t>Q4 2024 average MSP adjusted EBITDA 11.1%; 18% reported a loss; best-in-class exceeded 19% in 2025. [2, 1]</w:t>
            </w:r>
          </w:p>
        </w:tc>
        <w:tc>
          <w:tcPr>
            <w:tcW w:w="3120" w:type="dxa"/>
            <w:tcMar/>
          </w:tcPr>
          <w:p w:rsidR="147095AF" w:rsidRDefault="147095AF" w14:noSpellErr="1" w14:paraId="3F58289E" w14:textId="64C0E999">
            <w:r w:rsidR="147095AF">
              <w:rPr/>
              <w:t>Execution and scale matter more than a single market average. Moderate, self-selected benchmark.</w:t>
            </w:r>
          </w:p>
        </w:tc>
      </w:tr>
      <w:tr w:rsidR="147095AF" w:rsidTr="147095AF" w14:paraId="25E32CC9">
        <w:tc>
          <w:tcPr>
            <w:tcW w:w="3120" w:type="dxa"/>
            <w:tcMar/>
          </w:tcPr>
          <w:p w:rsidR="147095AF" w:rsidRDefault="147095AF" w14:noSpellErr="1" w14:paraId="6D302B29" w14:textId="7BD64A0E">
            <w:r w:rsidR="147095AF">
              <w:rPr/>
              <w:t>AI augments before it replaces</w:t>
            </w:r>
          </w:p>
        </w:tc>
        <w:tc>
          <w:tcPr>
            <w:tcW w:w="3120" w:type="dxa"/>
            <w:tcMar/>
          </w:tcPr>
          <w:p w:rsidR="147095AF" w:rsidRDefault="147095AF" w14:noSpellErr="1" w14:paraId="1878B052" w14:textId="74B430D2">
            <w:r w:rsidR="147095AF">
              <w:rPr/>
              <w:t>Peer-reviewed support study: +15% issues/hour. [27] Gartner: 20% reduced staffing; 55% held staffing flat with more volume. [25]</w:t>
            </w:r>
          </w:p>
        </w:tc>
        <w:tc>
          <w:tcPr>
            <w:tcW w:w="3120" w:type="dxa"/>
            <w:tcMar/>
          </w:tcPr>
          <w:p w:rsidR="147095AF" w:rsidRDefault="147095AF" w14:noSpellErr="1" w14:paraId="72FCB137" w14:textId="6D921796">
            <w:r w:rsidR="147095AF">
              <w:rPr/>
              <w:t>Bank productivity first; do not assume an automatic headcount dividend. Moderate, adjacent occupations.</w:t>
            </w:r>
          </w:p>
        </w:tc>
      </w:tr>
      <w:tr w:rsidR="147095AF" w:rsidTr="147095AF" w14:paraId="30F7DD13">
        <w:tc>
          <w:tcPr>
            <w:tcW w:w="3120" w:type="dxa"/>
            <w:tcMar/>
          </w:tcPr>
          <w:p w:rsidR="147095AF" w:rsidRDefault="147095AF" w14:noSpellErr="1" w14:paraId="58521916" w14:textId="04A7780B">
            <w:r w:rsidR="147095AF">
              <w:rPr/>
              <w:t>Platforms are taking routine tasks inside the suite</w:t>
            </w:r>
          </w:p>
        </w:tc>
        <w:tc>
          <w:tcPr>
            <w:tcW w:w="3120" w:type="dxa"/>
            <w:tcMar/>
          </w:tcPr>
          <w:p w:rsidR="147095AF" w:rsidRDefault="147095AF" w14:noSpellErr="1" w14:paraId="54573164" w14:textId="7D855ECF">
            <w:r w:rsidR="147095AF">
              <w:rPr/>
              <w:t>Microsoft has over 30 million paid Copilot seats, admin agents and security configuration tools; E5/E7 include Security Copilot capacity. [9, 12, 13]</w:t>
            </w:r>
          </w:p>
        </w:tc>
        <w:tc>
          <w:tcPr>
            <w:tcW w:w="3120" w:type="dxa"/>
            <w:tcMar/>
          </w:tcPr>
          <w:p w:rsidR="147095AF" w:rsidRDefault="147095AF" w14:noSpellErr="1" w14:paraId="4068C644" w14:textId="76634593">
            <w:r w:rsidR="147095AF">
              <w:rPr/>
              <w:t>Charge for governance, integration and accountability, not a manual configuration step. High on capabilities, low on resulting MSP revenue loss.</w:t>
            </w:r>
          </w:p>
        </w:tc>
      </w:tr>
      <w:tr w:rsidR="147095AF" w:rsidTr="147095AF" w14:paraId="689D036F">
        <w:tc>
          <w:tcPr>
            <w:tcW w:w="3120" w:type="dxa"/>
            <w:tcMar/>
          </w:tcPr>
          <w:p w:rsidR="147095AF" w:rsidRDefault="147095AF" w14:noSpellErr="1" w14:paraId="270EE4C0" w14:textId="0D78A608">
            <w:r w:rsidR="147095AF">
              <w:rPr/>
              <w:t>Security and AI demand are unevenly monetised</w:t>
            </w:r>
          </w:p>
        </w:tc>
        <w:tc>
          <w:tcPr>
            <w:tcW w:w="3120" w:type="dxa"/>
            <w:tcMar/>
          </w:tcPr>
          <w:p w:rsidR="147095AF" w:rsidRDefault="147095AF" w14:noSpellErr="1" w14:paraId="23C0BAB4" w14:textId="06568CCC">
            <w:r w:rsidR="147095AF">
              <w:rPr/>
              <w:t>Gartner projected US$92.8bn 2026 security-services spend. [22] In Kaseya's survey, 71% reported security-revenue growth; 48% saw AI demand, only 13% meaningful AI revenue. [6]</w:t>
            </w:r>
          </w:p>
        </w:tc>
        <w:tc>
          <w:tcPr>
            <w:tcW w:w="3120" w:type="dxa"/>
            <w:tcMar/>
          </w:tcPr>
          <w:p w:rsidR="147095AF" w:rsidRDefault="147095AF" w14:noSpellErr="1" w14:paraId="7685C3B1" w14:textId="7F347390">
            <w:r w:rsidR="147095AF">
              <w:rPr/>
              <w:t>Build a credible managed-security core before scaling AI offers. Moderate, forecasts and vendor survey.</w:t>
            </w:r>
          </w:p>
        </w:tc>
      </w:tr>
      <w:tr w:rsidR="147095AF" w:rsidTr="147095AF" w14:paraId="7C867FF6">
        <w:tc>
          <w:tcPr>
            <w:tcW w:w="3120" w:type="dxa"/>
            <w:tcMar/>
          </w:tcPr>
          <w:p w:rsidR="147095AF" w:rsidRDefault="147095AF" w14:noSpellErr="1" w14:paraId="23A958A7" w14:textId="1649D405">
            <w:r w:rsidR="147095AF">
              <w:rPr/>
              <w:t>Failure-rate forecasts are not established</w:t>
            </w:r>
          </w:p>
        </w:tc>
        <w:tc>
          <w:tcPr>
            <w:tcW w:w="3120" w:type="dxa"/>
            <w:tcMar/>
          </w:tcPr>
          <w:p w:rsidR="147095AF" w:rsidRDefault="147095AF" w14:noSpellErr="1" w14:paraId="13360EA5" w14:textId="0F27BAC9">
            <w:r w:rsidR="147095AF">
              <w:rPr/>
              <w:t>Published benchmark loss rates and deal counts are not a cohort survival study. [1, 2, 6]</w:t>
            </w:r>
          </w:p>
        </w:tc>
        <w:tc>
          <w:tcPr>
            <w:tcW w:w="3120" w:type="dxa"/>
            <w:tcMar/>
          </w:tcPr>
          <w:p w:rsidR="147095AF" w:rsidRDefault="147095AF" w14:noSpellErr="1" w14:paraId="52EC592D" w14:textId="0805A18D">
            <w:r w:rsidR="147095AF">
              <w:rPr/>
              <w:t>Use scenario planning, not a fake industry mortality statistic. High on the data gap; low on any outcome allocation.</w:t>
            </w:r>
          </w:p>
        </w:tc>
      </w:tr>
    </w:tbl>
    <w:p w:rsidR="147095AF" w:rsidP="147095AF" w:rsidRDefault="147095AF" w14:noSpellErr="1" w14:paraId="1C8276A0" w14:textId="7064B051">
      <w:pPr>
        <w:pStyle w:val="Heading1"/>
        <w:numPr>
          <w:ilvl w:val="0"/>
          <w:numId w:val="0"/>
        </w:numPr>
      </w:pPr>
      <w:r w:rsidRPr="147095AF" w:rsidR="147095AF">
        <w:rPr>
          <w:color w:val="14617D" w:themeColor="accent6" w:themeTint="FF" w:themeShade="FF"/>
        </w:rPr>
        <w:t>Evidence and Source Citations</w:t>
      </w:r>
    </w:p>
    <w:p w:rsidR="147095AF" w:rsidRDefault="147095AF" w14:noSpellErr="1" w14:paraId="4291108D" w14:textId="4E03F03E">
      <w:r w:rsidR="147095AF">
        <w:rPr/>
        <w:t>The strongest direct counterevidence to extinction is the Service Leadership 2025 result: MSP revenue and EBITDA dollars both grew, while its Q4 2024 index still showed a loss-making tail. [1, 2] The strongest direct pressure signal is ISG's divergence between managed-services and cloud-as-a-service ACV, coupled with its explicit report of pricing deflation in enterprise contracts. [4] Neither measures the probability of failure for an individual SMB provider. Figure 1 and the source register should be read as directional evidence, not a single pooled time series.</w:t>
      </w:r>
    </w:p>
    <w:tbl>
      <w:tblPr>
        <w:tblStyle w:val="TableGrid"/>
        <w:tblW w:w="0" w:type="auto"/>
        <w:tblLook w:val="04A0" w:firstRow="1" w:lastRow="0" w:firstColumn="1" w:lastColumn="0" w:noHBand="0" w:noVBand="1"/>
      </w:tblPr>
      <w:tblGrid>
        <w:gridCol w:w="3120"/>
        <w:gridCol w:w="3120"/>
        <w:gridCol w:w="3120"/>
      </w:tblGrid>
      <w:tr w:rsidR="147095AF" w:rsidTr="147095AF" w14:paraId="38B4C7FF">
        <w:trPr>
          <w:trHeight w:val="300"/>
        </w:trPr>
        <w:tc>
          <w:tcPr>
            <w:tcW w:w="3120" w:type="dxa"/>
            <w:tcMar/>
          </w:tcPr>
          <w:p w:rsidR="147095AF" w:rsidRDefault="147095AF" w14:noSpellErr="1" w14:paraId="38180E1B" w14:textId="2F0E493B">
            <w:r w:rsidR="147095AF">
              <w:rPr/>
              <w:t>Evidence class</w:t>
            </w:r>
          </w:p>
        </w:tc>
        <w:tc>
          <w:tcPr>
            <w:tcW w:w="3120" w:type="dxa"/>
            <w:tcMar/>
          </w:tcPr>
          <w:p w:rsidR="147095AF" w:rsidRDefault="147095AF" w14:noSpellErr="1" w14:paraId="3AB9169E" w14:textId="27EC2FFF">
            <w:r w:rsidR="147095AF">
              <w:rPr/>
              <w:t>Examples used in this report</w:t>
            </w:r>
          </w:p>
        </w:tc>
        <w:tc>
          <w:tcPr>
            <w:tcW w:w="3120" w:type="dxa"/>
            <w:tcMar/>
          </w:tcPr>
          <w:p w:rsidR="147095AF" w:rsidRDefault="147095AF" w14:noSpellErr="1" w14:paraId="4C7FF797" w14:textId="20CA16C3">
            <w:r w:rsidR="147095AF">
              <w:rPr/>
              <w:t>What it cannot establish</w:t>
            </w:r>
          </w:p>
        </w:tc>
      </w:tr>
      <w:tr w:rsidR="147095AF" w:rsidTr="147095AF" w14:paraId="674614AB">
        <w:tc>
          <w:tcPr>
            <w:tcW w:w="3120" w:type="dxa"/>
            <w:tcMar/>
          </w:tcPr>
          <w:p w:rsidR="147095AF" w:rsidRDefault="147095AF" w14:noSpellErr="1" w14:paraId="29D76D6F" w14:textId="37DF7738">
            <w:r w:rsidR="147095AF">
              <w:rPr/>
              <w:t>Observed company or contract data</w:t>
            </w:r>
          </w:p>
        </w:tc>
        <w:tc>
          <w:tcPr>
            <w:tcW w:w="3120" w:type="dxa"/>
            <w:tcMar/>
          </w:tcPr>
          <w:p w:rsidR="147095AF" w:rsidRDefault="147095AF" w14:noSpellErr="1" w14:paraId="3EAB8F82" w14:textId="30BD5DFC">
            <w:r w:rsidR="147095AF">
              <w:rPr/>
              <w:t>Microsoft FY26 revenue; ISG Q2 2026 ACV; Accenture, DXC and Kyndryl disclosures. [4, 8, 35, 37, 38]</w:t>
            </w:r>
          </w:p>
        </w:tc>
        <w:tc>
          <w:tcPr>
            <w:tcW w:w="3120" w:type="dxa"/>
            <w:tcMar/>
          </w:tcPr>
          <w:p w:rsidR="147095AF" w:rsidRDefault="147095AF" w14:noSpellErr="1" w14:paraId="7011566E" w14:textId="299B44C0">
            <w:r w:rsidR="147095AF">
              <w:rPr/>
              <w:t>A large-company or enterprise-contract result is not the average SMB MSP.</w:t>
            </w:r>
          </w:p>
        </w:tc>
      </w:tr>
      <w:tr w:rsidR="147095AF" w:rsidTr="147095AF" w14:paraId="2FEB7C59">
        <w:tc>
          <w:tcPr>
            <w:tcW w:w="3120" w:type="dxa"/>
            <w:tcMar/>
          </w:tcPr>
          <w:p w:rsidR="147095AF" w:rsidRDefault="147095AF" w14:noSpellErr="1" w14:paraId="2A8B7391" w14:textId="40B0A535">
            <w:r w:rsidR="147095AF">
              <w:rPr/>
              <w:t>Provider benchmarks</w:t>
            </w:r>
          </w:p>
        </w:tc>
        <w:tc>
          <w:tcPr>
            <w:tcW w:w="3120" w:type="dxa"/>
            <w:tcMar/>
          </w:tcPr>
          <w:p w:rsidR="147095AF" w:rsidRDefault="147095AF" w14:noSpellErr="1" w14:paraId="20C9C72B" w14:textId="398E8BF9">
            <w:r w:rsidR="147095AF">
              <w:rPr/>
              <w:t>Service Leadership quarterly/annual public summaries. [1, 2]</w:t>
            </w:r>
          </w:p>
        </w:tc>
        <w:tc>
          <w:tcPr>
            <w:tcW w:w="3120" w:type="dxa"/>
            <w:tcMar/>
          </w:tcPr>
          <w:p w:rsidR="147095AF" w:rsidRDefault="147095AF" w14:noSpellErr="1" w14:paraId="461A9D26" w14:textId="326C72BD">
            <w:r w:rsidR="147095AF">
              <w:rPr/>
              <w:t>Self-selected participants and undisclosed line-level data limit population inference.</w:t>
            </w:r>
          </w:p>
        </w:tc>
      </w:tr>
      <w:tr w:rsidR="147095AF" w:rsidTr="147095AF" w14:paraId="7CEAC59A">
        <w:tc>
          <w:tcPr>
            <w:tcW w:w="3120" w:type="dxa"/>
            <w:tcMar/>
          </w:tcPr>
          <w:p w:rsidR="147095AF" w:rsidRDefault="147095AF" w14:noSpellErr="1" w14:paraId="77FD79D5" w14:textId="4981D332">
            <w:r w:rsidR="147095AF">
              <w:rPr/>
              <w:t>Surveys</w:t>
            </w:r>
          </w:p>
        </w:tc>
        <w:tc>
          <w:tcPr>
            <w:tcW w:w="3120" w:type="dxa"/>
            <w:tcMar/>
          </w:tcPr>
          <w:p w:rsidR="147095AF" w:rsidRDefault="147095AF" w14:noSpellErr="1" w14:paraId="1A9D0426" w14:textId="425FB9F6">
            <w:r w:rsidR="147095AF">
              <w:rPr/>
              <w:t>Kaseya MSP survey; McKinsey AI survey; Gartner service-leader survey. [6, 26, 25]</w:t>
            </w:r>
          </w:p>
        </w:tc>
        <w:tc>
          <w:tcPr>
            <w:tcW w:w="3120" w:type="dxa"/>
            <w:tcMar/>
          </w:tcPr>
          <w:p w:rsidR="147095AF" w:rsidRDefault="147095AF" w14:noSpellErr="1" w14:paraId="4B512BDC" w14:textId="3B3DA0BA">
            <w:r w:rsidR="147095AF">
              <w:rPr/>
              <w:t>Respondent perception is not audited profit, and samples have different scopes.</w:t>
            </w:r>
          </w:p>
        </w:tc>
      </w:tr>
      <w:tr w:rsidR="147095AF" w:rsidTr="147095AF" w14:paraId="63D490AD">
        <w:tc>
          <w:tcPr>
            <w:tcW w:w="3120" w:type="dxa"/>
            <w:tcMar/>
          </w:tcPr>
          <w:p w:rsidR="147095AF" w:rsidRDefault="147095AF" w14:noSpellErr="1" w14:paraId="3DB74612" w14:textId="5253012F">
            <w:r w:rsidR="147095AF">
              <w:rPr/>
              <w:t>Published forecasts</w:t>
            </w:r>
          </w:p>
        </w:tc>
        <w:tc>
          <w:tcPr>
            <w:tcW w:w="3120" w:type="dxa"/>
            <w:tcMar/>
          </w:tcPr>
          <w:p w:rsidR="147095AF" w:rsidRDefault="147095AF" w14:noSpellErr="1" w14:paraId="55209E7B" w14:textId="4B30E7F3">
            <w:r w:rsidR="147095AF">
              <w:rPr/>
              <w:t>Omdia channel growth; Gartner spending and agentic-service forecasts. [3, 5, 22, 23, 24]</w:t>
            </w:r>
          </w:p>
        </w:tc>
        <w:tc>
          <w:tcPr>
            <w:tcW w:w="3120" w:type="dxa"/>
            <w:tcMar/>
          </w:tcPr>
          <w:p w:rsidR="147095AF" w:rsidRDefault="147095AF" w14:noSpellErr="1" w14:paraId="52D8D927" w14:textId="440ECEB7">
            <w:r w:rsidR="147095AF">
              <w:rPr/>
              <w:t>A forecast is neither realised spend nor a probability that any MSP will fail.</w:t>
            </w:r>
          </w:p>
        </w:tc>
      </w:tr>
      <w:tr w:rsidR="147095AF" w:rsidTr="147095AF" w14:paraId="793B909E">
        <w:tc>
          <w:tcPr>
            <w:tcW w:w="3120" w:type="dxa"/>
            <w:tcMar/>
          </w:tcPr>
          <w:p w:rsidR="147095AF" w:rsidRDefault="147095AF" w14:noSpellErr="1" w14:paraId="27E06B01" w14:textId="5B242F2C">
            <w:r w:rsidR="147095AF">
              <w:rPr/>
              <w:t>Academic and government research</w:t>
            </w:r>
          </w:p>
        </w:tc>
        <w:tc>
          <w:tcPr>
            <w:tcW w:w="3120" w:type="dxa"/>
            <w:tcMar/>
          </w:tcPr>
          <w:p w:rsidR="147095AF" w:rsidRDefault="147095AF" w14:noSpellErr="1" w14:paraId="7D360D61" w14:textId="540215F0">
            <w:r w:rsidR="147095AF">
              <w:rPr/>
              <w:t>QJE support experiment; BLS occupation projections; Stanford payroll study. [27, 29, 30, 31]</w:t>
            </w:r>
          </w:p>
        </w:tc>
        <w:tc>
          <w:tcPr>
            <w:tcW w:w="3120" w:type="dxa"/>
            <w:tcMar/>
          </w:tcPr>
          <w:p w:rsidR="147095AF" w:rsidRDefault="147095AF" w14:noSpellErr="1" w14:paraId="457DD3D0" w14:textId="4CDFFCB4">
            <w:r w:rsidR="147095AF">
              <w:rPr/>
              <w:t>Adjacent work and broad occupations cannot be transferred one-for-one to MSP staffing.</w:t>
            </w:r>
          </w:p>
        </w:tc>
      </w:tr>
      <w:tr w:rsidR="147095AF" w:rsidTr="147095AF" w14:paraId="5549A3C9">
        <w:tc>
          <w:tcPr>
            <w:tcW w:w="3120" w:type="dxa"/>
            <w:tcMar/>
          </w:tcPr>
          <w:p w:rsidR="147095AF" w:rsidRDefault="147095AF" w14:noSpellErr="1" w14:paraId="6E163356" w14:textId="63F55D29">
            <w:r w:rsidR="147095AF">
              <w:rPr/>
              <w:t>Vendor functionality and cases</w:t>
            </w:r>
          </w:p>
        </w:tc>
        <w:tc>
          <w:tcPr>
            <w:tcW w:w="3120" w:type="dxa"/>
            <w:tcMar/>
          </w:tcPr>
          <w:p w:rsidR="147095AF" w:rsidRDefault="147095AF" w14:noSpellErr="1" w14:paraId="1D1AC946" w14:textId="5CD343ED">
            <w:r w:rsidR="147095AF">
              <w:rPr/>
              <w:t>Microsoft admin/security agents; AWS operations agents; ServiceNow IT workflows. [12, 13, 19, 21]</w:t>
            </w:r>
          </w:p>
        </w:tc>
        <w:tc>
          <w:tcPr>
            <w:tcW w:w="3120" w:type="dxa"/>
            <w:tcMar/>
          </w:tcPr>
          <w:p w:rsidR="147095AF" w:rsidRDefault="147095AF" w14:noSpellErr="1" w14:paraId="461F003D" w14:textId="55B12AB1">
            <w:r w:rsidR="147095AF">
              <w:rPr/>
              <w:t>Availability and selected internal outcomes do not establish adoption, quality or net MSP displacement.</w:t>
            </w:r>
          </w:p>
        </w:tc>
      </w:tr>
    </w:tbl>
    <w:p w:rsidR="147095AF" w:rsidRDefault="147095AF" w14:noSpellErr="1" w14:paraId="6A1FF0F6" w14:textId="5F986174">
      <w:r w:rsidR="147095AF">
        <w:rPr/>
        <w:t>Apparently conflicting growth claims often use different measures. Service Leadership's 1.0% worldwide managed-service revenue growth in Q4 2024 is not its 9.6% total MSP revenue growth for calendar 2025; Omdia's US$595 billion 2025 channel forecast is not comparable with ISG's one-quarter US$10.9 billion ACV for large enterprise managed-services contracts. [2, 1, 3, 4] Public source material does not provide a statistically defensible global MSP population survival rate, a representative revenue-per-employee distribution, or a comparable service-line gross-margin series. The report avoids the precise but untraceable market statistics that circulate in commercial compilations.</w:t>
      </w:r>
    </w:p>
    <w:p w:rsidR="147095AF" w:rsidP="147095AF" w:rsidRDefault="147095AF" w14:noSpellErr="1" w14:paraId="30830FFA" w14:textId="14E64C28">
      <w:pPr>
        <w:pStyle w:val="Heading1"/>
        <w:numPr>
          <w:ilvl w:val="0"/>
          <w:numId w:val="0"/>
        </w:numPr>
      </w:pPr>
      <w:r w:rsidRPr="147095AF" w:rsidR="147095AF">
        <w:rPr>
          <w:color w:val="14617D" w:themeColor="accent6" w:themeTint="FF" w:themeShade="FF"/>
        </w:rPr>
        <w:t>Market Analysis</w:t>
      </w:r>
    </w:p>
    <w:p w:rsidR="147095AF" w:rsidP="147095AF" w:rsidRDefault="147095AF" w14:noSpellErr="1" w14:paraId="119A9423" w14:textId="3C6EB54F">
      <w:pPr>
        <w:pStyle w:val="Heading2"/>
        <w:numPr>
          <w:ilvl w:val="0"/>
          <w:numId w:val="0"/>
        </w:numPr>
      </w:pPr>
      <w:r w:rsidRPr="147095AF" w:rsidR="147095AF">
        <w:rPr>
          <w:color w:val="14617D" w:themeColor="accent6" w:themeTint="FF" w:themeShade="FF"/>
        </w:rPr>
        <w:t>Where the traditional model is exposed</w:t>
      </w:r>
    </w:p>
    <w:p w:rsidR="147095AF" w:rsidRDefault="147095AF" w14:noSpellErr="1" w14:paraId="4AF95C93" w14:textId="3F15FC7B">
      <w:r w:rsidR="147095AF">
        <w:rPr/>
        <w:t>A fixed-fee MSP sells responsibility for an expanding and variable workload at a price commonly indexed to users or devices. That construct was attractive when remote tooling and repeatable processes lowered labour minutes without forcing a matching reduction in price. It becomes fragile when the denominator is no longer a good proxy for the work or the outcome: cloud workloads, identities, agents and data estates do not scale neatly with physical endpoints, while security incidents create tail risk. This is a unit-economics mechanism, not an assertion that per-seat pricing already fails for every customer. The empirical warning signs are slowing managed-service revenue growth in one 2024 quarter, smaller deal-size bands in a 2025 MSP survey, and ISG's 2026 report of price deflation in large outsourcing contracts. [2, 6, 4]</w:t>
      </w:r>
    </w:p>
    <w:tbl>
      <w:tblPr>
        <w:tblStyle w:val="TableGrid"/>
        <w:tblW w:w="0" w:type="auto"/>
        <w:tblLook w:val="04A0" w:firstRow="1" w:lastRow="0" w:firstColumn="1" w:lastColumn="0" w:noHBand="0" w:noVBand="1"/>
      </w:tblPr>
      <w:tblGrid>
        <w:gridCol w:w="3120"/>
        <w:gridCol w:w="3120"/>
        <w:gridCol w:w="3120"/>
      </w:tblGrid>
      <w:tr w:rsidR="147095AF" w:rsidTr="147095AF" w14:paraId="3AFA0F71">
        <w:trPr>
          <w:trHeight w:val="300"/>
        </w:trPr>
        <w:tc>
          <w:tcPr>
            <w:tcW w:w="3120" w:type="dxa"/>
            <w:tcMar/>
          </w:tcPr>
          <w:p w:rsidR="147095AF" w:rsidRDefault="147095AF" w14:noSpellErr="1" w14:paraId="37E1E5BA" w14:textId="503E2636">
            <w:r w:rsidR="147095AF">
              <w:rPr/>
              <w:t>Conventional offer / pricing</w:t>
            </w:r>
          </w:p>
        </w:tc>
        <w:tc>
          <w:tcPr>
            <w:tcW w:w="3120" w:type="dxa"/>
            <w:tcMar/>
          </w:tcPr>
          <w:p w:rsidR="147095AF" w:rsidRDefault="147095AF" w14:noSpellErr="1" w14:paraId="3B411DDE" w14:textId="491C0CFA">
            <w:r w:rsidR="147095AF">
              <w:rPr/>
              <w:t>Exposure mechanism</w:t>
            </w:r>
          </w:p>
        </w:tc>
        <w:tc>
          <w:tcPr>
            <w:tcW w:w="3120" w:type="dxa"/>
            <w:tcMar/>
          </w:tcPr>
          <w:p w:rsidR="147095AF" w:rsidRDefault="147095AF" w14:noSpellErr="1" w14:paraId="1D228679" w14:textId="41F9F3BE">
            <w:r w:rsidR="147095AF">
              <w:rPr/>
              <w:t>Defensible residual offer</w:t>
            </w:r>
          </w:p>
        </w:tc>
      </w:tr>
      <w:tr w:rsidR="147095AF" w:rsidTr="147095AF" w14:paraId="4E1581C2">
        <w:tc>
          <w:tcPr>
            <w:tcW w:w="3120" w:type="dxa"/>
            <w:tcMar/>
          </w:tcPr>
          <w:p w:rsidR="147095AF" w:rsidRDefault="147095AF" w14:noSpellErr="1" w14:paraId="56727E95" w14:textId="590F5433">
            <w:r w:rsidR="147095AF">
              <w:rPr/>
              <w:t>Per-user / per-device contract</w:t>
            </w:r>
          </w:p>
        </w:tc>
        <w:tc>
          <w:tcPr>
            <w:tcW w:w="3120" w:type="dxa"/>
            <w:tcMar/>
          </w:tcPr>
          <w:p w:rsidR="147095AF" w:rsidRDefault="147095AF" w14:noSpellErr="1" w14:paraId="36C55379" w14:textId="51ED3AF7">
            <w:r w:rsidR="147095AF">
              <w:rPr/>
              <w:t>Seats and endpoints weakly proxy identity, agent, data and process risk; vendor suite prices also absorb budget. [10, 12]</w:t>
            </w:r>
          </w:p>
        </w:tc>
        <w:tc>
          <w:tcPr>
            <w:tcW w:w="3120" w:type="dxa"/>
            <w:tcMar/>
          </w:tcPr>
          <w:p w:rsidR="147095AF" w:rsidRDefault="147095AF" w14:noSpellErr="1" w14:paraId="3BD7046C" w14:textId="4ACB21BB">
            <w:r w:rsidR="147095AF">
              <w:rPr/>
              <w:t>Keep as a simple access fee, with separate risk/complexity and consumption schedules.</w:t>
            </w:r>
          </w:p>
        </w:tc>
      </w:tr>
      <w:tr w:rsidR="147095AF" w:rsidTr="147095AF" w14:paraId="52C189BC">
        <w:tc>
          <w:tcPr>
            <w:tcW w:w="3120" w:type="dxa"/>
            <w:tcMar/>
          </w:tcPr>
          <w:p w:rsidR="147095AF" w:rsidRDefault="147095AF" w14:noSpellErr="1" w14:paraId="18AB6EC5" w14:textId="61E08230">
            <w:r w:rsidR="147095AF">
              <w:rPr/>
              <w:t>Level-1 help desk and reactive tickets</w:t>
            </w:r>
          </w:p>
        </w:tc>
        <w:tc>
          <w:tcPr>
            <w:tcW w:w="3120" w:type="dxa"/>
            <w:tcMar/>
          </w:tcPr>
          <w:p w:rsidR="147095AF" w:rsidRDefault="147095AF" w14:noSpellErr="1" w14:paraId="4AA0CF13" w14:textId="5ABE68F4">
            <w:r w:rsidR="147095AF">
              <w:rPr/>
              <w:t>Self-service, knowledge retrieval and bounded workflows reduce common requests. [16, 23, 27]</w:t>
            </w:r>
          </w:p>
        </w:tc>
        <w:tc>
          <w:tcPr>
            <w:tcW w:w="3120" w:type="dxa"/>
            <w:tcMar/>
          </w:tcPr>
          <w:p w:rsidR="147095AF" w:rsidRDefault="147095AF" w14:noSpellErr="1" w14:paraId="4E894A2C" w14:textId="539C4FB8">
            <w:r w:rsidR="147095AF">
              <w:rPr/>
              <w:t>Human escalation, experience assurance, accessible support and exception handling.</w:t>
            </w:r>
          </w:p>
        </w:tc>
      </w:tr>
      <w:tr w:rsidR="147095AF" w:rsidTr="147095AF" w14:paraId="184493F6">
        <w:tc>
          <w:tcPr>
            <w:tcW w:w="3120" w:type="dxa"/>
            <w:tcMar/>
          </w:tcPr>
          <w:p w:rsidR="147095AF" w:rsidRDefault="147095AF" w14:noSpellErr="1" w14:paraId="4A68D073" w14:textId="6AB1B02D">
            <w:r w:rsidR="147095AF">
              <w:rPr/>
              <w:t>Level-2 support</w:t>
            </w:r>
          </w:p>
        </w:tc>
        <w:tc>
          <w:tcPr>
            <w:tcW w:w="3120" w:type="dxa"/>
            <w:tcMar/>
          </w:tcPr>
          <w:p w:rsidR="147095AF" w:rsidRDefault="147095AF" w14:noSpellErr="1" w14:paraId="3B44EC60" w14:textId="638F96F1">
            <w:r w:rsidR="147095AF">
              <w:rPr/>
              <w:t>AI may accelerate search and documentation, but diagnosis and privileged changes remain context-sensitive. [27, 28]</w:t>
            </w:r>
          </w:p>
        </w:tc>
        <w:tc>
          <w:tcPr>
            <w:tcW w:w="3120" w:type="dxa"/>
            <w:tcMar/>
          </w:tcPr>
          <w:p w:rsidR="147095AF" w:rsidRDefault="147095AF" w14:noSpellErr="1" w14:paraId="78903E17" w14:textId="5C6D7DB5">
            <w:r w:rsidR="147095AF">
              <w:rPr/>
              <w:t>Verified root-cause resolution, multi-vendor integration and change control.</w:t>
            </w:r>
          </w:p>
        </w:tc>
      </w:tr>
      <w:tr w:rsidR="147095AF" w:rsidTr="147095AF" w14:paraId="40794A40">
        <w:tc>
          <w:tcPr>
            <w:tcW w:w="3120" w:type="dxa"/>
            <w:tcMar/>
          </w:tcPr>
          <w:p w:rsidR="147095AF" w:rsidRDefault="147095AF" w14:noSpellErr="1" w14:paraId="4BFFC226" w14:textId="7382DE2A">
            <w:r w:rsidR="147095AF">
              <w:rPr/>
              <w:t>Device monitoring, patching, onboarding</w:t>
            </w:r>
          </w:p>
        </w:tc>
        <w:tc>
          <w:tcPr>
            <w:tcW w:w="3120" w:type="dxa"/>
            <w:tcMar/>
          </w:tcPr>
          <w:p w:rsidR="147095AF" w:rsidRDefault="147095AF" w14:noSpellErr="1" w14:paraId="52A00BB9" w14:textId="6C60C4EE">
            <w:r w:rsidR="147095AF">
              <w:rPr/>
              <w:t>Native admin agents, baselines and identity workflows can automate routine actions. [12, 13, 45]</w:t>
            </w:r>
          </w:p>
        </w:tc>
        <w:tc>
          <w:tcPr>
            <w:tcW w:w="3120" w:type="dxa"/>
            <w:tcMar/>
          </w:tcPr>
          <w:p w:rsidR="147095AF" w:rsidRDefault="147095AF" w14:noSpellErr="1" w14:paraId="130C1408" w14:textId="653EABB2">
            <w:r w:rsidR="147095AF">
              <w:rPr/>
              <w:t>Cross-platform policy, exception remediation, evidence and lifecycle governance.</w:t>
            </w:r>
          </w:p>
        </w:tc>
      </w:tr>
      <w:tr w:rsidR="147095AF" w:rsidTr="147095AF" w14:paraId="6BADEB2F">
        <w:tc>
          <w:tcPr>
            <w:tcW w:w="3120" w:type="dxa"/>
            <w:tcMar/>
          </w:tcPr>
          <w:p w:rsidR="147095AF" w:rsidRDefault="147095AF" w14:noSpellErr="1" w14:paraId="14B48B36" w14:textId="7C540C27">
            <w:r w:rsidR="147095AF">
              <w:rPr/>
              <w:t>Infrastructure and backup administration</w:t>
            </w:r>
          </w:p>
        </w:tc>
        <w:tc>
          <w:tcPr>
            <w:tcW w:w="3120" w:type="dxa"/>
            <w:tcMar/>
          </w:tcPr>
          <w:p w:rsidR="147095AF" w:rsidRDefault="147095AF" w14:noSpellErr="1" w14:paraId="6C3B724D" w14:textId="7531F2EB">
            <w:r w:rsidR="147095AF">
              <w:rPr/>
              <w:t>Cloud-native services and DevOps agents internalise some operations; hybrid recovery remains difficult. [19, 30]</w:t>
            </w:r>
          </w:p>
        </w:tc>
        <w:tc>
          <w:tcPr>
            <w:tcW w:w="3120" w:type="dxa"/>
            <w:tcMar/>
          </w:tcPr>
          <w:p w:rsidR="147095AF" w:rsidRDefault="147095AF" w14:noSpellErr="1" w14:paraId="423D54E8" w14:textId="6E0FD9AF">
            <w:r w:rsidR="147095AF">
              <w:rPr/>
              <w:t>Resilience design, testing, recovery objectives and independent assurance.</w:t>
            </w:r>
          </w:p>
        </w:tc>
      </w:tr>
      <w:tr w:rsidR="147095AF" w:rsidTr="147095AF" w14:paraId="36FDE157">
        <w:tc>
          <w:tcPr>
            <w:tcW w:w="3120" w:type="dxa"/>
            <w:tcMar/>
          </w:tcPr>
          <w:p w:rsidR="147095AF" w:rsidRDefault="147095AF" w14:noSpellErr="1" w14:paraId="6230FF8D" w14:textId="05253A24">
            <w:r w:rsidR="147095AF">
              <w:rPr/>
              <w:t>Fixed-fee all-you-can-eat support</w:t>
            </w:r>
          </w:p>
        </w:tc>
        <w:tc>
          <w:tcPr>
            <w:tcW w:w="3120" w:type="dxa"/>
            <w:tcMar/>
          </w:tcPr>
          <w:p w:rsidR="147095AF" w:rsidRDefault="147095AF" w14:noSpellErr="1" w14:paraId="39F237B0" w14:textId="7E0320E8">
            <w:r w:rsidR="147095AF">
              <w:rPr/>
              <w:t>AI consumption, security response and platform price rises add variable cost to a fixed price. [9, 10, 13]</w:t>
            </w:r>
          </w:p>
        </w:tc>
        <w:tc>
          <w:tcPr>
            <w:tcW w:w="3120" w:type="dxa"/>
            <w:tcMar/>
          </w:tcPr>
          <w:p w:rsidR="147095AF" w:rsidRDefault="147095AF" w14:noSpellErr="1" w14:paraId="2FC6892C" w14:textId="76E107AC">
            <w:r w:rsidR="147095AF">
              <w:rPr/>
              <w:t>Scope bands, fair-use guardrails, risk-based tiers and usage pass-through.</w:t>
            </w:r>
          </w:p>
        </w:tc>
      </w:tr>
      <w:tr w:rsidR="147095AF" w:rsidTr="147095AF" w14:paraId="2F95CD8F">
        <w:tc>
          <w:tcPr>
            <w:tcW w:w="3120" w:type="dxa"/>
            <w:tcMar/>
          </w:tcPr>
          <w:p w:rsidR="147095AF" w:rsidRDefault="147095AF" w14:noSpellErr="1" w14:paraId="48D84480" w14:textId="0DF66821">
            <w:r w:rsidR="147095AF">
              <w:rPr/>
              <w:t>Licence and hardware resale</w:t>
            </w:r>
          </w:p>
        </w:tc>
        <w:tc>
          <w:tcPr>
            <w:tcW w:w="3120" w:type="dxa"/>
            <w:tcMar/>
          </w:tcPr>
          <w:p w:rsidR="147095AF" w:rsidRDefault="147095AF" w14:noSpellErr="1" w14:paraId="1BAC4DB6" w14:textId="06D44EE5">
            <w:r w:rsidR="147095AF">
              <w:rPr/>
              <w:t>Vendor incentive rules and direct/marketplace channels can compress pure pass-through margin. [11, 18, 33]</w:t>
            </w:r>
          </w:p>
        </w:tc>
        <w:tc>
          <w:tcPr>
            <w:tcW w:w="3120" w:type="dxa"/>
            <w:tcMar/>
          </w:tcPr>
          <w:p w:rsidR="147095AF" w:rsidRDefault="147095AF" w14:noSpellErr="1" w14:paraId="2D35EB09" w14:textId="7FB235A9">
            <w:r w:rsidR="147095AF">
              <w:rPr/>
              <w:t>Procurement governance, optimisation, adoption and managed outcomes.</w:t>
            </w:r>
          </w:p>
        </w:tc>
      </w:tr>
    </w:tbl>
    <w:p w:rsidR="147095AF" w:rsidRDefault="147095AF" w14:noSpellErr="1" w14:paraId="5362084E" w14:textId="1DC72819">
      <w:r w:rsidR="147095AF">
        <w:rPr/>
        <w:t>The board should distinguish labour effort from contractual value. A provider that closes fewer tickets at the same quality, reduces incidents and certifies controls can justify a recurring assurance fee even if its human hours fall. Conversely, if the only evidence of value is technician time or a ticket count, improved automation can weaken the renewal story. Kaseya found that difficulty demonstrating value quickly rose from 10% to 19% among respondents, while 71% named new-customer acquisition their biggest challenge. [6]</w:t>
      </w:r>
    </w:p>
    <w:p w:rsidR="147095AF" w:rsidP="147095AF" w:rsidRDefault="147095AF" w14:noSpellErr="1" w14:paraId="54D60A87" w14:textId="70DBBE63">
      <w:pPr>
        <w:pStyle w:val="Heading2"/>
        <w:numPr>
          <w:ilvl w:val="0"/>
          <w:numId w:val="0"/>
        </w:numPr>
      </w:pPr>
      <w:r w:rsidRPr="147095AF" w:rsidR="147095AF">
        <w:rPr>
          <w:color w:val="14617D" w:themeColor="accent6" w:themeTint="FF" w:themeShade="FF"/>
        </w:rPr>
        <w:t>Market growth and customer behaviour</w:t>
      </w:r>
    </w:p>
    <w:p w:rsidR="147095AF" w:rsidRDefault="147095AF" w14:noSpellErr="1" w14:paraId="77D53E16" w14:textId="73DE7430">
      <w:r w:rsidR="147095AF">
        <w:rPr/>
        <w:t>The aggregate market is growing, but the growth pool is changing. Omdia forecast US$595 billion of partner-delivered managed-services revenue in 2025, up about 13%, across a broad global channel definition. [3] Gartner's July 2026 forecast put IT services at US$1.57 trillion with 5.3% annual growth, while software grew 15.5%, IaaS 29.3% and data-centre systems 62.5%; IaaS and systems are not all addressable by MSPs. [5] ISG recorded only 2.7% growth in large-enterprise managed-services ACV in Q2 2026, with ITO down 3%, against 65% XaaS growth. [4] A larger technology market can therefore coexist with a smaller share of incremental value going to labour-intensive services.</w:t>
      </w:r>
    </w:p>
    <w:p w:rsidR="147095AF" w:rsidRDefault="147095AF" w14:noSpellErr="1" w14:paraId="3E4BB4C2" w14:textId="2ABFCC84">
      <w:r w:rsidR="147095AF">
        <w:rPr/>
        <w:t>Kaseya's MSP survey found the share whose typical customer spent at least US$25,000 a year fell from 75% to 41%, while the share below that threshold rose from 24% to 55%; respondents chose ranges, and the result is not audited invoice data or a customer cohort. [6] A separate Gartner survey found 67% of general B2B buyers preferred a representative-free buying experience, but it is not MSP-specific. [34] Omdia expects hyperscaler marketplaces to grow from US$30 billion in 2024 to US$163 billion by 2030 and predicts partners will facilitate nearly 60% of those transactions. [33] Procurement may shift to self-service platforms without removing the need for channel expertise.</w:t>
      </w:r>
    </w:p>
    <w:p w:rsidR="147095AF" w:rsidP="147095AF" w:rsidRDefault="147095AF" w14:noSpellErr="1" w14:paraId="4B582B57" w14:textId="73BEE082">
      <w:pPr>
        <w:pStyle w:val="Caption"/>
        <w:numPr>
          <w:ilvl w:val="0"/>
          <w:numId w:val="0"/>
        </w:numPr>
      </w:pPr>
      <w:r w:rsidRPr="147095AF" w:rsidR="147095AF">
        <w:rPr>
          <w:color w:val="172B3A" w:themeColor="text1" w:themeTint="FF" w:themeShade="FF"/>
        </w:rPr>
        <w:t>Figure 1. Forecast 2026 year-on-year IT spending growth by category. Source: Gartner, 27 July 2026 [5]. IaaS and data-centre systems are distinct categories; this is not an MSP revenue forecast.</w:t>
      </w:r>
    </w:p>
    <w:p w:rsidR="147095AF" w:rsidRDefault="147095AF" w14:noSpellErr="1" w14:paraId="4953438B" w14:textId="22686F2B">
      <w:r w:rsidR="147095AF">
        <w:drawing>
          <wp:inline wp14:editId="0CDEFFC3" wp14:anchorId="552ED624">
            <wp:extent cx="5623560" cy="2435301"/>
            <wp:effectExtent l="0" t="0" r="0" b="0"/>
            <wp:docPr id="417595390" name="drawing" descr="Horizontal bar chart of Gartner's 2026 IT spending growth forecast: IT services 5.3%, software 15.5%, IaaS 29.3%, data-centre systems 6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595390" name="Picture 417595390"/>
                    <pic:cNvPicPr/>
                  </pic:nvPicPr>
                  <pic:blipFill>
                    <a:blip xmlns:r="http://schemas.openxmlformats.org/officeDocument/2006/relationships" r:embed="rId610039249"/>
                    <a:stretch>
                      <a:fillRect/>
                    </a:stretch>
                  </pic:blipFill>
                  <pic:spPr>
                    <a:xfrm>
                      <a:off x="0" y="0"/>
                      <a:ext cx="5623560" cy="2435301"/>
                    </a:xfrm>
                    <a:prstGeom prst="rect">
                      <a:avLst/>
                    </a:prstGeom>
                  </pic:spPr>
                </pic:pic>
              </a:graphicData>
            </a:graphic>
          </wp:inline>
        </w:drawing>
      </w:r>
    </w:p>
    <w:p w:rsidR="147095AF" w:rsidP="147095AF" w:rsidRDefault="147095AF" w14:noSpellErr="1" w14:paraId="2714FC1A" w14:textId="416A38D8">
      <w:pPr>
        <w:pStyle w:val="Heading2"/>
        <w:numPr>
          <w:ilvl w:val="0"/>
          <w:numId w:val="0"/>
        </w:numPr>
      </w:pPr>
      <w:r w:rsidRPr="147095AF" w:rsidR="147095AF">
        <w:rPr>
          <w:color w:val="14617D" w:themeColor="accent6" w:themeTint="FF" w:themeShade="FF"/>
        </w:rPr>
        <w:t>Hyperscalers and SaaS: displacement and channel capture</w:t>
      </w:r>
    </w:p>
    <w:p w:rsidR="147095AF" w:rsidRDefault="147095AF" w14:noSpellErr="1" w14:paraId="611005B8" w14:textId="3672B33A">
      <w:r w:rsidR="147095AF">
        <w:rPr/>
        <w:t>Platform vendors are integrating the work that MSPs used to assemble manually. Amazon reported AWS Q2 2026 sales of US$42.2 billion, up 37%, and announced a US$1 billion forward-deployed engineering effort and an operations agent with release-management capabilities. [19] Alphabet reported Google Cloud revenue of US$24.8 billion, up 82%, led in part by enterprise AI infrastructure and solutions. [20] ServiceNow reported US$3.877 billion Q2 subscription revenue, up 24.5%, and over US$1 billion AI annual contract value; it announced autonomous IT and security workflow specialists. [21] These are scale and capability signals, not evidence that an SMB customer has replaced its MSP. The plausible capture mechanism is native workflow, bundled telemetry and direct cloud consumption taking a larger share of budget.</w:t>
      </w:r>
    </w:p>
    <w:p w:rsidR="147095AF" w:rsidRDefault="147095AF" w14:noSpellErr="1" w14:paraId="2CEEBE4C" w14:textId="1831B18C">
      <w:r w:rsidR="147095AF">
        <w:rPr/>
        <w:t>The channel has a countervailing route to value. Omdia forecasts nearly 60% of 2030 hyperscaler marketplace transactions will be partner-facilitated; procurement commitments, cross-cloud choices and lifecycle support still need interpretation. [33] Microsoft itself requires direct-bill CSP partners to maintain first-level support, a managed-services practice, security controls and US$1 million trailing CSP revenue, which is a scale filter, not a declaration that partners are unnecessary. [11] The most exposed middleman only passes through a vendor licence or administers a single platform without independent architecture, risk or change accountability.</w:t>
      </w:r>
    </w:p>
    <w:p w:rsidR="147095AF" w:rsidP="147095AF" w:rsidRDefault="147095AF" w14:noSpellErr="1" w14:paraId="7AB7EC6B" w14:textId="46B76AA4">
      <w:pPr>
        <w:pStyle w:val="Heading2"/>
        <w:numPr>
          <w:ilvl w:val="0"/>
          <w:numId w:val="0"/>
        </w:numPr>
      </w:pPr>
      <w:r w:rsidRPr="147095AF" w:rsidR="147095AF">
        <w:rPr>
          <w:color w:val="14617D" w:themeColor="accent6" w:themeTint="FF" w:themeShade="FF"/>
        </w:rPr>
        <w:t>Security as a managed service</w:t>
      </w:r>
    </w:p>
    <w:p w:rsidR="147095AF" w:rsidRDefault="147095AF" w14:noSpellErr="1" w14:paraId="6C6A35A0" w14:textId="754AFAD8">
      <w:r w:rsidR="147095AF">
        <w:rPr/>
        <w:t>Security is both the strongest adjacent demand pool and the clearest test of delivery maturity. Gartner's July 2025 forecast placed global security-services spending at US$92.8 billion in 2026, up from US$77.1 billion in 2024; it is a spending forecast, not MSP revenue. [22] In Kaseya's MSP survey, 71% reported year-on-year growth in cybersecurity revenue, 61% said most or all clients seek their security advice, and 39% reported difficulty hiring security professionals, up from 29%. [6] ISC2's broader security-workforce study found 59% of respondents had critical or significant skills needs, a reminder that security growth is not automatically high-margin growth. [32]</w:t>
      </w:r>
    </w:p>
    <w:p w:rsidR="147095AF" w:rsidRDefault="147095AF" w14:paraId="596C9282" w14:textId="721EB38B" w14:noSpellErr="1">
      <w:r w:rsidR="64AF5966">
        <w:rPr/>
        <w:t>A basic antivirus and alert-forwarding bundle is not equivalent to managed detection and response (MDR), extended detection and response (XDR), a 24/7 security operations centre (SOC), threat hunting, identity response, recovery testing or evidence-backed compliance. The latter require coverage boundaries, detection engineering, escalation authority, incident playbooks and auditable outcomes. Microsoft's E5/E7 Security Copilot inclusion supplies monthly compute capacity and agents in Defender, Entra, Intune and Purview, but the agents still need deployment and governance. [13] Microsoft's separately sold Defender Experts MDR Plan 1 covers Microsoft Defender workloads; Plan 2 adds selected third-party telemetry from Sentinel and requires at least 1,500 licensed seats. [42] Huntress reported more than US$250 million ARR, 65% annual growth and over 20,000 sellers in July 2026, illustrating specialist scale distributed through local partners, not a controlled comparison of specialist versus generalist MSP profitability. [40]</w:t>
      </w:r>
    </w:p>
    <w:p w:rsidR="147095AF" w:rsidRDefault="147095AF" w14:noSpellErr="1" w14:paraId="7D68480E" w14:textId="4F79B8D8">
      <w:r w:rsidR="147095AF">
        <w:rPr/>
        <w:t>The rational choice for many generalists is a co-managed security model: own customer risk assessment, identity and data controls, policy, backup and incident leadership, while contracting a specialist for 24/7 detection and response. The partner remains accountable for integration and evidence, and must test the specialist's escalation, data rights and failure modes. Kaseya found nearly half its respondents cited security-product complexity as a top barrier, and 31% cited the cost of overlapping tools. [6] A rushed in-house SOC can add fixed cost and liability before it adds defensible margin.</w:t>
      </w:r>
    </w:p>
    <w:p w:rsidR="147095AF" w:rsidP="147095AF" w:rsidRDefault="147095AF" w14:noSpellErr="1" w14:paraId="2989C79E" w14:textId="4D9C75B9">
      <w:pPr>
        <w:pStyle w:val="Heading2"/>
        <w:numPr>
          <w:ilvl w:val="0"/>
          <w:numId w:val="0"/>
        </w:numPr>
      </w:pPr>
      <w:r w:rsidRPr="147095AF" w:rsidR="147095AF">
        <w:rPr>
          <w:color w:val="14617D" w:themeColor="accent6" w:themeTint="FF" w:themeShade="FF"/>
        </w:rPr>
        <w:t>Lessons from prior platform shifts</w:t>
      </w:r>
    </w:p>
    <w:p w:rsidR="147095AF" w:rsidRDefault="147095AF" w14:noSpellErr="1" w14:paraId="41E48DA7" w14:textId="3E970177">
      <w:r w:rsidR="147095AF">
        <w:rPr/>
        <w:t>Managed hosting offers a closer analogy than a claim that every intermediary vanishes. Rackspace's FY2025 private-cloud revenue fell 6% to US$990 million while its public-cloud services rose 1% to US$1.696 billion; it still reported a US$226 million net loss. [36] DXC's FY2026 Global Infrastructure Services revenue declined 7.2% organically; Kyndryl's total revenue was flat in reported currency, while Kyndryl Consult grew 18% to US$3.5 billion. [37, 38] The firms differ greatly from a typical SMB MSP, and these results do not prove causation. They show how infrastructure run work can weaken while higher-value advisory and hyperscaler-related work expand.</w:t>
      </w:r>
    </w:p>
    <w:p w:rsidR="147095AF" w:rsidRDefault="147095AF" w14:noSpellErr="1" w14:paraId="11488E0D" w14:textId="206FF5CF">
      <w:r w:rsidR="147095AF">
        <w:rPr/>
        <w:t>The resale layer is volatile rather than automatically dead: Service Leadership reported VAR revenue growth of 1.8% in 2024 and 8.9% in 2025, driven by a product-sales recovery. [1] Accenture's managed-services business grew 5% in local currency in its Q3 FY2026, a large-scale counterexample to a universal services decline. [35] Technology transitions can also expand complementary work: James Bessen documents that ATMs reduced tellers per urban bank branch from 20 to 13 between 1988 and 2004, but branch expansion of 43% preserved teller jobs and shifted their role toward relationship work. [39] This does not prove AI will create the same MSP outcome; it shows why task automation is not a one-to-one job or firm forecast.</w:t>
      </w:r>
    </w:p>
    <w:p w:rsidR="147095AF" w:rsidRDefault="147095AF" w14:noSpellErr="1" w14:paraId="54DAA912" w14:textId="7CE00A92">
      <w:r w:rsidR="147095AF">
        <w:rPr/>
        <w:t>The transferable lesson is a value-stack migration, not an analogy masquerading as causality. Platform owners standardise the common layer; intermediaries that cannot add risk reduction, complex integration, local trust or proprietary process intellectual property face a thinner spread. Those that redesign their role can sell a higher-order service on top of the platform. In the MSP setting, the evidence supports different outcomes by customer complexity, vertical regulation, security maturity, software ecosystem and ability to fund the transition. [3, 4, 12, 33, 35–39]</w:t>
      </w:r>
    </w:p>
    <w:p w:rsidR="147095AF" w:rsidP="147095AF" w:rsidRDefault="147095AF" w14:noSpellErr="1" w14:paraId="7A4D88BE" w14:textId="62E6E26B">
      <w:pPr>
        <w:pStyle w:val="Heading1"/>
        <w:numPr>
          <w:ilvl w:val="0"/>
          <w:numId w:val="0"/>
        </w:numPr>
      </w:pPr>
      <w:r w:rsidRPr="147095AF" w:rsidR="147095AF">
        <w:rPr>
          <w:color w:val="14617D" w:themeColor="accent6" w:themeTint="FF" w:themeShade="FF"/>
        </w:rPr>
        <w:t>Financial Analysis</w:t>
      </w:r>
    </w:p>
    <w:p w:rsidR="147095AF" w:rsidP="147095AF" w:rsidRDefault="147095AF" w14:noSpellErr="1" w14:paraId="1DD310B7" w14:textId="695AFA0F">
      <w:pPr>
        <w:pStyle w:val="Heading2"/>
        <w:numPr>
          <w:ilvl w:val="0"/>
          <w:numId w:val="0"/>
        </w:numPr>
      </w:pPr>
      <w:r w:rsidRPr="147095AF" w:rsidR="147095AF">
        <w:rPr>
          <w:color w:val="14617D" w:themeColor="accent6" w:themeTint="FF" w:themeShade="FF"/>
        </w:rPr>
        <w:t>Reference P&amp;L and what the evidence does not provide</w:t>
      </w:r>
    </w:p>
    <w:p w:rsidR="147095AF" w:rsidRDefault="147095AF" w14:noSpellErr="1" w14:paraId="655807C5" w14:textId="476F0540">
      <w:r w:rsidR="147095AF">
        <w:rPr/>
        <w:t>The model is a reproducible, nominal-US-dollar stress test of a US$10.00 million generalist in 2026, not a claim that this is the industry's median firm. Its 11.1% starting adjusted EBITDA margin is calibrated to Service Leadership's Q4 2024 MSP average; the source reports a quarterly benchmark, not a 2026 forecast. [2] Revenue mix and line gross margins below are analyst inputs because the public release does not publish comparable representative line-level data. [1, 2] Projects are particularly volatile: that index reported project gross margin falling from 23% in Q4 2023 to 12.9% in Q4 2024 as utilisation weakened. [2] The 25% project input is therefore an upside-leaning reference assumption, not a measured current average.</w:t>
      </w:r>
    </w:p>
    <w:tbl>
      <w:tblPr>
        <w:tblStyle w:val="TableGrid"/>
        <w:tblW w:w="0" w:type="auto"/>
        <w:tblLook w:val="04A0" w:firstRow="1" w:lastRow="0" w:firstColumn="1" w:lastColumn="0" w:noHBand="0" w:noVBand="1"/>
      </w:tblPr>
      <w:tblGrid>
        <w:gridCol w:w="2340"/>
        <w:gridCol w:w="2340"/>
        <w:gridCol w:w="2340"/>
        <w:gridCol w:w="2340"/>
      </w:tblGrid>
      <w:tr w:rsidR="147095AF" w:rsidTr="147095AF" w14:paraId="4C7204E8">
        <w:trPr>
          <w:trHeight w:val="300"/>
        </w:trPr>
        <w:tc>
          <w:tcPr>
            <w:tcW w:w="2340" w:type="dxa"/>
            <w:tcMar/>
          </w:tcPr>
          <w:p w:rsidR="147095AF" w:rsidRDefault="147095AF" w14:noSpellErr="1" w14:paraId="233F576C" w14:textId="3BBB62D3">
            <w:r w:rsidR="147095AF">
              <w:rPr/>
              <w:t>2026 reference line (US$m)</w:t>
            </w:r>
          </w:p>
        </w:tc>
        <w:tc>
          <w:tcPr>
            <w:tcW w:w="2340" w:type="dxa"/>
            <w:tcMar/>
          </w:tcPr>
          <w:p w:rsidR="147095AF" w:rsidRDefault="147095AF" w14:noSpellErr="1" w14:paraId="4B4597C2" w14:textId="34994997">
            <w:r w:rsidR="147095AF">
              <w:rPr/>
              <w:t>Revenue</w:t>
            </w:r>
          </w:p>
        </w:tc>
        <w:tc>
          <w:tcPr>
            <w:tcW w:w="2340" w:type="dxa"/>
            <w:tcMar/>
          </w:tcPr>
          <w:p w:rsidR="147095AF" w:rsidRDefault="147095AF" w14:noSpellErr="1" w14:paraId="32E74519" w14:textId="2D77305B">
            <w:r w:rsidR="147095AF">
              <w:rPr/>
              <w:t>Assumed gross margin</w:t>
            </w:r>
          </w:p>
        </w:tc>
        <w:tc>
          <w:tcPr>
            <w:tcW w:w="2340" w:type="dxa"/>
            <w:tcMar/>
          </w:tcPr>
          <w:p w:rsidR="147095AF" w:rsidRDefault="147095AF" w14:noSpellErr="1" w14:paraId="409397EB" w14:textId="2655171F">
            <w:r w:rsidR="147095AF">
              <w:rPr/>
              <w:t>Gross profit</w:t>
            </w:r>
          </w:p>
        </w:tc>
      </w:tr>
      <w:tr w:rsidR="147095AF" w:rsidTr="147095AF" w14:paraId="6B13A15C">
        <w:tc>
          <w:tcPr>
            <w:tcW w:w="2340" w:type="dxa"/>
            <w:tcMar/>
          </w:tcPr>
          <w:p w:rsidR="147095AF" w:rsidRDefault="147095AF" w14:noSpellErr="1" w14:paraId="57380EB6" w14:textId="3D6A7794">
            <w:r w:rsidR="147095AF">
              <w:rPr/>
              <w:t>Core managed: help desk, device, infrastructure, monitoring</w:t>
            </w:r>
          </w:p>
        </w:tc>
        <w:tc>
          <w:tcPr>
            <w:tcW w:w="2340" w:type="dxa"/>
            <w:tcMar/>
          </w:tcPr>
          <w:p w:rsidR="147095AF" w:rsidRDefault="147095AF" w14:noSpellErr="1" w14:paraId="5609D95A" w14:textId="36485E58">
            <w:r w:rsidR="147095AF">
              <w:rPr/>
              <w:t>6.50</w:t>
            </w:r>
          </w:p>
        </w:tc>
        <w:tc>
          <w:tcPr>
            <w:tcW w:w="2340" w:type="dxa"/>
            <w:tcMar/>
          </w:tcPr>
          <w:p w:rsidR="147095AF" w:rsidRDefault="147095AF" w14:noSpellErr="1" w14:paraId="2E725C05" w14:textId="2F26451C">
            <w:r w:rsidR="147095AF">
              <w:rPr/>
              <w:t>50%</w:t>
            </w:r>
          </w:p>
        </w:tc>
        <w:tc>
          <w:tcPr>
            <w:tcW w:w="2340" w:type="dxa"/>
            <w:tcMar/>
          </w:tcPr>
          <w:p w:rsidR="147095AF" w:rsidRDefault="147095AF" w14:noSpellErr="1" w14:paraId="237CA4D9" w14:textId="28042BE0">
            <w:r w:rsidR="147095AF">
              <w:rPr/>
              <w:t>3.25</w:t>
            </w:r>
          </w:p>
        </w:tc>
      </w:tr>
      <w:tr w:rsidR="147095AF" w:rsidTr="147095AF" w14:paraId="55CFD32A">
        <w:tc>
          <w:tcPr>
            <w:tcW w:w="2340" w:type="dxa"/>
            <w:tcMar/>
          </w:tcPr>
          <w:p w:rsidR="147095AF" w:rsidRDefault="147095AF" w14:noSpellErr="1" w14:paraId="32832539" w14:textId="3F198C55">
            <w:r w:rsidR="147095AF">
              <w:rPr/>
              <w:t>Projects and professional services</w:t>
            </w:r>
          </w:p>
        </w:tc>
        <w:tc>
          <w:tcPr>
            <w:tcW w:w="2340" w:type="dxa"/>
            <w:tcMar/>
          </w:tcPr>
          <w:p w:rsidR="147095AF" w:rsidRDefault="147095AF" w14:noSpellErr="1" w14:paraId="645EB576" w14:textId="37F77319">
            <w:r w:rsidR="147095AF">
              <w:rPr/>
              <w:t>2.00</w:t>
            </w:r>
          </w:p>
        </w:tc>
        <w:tc>
          <w:tcPr>
            <w:tcW w:w="2340" w:type="dxa"/>
            <w:tcMar/>
          </w:tcPr>
          <w:p w:rsidR="147095AF" w:rsidRDefault="147095AF" w14:noSpellErr="1" w14:paraId="1F2A7241" w14:textId="30D559DD">
            <w:r w:rsidR="147095AF">
              <w:rPr/>
              <w:t>25%</w:t>
            </w:r>
          </w:p>
        </w:tc>
        <w:tc>
          <w:tcPr>
            <w:tcW w:w="2340" w:type="dxa"/>
            <w:tcMar/>
          </w:tcPr>
          <w:p w:rsidR="147095AF" w:rsidRDefault="147095AF" w14:noSpellErr="1" w14:paraId="48DB0F8A" w14:textId="29B340A1">
            <w:r w:rsidR="147095AF">
              <w:rPr/>
              <w:t>0.50</w:t>
            </w:r>
          </w:p>
        </w:tc>
      </w:tr>
      <w:tr w:rsidR="147095AF" w:rsidTr="147095AF" w14:paraId="15D61CA7">
        <w:tc>
          <w:tcPr>
            <w:tcW w:w="2340" w:type="dxa"/>
            <w:tcMar/>
          </w:tcPr>
          <w:p w:rsidR="147095AF" w:rsidRDefault="147095AF" w14:noSpellErr="1" w14:paraId="6260D4A1" w14:textId="40C8A116">
            <w:r w:rsidR="147095AF">
              <w:rPr/>
              <w:t>Product and licence resale</w:t>
            </w:r>
          </w:p>
        </w:tc>
        <w:tc>
          <w:tcPr>
            <w:tcW w:w="2340" w:type="dxa"/>
            <w:tcMar/>
          </w:tcPr>
          <w:p w:rsidR="147095AF" w:rsidRDefault="147095AF" w14:noSpellErr="1" w14:paraId="2E6CFBF9" w14:textId="39A687DA">
            <w:r w:rsidR="147095AF">
              <w:rPr/>
              <w:t>1.50</w:t>
            </w:r>
          </w:p>
        </w:tc>
        <w:tc>
          <w:tcPr>
            <w:tcW w:w="2340" w:type="dxa"/>
            <w:tcMar/>
          </w:tcPr>
          <w:p w:rsidR="147095AF" w:rsidRDefault="147095AF" w14:noSpellErr="1" w14:paraId="486BCCA7" w14:textId="32846E9E">
            <w:r w:rsidR="147095AF">
              <w:rPr/>
              <w:t>12%</w:t>
            </w:r>
          </w:p>
        </w:tc>
        <w:tc>
          <w:tcPr>
            <w:tcW w:w="2340" w:type="dxa"/>
            <w:tcMar/>
          </w:tcPr>
          <w:p w:rsidR="147095AF" w:rsidRDefault="147095AF" w14:noSpellErr="1" w14:paraId="7C17E961" w14:textId="2B625562">
            <w:r w:rsidR="147095AF">
              <w:rPr/>
              <w:t>0.18</w:t>
            </w:r>
          </w:p>
        </w:tc>
      </w:tr>
      <w:tr w:rsidR="147095AF" w:rsidTr="147095AF" w14:paraId="61B2C198">
        <w:tc>
          <w:tcPr>
            <w:tcW w:w="2340" w:type="dxa"/>
            <w:tcMar/>
          </w:tcPr>
          <w:p w:rsidR="147095AF" w:rsidRDefault="147095AF" w14:noSpellErr="1" w14:paraId="7C365C9F" w14:textId="4277B5D7">
            <w:r w:rsidR="147095AF">
              <w:rPr/>
              <w:t>Total before operating expense</w:t>
            </w:r>
          </w:p>
        </w:tc>
        <w:tc>
          <w:tcPr>
            <w:tcW w:w="2340" w:type="dxa"/>
            <w:tcMar/>
          </w:tcPr>
          <w:p w:rsidR="147095AF" w:rsidRDefault="147095AF" w14:noSpellErr="1" w14:paraId="38E92862" w14:textId="3B559C9B">
            <w:r w:rsidR="147095AF">
              <w:rPr/>
              <w:t>10.00</w:t>
            </w:r>
          </w:p>
        </w:tc>
        <w:tc>
          <w:tcPr>
            <w:tcW w:w="2340" w:type="dxa"/>
            <w:tcMar/>
          </w:tcPr>
          <w:p w:rsidR="147095AF" w:rsidRDefault="147095AF" w14:noSpellErr="1" w14:paraId="43A1A850" w14:textId="3433835F">
            <w:r w:rsidR="147095AF">
              <w:rPr/>
              <w:t>39.3% blended</w:t>
            </w:r>
          </w:p>
        </w:tc>
        <w:tc>
          <w:tcPr>
            <w:tcW w:w="2340" w:type="dxa"/>
            <w:tcMar/>
          </w:tcPr>
          <w:p w:rsidR="147095AF" w:rsidRDefault="147095AF" w14:noSpellErr="1" w14:paraId="56729F37" w14:textId="2D116A23">
            <w:r w:rsidR="147095AF">
              <w:rPr/>
              <w:t>3.93</w:t>
            </w:r>
          </w:p>
        </w:tc>
      </w:tr>
      <w:tr w:rsidR="147095AF" w:rsidTr="147095AF" w14:paraId="57067D18">
        <w:tc>
          <w:tcPr>
            <w:tcW w:w="2340" w:type="dxa"/>
            <w:tcMar/>
          </w:tcPr>
          <w:p w:rsidR="147095AF" w:rsidRDefault="147095AF" w14:noSpellErr="1" w14:paraId="6926BC48" w14:textId="4426CA98">
            <w:r w:rsidR="147095AF">
              <w:rPr/>
              <w:t>Operating expense / adjusted EBITDA</w:t>
            </w:r>
          </w:p>
        </w:tc>
        <w:tc>
          <w:tcPr>
            <w:tcW w:w="2340" w:type="dxa"/>
            <w:tcMar/>
          </w:tcPr>
          <w:p w:rsidR="147095AF" w:rsidRDefault="147095AF" w14:noSpellErr="1" w14:paraId="79365582" w14:textId="3D04B15C">
            <w:r w:rsidR="147095AF">
              <w:rPr/>
              <w:t>2.82 opex</w:t>
            </w:r>
          </w:p>
        </w:tc>
        <w:tc>
          <w:tcPr>
            <w:tcW w:w="2340" w:type="dxa"/>
            <w:tcMar/>
          </w:tcPr>
          <w:p w:rsidR="147095AF" w:rsidRDefault="147095AF" w14:noSpellErr="1" w14:paraId="5B861E3B" w14:textId="35E29820">
            <w:r w:rsidR="147095AF">
              <w:rPr/>
              <w:t>11.1% EBITDA margin</w:t>
            </w:r>
          </w:p>
        </w:tc>
        <w:tc>
          <w:tcPr>
            <w:tcW w:w="2340" w:type="dxa"/>
            <w:tcMar/>
          </w:tcPr>
          <w:p w:rsidR="147095AF" w:rsidRDefault="147095AF" w14:noSpellErr="1" w14:paraId="4F54EF5F" w14:textId="2EC07EE4">
            <w:r w:rsidR="147095AF">
              <w:rPr/>
              <w:t>1.11 EBITDA</w:t>
            </w:r>
          </w:p>
        </w:tc>
      </w:tr>
    </w:tbl>
    <w:p w:rsidR="147095AF" w:rsidP="147095AF" w:rsidRDefault="147095AF" w14:noSpellErr="1" w14:paraId="75B70F4A" w14:textId="7975BF18">
      <w:pPr>
        <w:pStyle w:val="Heading2"/>
        <w:numPr>
          <w:ilvl w:val="0"/>
          <w:numId w:val="0"/>
        </w:numPr>
      </w:pPr>
      <w:r w:rsidRPr="147095AF" w:rsidR="147095AF">
        <w:rPr>
          <w:color w:val="14617D" w:themeColor="accent6" w:themeTint="FF" w:themeShade="FF"/>
        </w:rPr>
        <w:t>Four-year 2030 stress cases</w:t>
      </w:r>
    </w:p>
    <w:p w:rsidR="147095AF" w:rsidRDefault="147095AF" w14:noSpellErr="1" w14:paraId="5F5DC161" w14:textId="7A442EF2">
      <w:r w:rsidR="147095AF">
        <w:rPr/>
        <w:t>For each line, gross profit equals revenue multiplied by its assumed gross margin; adjusted EBITDA equals total gross profit less operating expense. The cases span the observed direction of enterprise price pressure, MSP automation interest and security demand, but no source establishes their exact price, mix, margin or adoption inputs for a given firm. [4, 6, 22, 27] They intentionally isolate what management must achieve, rather than extrapolating a market-growth forecast.</w:t>
      </w:r>
    </w:p>
    <w:tbl>
      <w:tblPr>
        <w:tblStyle w:val="TableGrid"/>
        <w:tblW w:w="0" w:type="auto"/>
        <w:tblLook w:val="04A0" w:firstRow="1" w:lastRow="0" w:firstColumn="1" w:lastColumn="0" w:noHBand="0" w:noVBand="1"/>
      </w:tblPr>
      <w:tblGrid>
        <w:gridCol w:w="3120"/>
        <w:gridCol w:w="3120"/>
        <w:gridCol w:w="3120"/>
      </w:tblGrid>
      <w:tr w:rsidR="147095AF" w:rsidTr="147095AF" w14:paraId="24A7F17D">
        <w:trPr>
          <w:trHeight w:val="300"/>
        </w:trPr>
        <w:tc>
          <w:tcPr>
            <w:tcW w:w="3120" w:type="dxa"/>
            <w:tcMar/>
          </w:tcPr>
          <w:p w:rsidR="147095AF" w:rsidRDefault="147095AF" w14:noSpellErr="1" w14:paraId="452228EE" w14:textId="55C92692">
            <w:r w:rsidR="147095AF">
              <w:rPr/>
              <w:t>Case</w:t>
            </w:r>
          </w:p>
        </w:tc>
        <w:tc>
          <w:tcPr>
            <w:tcW w:w="3120" w:type="dxa"/>
            <w:tcMar/>
          </w:tcPr>
          <w:p w:rsidR="147095AF" w:rsidRDefault="147095AF" w14:noSpellErr="1" w14:paraId="26617262" w14:textId="4EA70D56">
            <w:r w:rsidR="147095AF">
              <w:rPr/>
              <w:t>Revenue and pricing assumptions</w:t>
            </w:r>
          </w:p>
        </w:tc>
        <w:tc>
          <w:tcPr>
            <w:tcW w:w="3120" w:type="dxa"/>
            <w:tcMar/>
          </w:tcPr>
          <w:p w:rsidR="147095AF" w:rsidRDefault="147095AF" w14:noSpellErr="1" w14:paraId="46041943" w14:textId="4784F41A">
            <w:r w:rsidR="147095AF">
              <w:rPr/>
              <w:t>Gross margin and operating expense assumptions</w:t>
            </w:r>
          </w:p>
        </w:tc>
      </w:tr>
      <w:tr w:rsidR="147095AF" w:rsidTr="147095AF" w14:paraId="21158B88">
        <w:tc>
          <w:tcPr>
            <w:tcW w:w="3120" w:type="dxa"/>
            <w:tcMar/>
          </w:tcPr>
          <w:p w:rsidR="147095AF" w:rsidRDefault="147095AF" w14:noSpellErr="1" w14:paraId="2BD53EAD" w14:textId="5E9A548F">
            <w:r w:rsidR="147095AF">
              <w:rPr/>
              <w:t>2030 conventional drift</w:t>
            </w:r>
          </w:p>
        </w:tc>
        <w:tc>
          <w:tcPr>
            <w:tcW w:w="3120" w:type="dxa"/>
            <w:tcMar/>
          </w:tcPr>
          <w:p w:rsidR="147095AF" w:rsidRDefault="147095AF" w14:noSpellErr="1" w14:paraId="7C887665" w14:textId="57783B53">
            <w:r w:rsidR="147095AF">
              <w:rPr/>
              <w:t>Core US$6.50m in 2026 grows 3% in volume but declines 2% in price annually; projects and resale each decline 2% annually.</w:t>
            </w:r>
          </w:p>
        </w:tc>
        <w:tc>
          <w:tcPr>
            <w:tcW w:w="3120" w:type="dxa"/>
            <w:tcMar/>
          </w:tcPr>
          <w:p w:rsidR="147095AF" w:rsidRDefault="147095AF" w14:noSpellErr="1" w14:paraId="5EB659FE" w14:textId="50562217">
            <w:r w:rsidR="147095AF">
              <w:rPr/>
              <w:t>Core/project/resale GM 45%/20%/8%; operating expense US$2.82m rises 3% per year to US$3.17m.</w:t>
            </w:r>
          </w:p>
        </w:tc>
      </w:tr>
      <w:tr w:rsidR="147095AF" w:rsidTr="147095AF" w14:paraId="54EB0AE8">
        <w:tc>
          <w:tcPr>
            <w:tcW w:w="3120" w:type="dxa"/>
            <w:tcMar/>
          </w:tcPr>
          <w:p w:rsidR="147095AF" w:rsidRDefault="147095AF" w14:noSpellErr="1" w14:paraId="513953C2" w14:textId="676B828C">
            <w:r w:rsidR="147095AF">
              <w:rPr/>
              <w:t>2030 AI-defensive operator</w:t>
            </w:r>
          </w:p>
        </w:tc>
        <w:tc>
          <w:tcPr>
            <w:tcW w:w="3120" w:type="dxa"/>
            <w:tcMar/>
          </w:tcPr>
          <w:p w:rsidR="147095AF" w:rsidRDefault="147095AF" w14:noSpellErr="1" w14:paraId="5E392936" w14:textId="60496950">
            <w:r w:rsidR="147095AF">
              <w:rPr/>
              <w:t>Same contract volumes, prices and service lines as drift to isolate delivery productivity.</w:t>
            </w:r>
          </w:p>
        </w:tc>
        <w:tc>
          <w:tcPr>
            <w:tcW w:w="3120" w:type="dxa"/>
            <w:tcMar/>
          </w:tcPr>
          <w:p w:rsidR="147095AF" w:rsidRDefault="147095AF" w14:noSpellErr="1" w14:paraId="1D312179" w14:textId="59275014">
            <w:r w:rsidR="147095AF">
              <w:rPr/>
              <w:t>Core/project/resale GM 55%/25%/8%, net of assumed AI usage and quality cost; same US$3.17m operating expense.</w:t>
            </w:r>
          </w:p>
        </w:tc>
      </w:tr>
      <w:tr w:rsidR="147095AF" w:rsidTr="147095AF" w14:paraId="41BFF6B1">
        <w:tc>
          <w:tcPr>
            <w:tcW w:w="3120" w:type="dxa"/>
            <w:tcMar/>
          </w:tcPr>
          <w:p w:rsidR="147095AF" w:rsidRDefault="147095AF" w14:noSpellErr="1" w14:paraId="4BDC4E55" w14:textId="703CB089">
            <w:r w:rsidR="147095AF">
              <w:rPr/>
              <w:t>2030 security-and-AI pivot</w:t>
            </w:r>
          </w:p>
        </w:tc>
        <w:tc>
          <w:tcPr>
            <w:tcW w:w="3120" w:type="dxa"/>
            <w:tcMar/>
          </w:tcPr>
          <w:p w:rsidR="147095AF" w:rsidRDefault="147095AF" w14:noSpellErr="1" w14:paraId="43664698" w14:textId="691A974D">
            <w:r w:rsidR="147095AF">
              <w:rPr/>
              <w:t>Core US$6.00m; managed security and AI US$3.00m; advisory, data, automation and compliance US$2.50m; resale US$1.20m.</w:t>
            </w:r>
          </w:p>
        </w:tc>
        <w:tc>
          <w:tcPr>
            <w:tcW w:w="3120" w:type="dxa"/>
            <w:tcMar/>
          </w:tcPr>
          <w:p w:rsidR="147095AF" w:rsidRDefault="147095AF" w14:noSpellErr="1" w14:paraId="38676D17" w14:textId="61F87E11">
            <w:r w:rsidR="147095AF">
              <w:rPr/>
              <w:t>Line GM 50%/55%/35%/10% respectively; operating expense US$3.40m, including specialist capacity.</w:t>
            </w:r>
          </w:p>
        </w:tc>
      </w:tr>
    </w:tbl>
    <w:p w:rsidR="147095AF" w:rsidRDefault="147095AF" w14:noSpellErr="1" w14:paraId="688B33BB" w14:textId="716D560B">
      <w:r w:rsidR="147095AF">
        <w:rPr/>
        <w:t xml:space="preserve"> </w:t>
      </w:r>
    </w:p>
    <w:tbl>
      <w:tblPr>
        <w:tblStyle w:val="TableGrid"/>
        <w:tblW w:w="0" w:type="auto"/>
        <w:tblLook w:val="04A0" w:firstRow="1" w:lastRow="0" w:firstColumn="1" w:lastColumn="0" w:noHBand="0" w:noVBand="1"/>
      </w:tblPr>
      <w:tblGrid>
        <w:gridCol w:w="1872"/>
        <w:gridCol w:w="1872"/>
        <w:gridCol w:w="1872"/>
        <w:gridCol w:w="1872"/>
        <w:gridCol w:w="1872"/>
      </w:tblGrid>
      <w:tr w:rsidR="147095AF" w:rsidTr="147095AF" w14:paraId="29308E14">
        <w:trPr>
          <w:trHeight w:val="300"/>
        </w:trPr>
        <w:tc>
          <w:tcPr>
            <w:tcW w:w="1872" w:type="dxa"/>
            <w:tcMar/>
          </w:tcPr>
          <w:p w:rsidR="147095AF" w:rsidRDefault="147095AF" w14:noSpellErr="1" w14:paraId="5E37135B" w14:textId="357CD1E8">
            <w:r w:rsidR="147095AF">
              <w:rPr/>
              <w:t>US$m except margins</w:t>
            </w:r>
          </w:p>
        </w:tc>
        <w:tc>
          <w:tcPr>
            <w:tcW w:w="1872" w:type="dxa"/>
            <w:tcMar/>
          </w:tcPr>
          <w:p w:rsidR="147095AF" w:rsidRDefault="147095AF" w14:noSpellErr="1" w14:paraId="2880B4BD" w14:textId="2E5AB8AC">
            <w:r w:rsidR="147095AF">
              <w:rPr/>
              <w:t>2026 reference</w:t>
            </w:r>
          </w:p>
        </w:tc>
        <w:tc>
          <w:tcPr>
            <w:tcW w:w="1872" w:type="dxa"/>
            <w:tcMar/>
          </w:tcPr>
          <w:p w:rsidR="147095AF" w:rsidRDefault="147095AF" w14:noSpellErr="1" w14:paraId="6C633B2B" w14:textId="27389F70">
            <w:r w:rsidR="147095AF">
              <w:rPr/>
              <w:t>2030 drift</w:t>
            </w:r>
          </w:p>
        </w:tc>
        <w:tc>
          <w:tcPr>
            <w:tcW w:w="1872" w:type="dxa"/>
            <w:tcMar/>
          </w:tcPr>
          <w:p w:rsidR="147095AF" w:rsidRDefault="147095AF" w14:noSpellErr="1" w14:paraId="6B9A96FF" w14:textId="20168634">
            <w:r w:rsidR="147095AF">
              <w:rPr/>
              <w:t>2030 AI-defensive</w:t>
            </w:r>
          </w:p>
        </w:tc>
        <w:tc>
          <w:tcPr>
            <w:tcW w:w="1872" w:type="dxa"/>
            <w:tcMar/>
          </w:tcPr>
          <w:p w:rsidR="147095AF" w:rsidRDefault="147095AF" w14:noSpellErr="1" w14:paraId="435EC736" w14:textId="18F46CF8">
            <w:r w:rsidR="147095AF">
              <w:rPr/>
              <w:t>2030 pivot</w:t>
            </w:r>
          </w:p>
        </w:tc>
      </w:tr>
      <w:tr w:rsidR="147095AF" w:rsidTr="147095AF" w14:paraId="515D3C3C">
        <w:tc>
          <w:tcPr>
            <w:tcW w:w="1872" w:type="dxa"/>
            <w:tcMar/>
          </w:tcPr>
          <w:p w:rsidR="147095AF" w:rsidRDefault="147095AF" w14:noSpellErr="1" w14:paraId="75A2B79C" w14:textId="3009CD6D">
            <w:r w:rsidR="147095AF">
              <w:rPr/>
              <w:t>Revenue</w:t>
            </w:r>
          </w:p>
        </w:tc>
        <w:tc>
          <w:tcPr>
            <w:tcW w:w="1872" w:type="dxa"/>
            <w:tcMar/>
          </w:tcPr>
          <w:p w:rsidR="147095AF" w:rsidRDefault="147095AF" w14:noSpellErr="1" w14:paraId="58ED6A0B" w14:textId="28E7B431">
            <w:r w:rsidR="147095AF">
              <w:rPr/>
              <w:t>10.00</w:t>
            </w:r>
          </w:p>
        </w:tc>
        <w:tc>
          <w:tcPr>
            <w:tcW w:w="1872" w:type="dxa"/>
            <w:tcMar/>
          </w:tcPr>
          <w:p w:rsidR="147095AF" w:rsidRDefault="147095AF" w14:noSpellErr="1" w14:paraId="2BE704EC" w14:textId="21C59AF5">
            <w:r w:rsidR="147095AF">
              <w:rPr/>
              <w:t>9.98</w:t>
            </w:r>
          </w:p>
        </w:tc>
        <w:tc>
          <w:tcPr>
            <w:tcW w:w="1872" w:type="dxa"/>
            <w:tcMar/>
          </w:tcPr>
          <w:p w:rsidR="147095AF" w:rsidRDefault="147095AF" w14:noSpellErr="1" w14:paraId="11AE7BDD" w14:textId="1AA381B9">
            <w:r w:rsidR="147095AF">
              <w:rPr/>
              <w:t>9.98</w:t>
            </w:r>
          </w:p>
        </w:tc>
        <w:tc>
          <w:tcPr>
            <w:tcW w:w="1872" w:type="dxa"/>
            <w:tcMar/>
          </w:tcPr>
          <w:p w:rsidR="147095AF" w:rsidRDefault="147095AF" w14:noSpellErr="1" w14:paraId="509A952A" w14:textId="1381687D">
            <w:r w:rsidR="147095AF">
              <w:rPr/>
              <w:t>12.70</w:t>
            </w:r>
          </w:p>
        </w:tc>
      </w:tr>
      <w:tr w:rsidR="147095AF" w:rsidTr="147095AF" w14:paraId="65C98044">
        <w:tc>
          <w:tcPr>
            <w:tcW w:w="1872" w:type="dxa"/>
            <w:tcMar/>
          </w:tcPr>
          <w:p w:rsidR="147095AF" w:rsidRDefault="147095AF" w14:noSpellErr="1" w14:paraId="790F5458" w14:textId="2A96C8F2">
            <w:r w:rsidR="147095AF">
              <w:rPr/>
              <w:t>Gross profit</w:t>
            </w:r>
          </w:p>
        </w:tc>
        <w:tc>
          <w:tcPr>
            <w:tcW w:w="1872" w:type="dxa"/>
            <w:tcMar/>
          </w:tcPr>
          <w:p w:rsidR="147095AF" w:rsidRDefault="147095AF" w14:noSpellErr="1" w14:paraId="2BC227F9" w14:textId="2374AFB6">
            <w:r w:rsidR="147095AF">
              <w:rPr/>
              <w:t>3.93</w:t>
            </w:r>
          </w:p>
        </w:tc>
        <w:tc>
          <w:tcPr>
            <w:tcW w:w="1872" w:type="dxa"/>
            <w:tcMar/>
          </w:tcPr>
          <w:p w:rsidR="147095AF" w:rsidRDefault="147095AF" w14:noSpellErr="1" w14:paraId="7AC7FB36" w14:textId="1C52967A">
            <w:r w:rsidR="147095AF">
              <w:rPr/>
              <w:t>3.52</w:t>
            </w:r>
          </w:p>
        </w:tc>
        <w:tc>
          <w:tcPr>
            <w:tcW w:w="1872" w:type="dxa"/>
            <w:tcMar/>
          </w:tcPr>
          <w:p w:rsidR="147095AF" w:rsidRDefault="147095AF" w14:noSpellErr="1" w14:paraId="1F5494CE" w14:textId="15307D3E">
            <w:r w:rsidR="147095AF">
              <w:rPr/>
              <w:t>4.28</w:t>
            </w:r>
          </w:p>
        </w:tc>
        <w:tc>
          <w:tcPr>
            <w:tcW w:w="1872" w:type="dxa"/>
            <w:tcMar/>
          </w:tcPr>
          <w:p w:rsidR="147095AF" w:rsidRDefault="147095AF" w14:noSpellErr="1" w14:paraId="43A87D24" w14:textId="0E0E6402">
            <w:r w:rsidR="147095AF">
              <w:rPr/>
              <w:t>5.65</w:t>
            </w:r>
          </w:p>
        </w:tc>
      </w:tr>
      <w:tr w:rsidR="147095AF" w:rsidTr="147095AF" w14:paraId="4620D0F9">
        <w:tc>
          <w:tcPr>
            <w:tcW w:w="1872" w:type="dxa"/>
            <w:tcMar/>
          </w:tcPr>
          <w:p w:rsidR="147095AF" w:rsidRDefault="147095AF" w14:noSpellErr="1" w14:paraId="70CBBD59" w14:textId="2523C477">
            <w:r w:rsidR="147095AF">
              <w:rPr/>
              <w:t>Gross margin</w:t>
            </w:r>
          </w:p>
        </w:tc>
        <w:tc>
          <w:tcPr>
            <w:tcW w:w="1872" w:type="dxa"/>
            <w:tcMar/>
          </w:tcPr>
          <w:p w:rsidR="147095AF" w:rsidRDefault="147095AF" w14:noSpellErr="1" w14:paraId="7191C3F5" w14:textId="1E01AB3B">
            <w:r w:rsidR="147095AF">
              <w:rPr/>
              <w:t>39.3%</w:t>
            </w:r>
          </w:p>
        </w:tc>
        <w:tc>
          <w:tcPr>
            <w:tcW w:w="1872" w:type="dxa"/>
            <w:tcMar/>
          </w:tcPr>
          <w:p w:rsidR="147095AF" w:rsidRDefault="147095AF" w14:noSpellErr="1" w14:paraId="696C289A" w14:textId="16DF91FF">
            <w:r w:rsidR="147095AF">
              <w:rPr/>
              <w:t>35.2%</w:t>
            </w:r>
          </w:p>
        </w:tc>
        <w:tc>
          <w:tcPr>
            <w:tcW w:w="1872" w:type="dxa"/>
            <w:tcMar/>
          </w:tcPr>
          <w:p w:rsidR="147095AF" w:rsidRDefault="147095AF" w14:noSpellErr="1" w14:paraId="54715171" w14:textId="0FBD78C3">
            <w:r w:rsidR="147095AF">
              <w:rPr/>
              <w:t>42.9%</w:t>
            </w:r>
          </w:p>
        </w:tc>
        <w:tc>
          <w:tcPr>
            <w:tcW w:w="1872" w:type="dxa"/>
            <w:tcMar/>
          </w:tcPr>
          <w:p w:rsidR="147095AF" w:rsidRDefault="147095AF" w14:noSpellErr="1" w14:paraId="21401296" w14:textId="089B5F87">
            <w:r w:rsidR="147095AF">
              <w:rPr/>
              <w:t>44.4%</w:t>
            </w:r>
          </w:p>
        </w:tc>
      </w:tr>
      <w:tr w:rsidR="147095AF" w:rsidTr="147095AF" w14:paraId="6F844FD2">
        <w:tc>
          <w:tcPr>
            <w:tcW w:w="1872" w:type="dxa"/>
            <w:tcMar/>
          </w:tcPr>
          <w:p w:rsidR="147095AF" w:rsidRDefault="147095AF" w14:noSpellErr="1" w14:paraId="1D393BA4" w14:textId="1FB0BFFC">
            <w:r w:rsidR="147095AF">
              <w:rPr/>
              <w:t>Operating expense</w:t>
            </w:r>
          </w:p>
        </w:tc>
        <w:tc>
          <w:tcPr>
            <w:tcW w:w="1872" w:type="dxa"/>
            <w:tcMar/>
          </w:tcPr>
          <w:p w:rsidR="147095AF" w:rsidRDefault="147095AF" w14:noSpellErr="1" w14:paraId="2A717F68" w14:textId="188EA6C0">
            <w:r w:rsidR="147095AF">
              <w:rPr/>
              <w:t>2.82</w:t>
            </w:r>
          </w:p>
        </w:tc>
        <w:tc>
          <w:tcPr>
            <w:tcW w:w="1872" w:type="dxa"/>
            <w:tcMar/>
          </w:tcPr>
          <w:p w:rsidR="147095AF" w:rsidRDefault="147095AF" w14:noSpellErr="1" w14:paraId="69EEAD92" w14:textId="116C8D84">
            <w:r w:rsidR="147095AF">
              <w:rPr/>
              <w:t>3.17</w:t>
            </w:r>
          </w:p>
        </w:tc>
        <w:tc>
          <w:tcPr>
            <w:tcW w:w="1872" w:type="dxa"/>
            <w:tcMar/>
          </w:tcPr>
          <w:p w:rsidR="147095AF" w:rsidRDefault="147095AF" w14:noSpellErr="1" w14:paraId="26A464A2" w14:textId="0A4A7448">
            <w:r w:rsidR="147095AF">
              <w:rPr/>
              <w:t>3.17</w:t>
            </w:r>
          </w:p>
        </w:tc>
        <w:tc>
          <w:tcPr>
            <w:tcW w:w="1872" w:type="dxa"/>
            <w:tcMar/>
          </w:tcPr>
          <w:p w:rsidR="147095AF" w:rsidRDefault="147095AF" w14:noSpellErr="1" w14:paraId="7E0D914E" w14:textId="03285B0C">
            <w:r w:rsidR="147095AF">
              <w:rPr/>
              <w:t>3.40</w:t>
            </w:r>
          </w:p>
        </w:tc>
      </w:tr>
      <w:tr w:rsidR="147095AF" w:rsidTr="147095AF" w14:paraId="4107CDF4">
        <w:tc>
          <w:tcPr>
            <w:tcW w:w="1872" w:type="dxa"/>
            <w:tcMar/>
          </w:tcPr>
          <w:p w:rsidR="147095AF" w:rsidRDefault="147095AF" w14:noSpellErr="1" w14:paraId="6DAF2E52" w14:textId="1A3DBB81">
            <w:r w:rsidR="147095AF">
              <w:rPr/>
              <w:t>Adjusted EBITDA</w:t>
            </w:r>
          </w:p>
        </w:tc>
        <w:tc>
          <w:tcPr>
            <w:tcW w:w="1872" w:type="dxa"/>
            <w:tcMar/>
          </w:tcPr>
          <w:p w:rsidR="147095AF" w:rsidRDefault="147095AF" w14:noSpellErr="1" w14:paraId="4825B56D" w14:textId="131BA245">
            <w:r w:rsidR="147095AF">
              <w:rPr/>
              <w:t>1.11</w:t>
            </w:r>
          </w:p>
        </w:tc>
        <w:tc>
          <w:tcPr>
            <w:tcW w:w="1872" w:type="dxa"/>
            <w:tcMar/>
          </w:tcPr>
          <w:p w:rsidR="147095AF" w:rsidRDefault="147095AF" w14:noSpellErr="1" w14:paraId="5801566E" w14:textId="0BF98909">
            <w:r w:rsidR="147095AF">
              <w:rPr/>
              <w:t>0.34</w:t>
            </w:r>
          </w:p>
        </w:tc>
        <w:tc>
          <w:tcPr>
            <w:tcW w:w="1872" w:type="dxa"/>
            <w:tcMar/>
          </w:tcPr>
          <w:p w:rsidR="147095AF" w:rsidRDefault="147095AF" w14:noSpellErr="1" w14:paraId="4989A856" w14:textId="04D76FCD">
            <w:r w:rsidR="147095AF">
              <w:rPr/>
              <w:t>1.11</w:t>
            </w:r>
          </w:p>
        </w:tc>
        <w:tc>
          <w:tcPr>
            <w:tcW w:w="1872" w:type="dxa"/>
            <w:tcMar/>
          </w:tcPr>
          <w:p w:rsidR="147095AF" w:rsidRDefault="147095AF" w14:noSpellErr="1" w14:paraId="773A257D" w14:textId="7DB55691">
            <w:r w:rsidR="147095AF">
              <w:rPr/>
              <w:t>2.25</w:t>
            </w:r>
          </w:p>
        </w:tc>
      </w:tr>
      <w:tr w:rsidR="147095AF" w:rsidTr="147095AF" w14:paraId="576E6209">
        <w:tc>
          <w:tcPr>
            <w:tcW w:w="1872" w:type="dxa"/>
            <w:tcMar/>
          </w:tcPr>
          <w:p w:rsidR="147095AF" w:rsidRDefault="147095AF" w14:noSpellErr="1" w14:paraId="7C3364A8" w14:textId="14CAB706">
            <w:r w:rsidR="147095AF">
              <w:rPr/>
              <w:t>EBITDA margin</w:t>
            </w:r>
          </w:p>
        </w:tc>
        <w:tc>
          <w:tcPr>
            <w:tcW w:w="1872" w:type="dxa"/>
            <w:tcMar/>
          </w:tcPr>
          <w:p w:rsidR="147095AF" w:rsidRDefault="147095AF" w14:noSpellErr="1" w14:paraId="7AEEF7A7" w14:textId="0DA89DCA">
            <w:r w:rsidR="147095AF">
              <w:rPr/>
              <w:t>11.1%</w:t>
            </w:r>
          </w:p>
        </w:tc>
        <w:tc>
          <w:tcPr>
            <w:tcW w:w="1872" w:type="dxa"/>
            <w:tcMar/>
          </w:tcPr>
          <w:p w:rsidR="147095AF" w:rsidRDefault="147095AF" w14:noSpellErr="1" w14:paraId="3DDC9898" w14:textId="0686848E">
            <w:r w:rsidR="147095AF">
              <w:rPr/>
              <w:t>3.4%</w:t>
            </w:r>
          </w:p>
        </w:tc>
        <w:tc>
          <w:tcPr>
            <w:tcW w:w="1872" w:type="dxa"/>
            <w:tcMar/>
          </w:tcPr>
          <w:p w:rsidR="147095AF" w:rsidRDefault="147095AF" w14:noSpellErr="1" w14:paraId="2615FF6A" w14:textId="7F646B52">
            <w:r w:rsidR="147095AF">
              <w:rPr/>
              <w:t>11.1%</w:t>
            </w:r>
          </w:p>
        </w:tc>
        <w:tc>
          <w:tcPr>
            <w:tcW w:w="1872" w:type="dxa"/>
            <w:tcMar/>
          </w:tcPr>
          <w:p w:rsidR="147095AF" w:rsidRDefault="147095AF" w14:noSpellErr="1" w14:paraId="54C1D229" w14:textId="78425216">
            <w:r w:rsidR="147095AF">
              <w:rPr/>
              <w:t>17.7%</w:t>
            </w:r>
          </w:p>
        </w:tc>
      </w:tr>
    </w:tbl>
    <w:p w:rsidR="147095AF" w:rsidRDefault="147095AF" w14:noSpellErr="1" w14:paraId="248DEE00" w14:textId="51F8FB15">
      <w:r w:rsidR="147095AF">
        <w:rPr/>
        <w:t>Interpretation. Drift leaves revenue roughly flat but reduces gross profit through a five-point core-margin decline and project/resale margin compression while operating expense rises. AI-defensive delivery holds the same revenue and overhead, but assumes ten points better core gross margin than drift plus five points better project margin; its EBITDA merely preserves the starting US$1.11 million. Pivot requires real new recurring security/AI and advisory sales; it is not the automatic consequence of buying an agent. The model's adjusted EBITDA omits financing, tax, depreciation, capital spending and integration costs, so it is not free cash flow. [2, 4, 6, 22]</w:t>
      </w:r>
    </w:p>
    <w:p w:rsidR="147095AF" w:rsidP="147095AF" w:rsidRDefault="147095AF" w14:noSpellErr="1" w14:paraId="43B4E3AA" w14:textId="3216E34F">
      <w:pPr>
        <w:pStyle w:val="Caption"/>
        <w:numPr>
          <w:ilvl w:val="0"/>
          <w:numId w:val="0"/>
        </w:numPr>
      </w:pPr>
      <w:r w:rsidRPr="147095AF" w:rsidR="147095AF">
        <w:rPr>
          <w:color w:val="172B3A" w:themeColor="text1" w:themeTint="FF" w:themeShade="FF"/>
        </w:rPr>
        <w:t>Figure 2. Illustrative adjusted EBITDA for a US$10 million reference provider, 2026 and 2030. Calculated from the explicit inputs above; not an industry forecast.</w:t>
      </w:r>
    </w:p>
    <w:p w:rsidR="147095AF" w:rsidRDefault="147095AF" w14:noSpellErr="1" w14:paraId="658DBD63" w14:textId="3B1B3AE3">
      <w:r w:rsidR="147095AF">
        <w:drawing>
          <wp:inline wp14:editId="4AD90165" wp14:anchorId="574455A9">
            <wp:extent cx="5623560" cy="2643231"/>
            <wp:effectExtent l="0" t="0" r="0" b="0"/>
            <wp:docPr id="1703936685" name="drawing" descr="Horizontal bar chart of illustrative adjusted EBITDA: 2026 reference $1.11m, 2030 conventional drift $0.34m, 2030 AI-defensive $1.11m, 2030 security and AI pivot $2.25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936685" name="Picture 1703936685"/>
                    <pic:cNvPicPr/>
                  </pic:nvPicPr>
                  <pic:blipFill>
                    <a:blip xmlns:r="http://schemas.openxmlformats.org/officeDocument/2006/relationships" r:embed="rId372312394"/>
                    <a:stretch>
                      <a:fillRect/>
                    </a:stretch>
                  </pic:blipFill>
                  <pic:spPr>
                    <a:xfrm>
                      <a:off x="0" y="0"/>
                      <a:ext cx="5623560" cy="2643231"/>
                    </a:xfrm>
                    <a:prstGeom prst="rect">
                      <a:avLst/>
                    </a:prstGeom>
                  </pic:spPr>
                </pic:pic>
              </a:graphicData>
            </a:graphic>
          </wp:inline>
        </w:drawing>
      </w:r>
    </w:p>
    <w:p w:rsidR="147095AF" w:rsidP="147095AF" w:rsidRDefault="147095AF" w14:noSpellErr="1" w14:paraId="3201D8C5" w14:textId="2BFFF648">
      <w:pPr>
        <w:pStyle w:val="Heading2"/>
        <w:numPr>
          <w:ilvl w:val="0"/>
          <w:numId w:val="0"/>
        </w:numPr>
      </w:pPr>
      <w:r w:rsidRPr="147095AF" w:rsidR="147095AF">
        <w:rPr>
          <w:color w:val="14617D" w:themeColor="accent6" w:themeTint="FF" w:themeShade="FF"/>
        </w:rPr>
        <w:t>Operational and staffing levers</w:t>
      </w:r>
    </w:p>
    <w:p w:rsidR="147095AF" w:rsidRDefault="147095AF" w14:noSpellErr="1" w14:paraId="55727B14" w14:textId="4376E283">
      <w:r w:rsidR="147095AF">
        <w:rPr/>
        <w:t>At the reference scale, a one-percentage-point change in core managed-services price, with direct cost unchanged, moves annual EBITDA by US$65,000 (0.65 points of total revenue); a five-point improvement in core gross margin moves it by US$325,000. A one-point AI consumption or tool-cost charge on that same US$6.50 million line would likewise consume US$65,000 before productivity offsets. These are arithmetic sensitivities, not observed MSP effects. They explain why a ticket-deflection headline is insufficient: measure first-contact resolution, reopens, escalation quality, customer experience, fully loaded AI cost, incident loss and gross profit per contract. [2, 6, 9, 16]</w:t>
      </w:r>
    </w:p>
    <w:p w:rsidR="147095AF" w:rsidRDefault="147095AF" w14:noSpellErr="1" w14:paraId="1007C120" w14:textId="4A2BC7B0">
      <w:r w:rsidR="147095AF">
        <w:rPr/>
        <w:t>Revenue per employee depends on both price and staffing. If this hypothetical firm employed 50 full-time equivalents, the US$10.00 million reference would equal US$200,000 revenue per employee; the US$12.70 million pivot would yield US$254,000 with 50 FTE or about US$211,700 with 60 FTE. These are denominators chosen for sensitivity, not industry benchmarks. Service-desk utilisation improves EBITDA only if saved hours are removed from cost, redeployed to profitable new work, or used to lift retention; it can also expose latent demand and quality work. U.S. BLS projects a 3% decline in computer-support employment and a 4% decline in network/systems administrators from 2025 to 2035, but still projects tens of thousands of annual replacement openings; those occupational forecasts do not predict MSP headcount. [29, 30]</w:t>
      </w:r>
    </w:p>
    <w:p w:rsidR="147095AF" w:rsidP="147095AF" w:rsidRDefault="147095AF" w14:noSpellErr="1" w14:paraId="3D3B5DDF" w14:textId="143D4567">
      <w:pPr>
        <w:pStyle w:val="Heading2"/>
        <w:numPr>
          <w:ilvl w:val="0"/>
          <w:numId w:val="0"/>
        </w:numPr>
      </w:pPr>
      <w:r w:rsidRPr="147095AF" w:rsidR="147095AF">
        <w:rPr>
          <w:color w:val="14617D" w:themeColor="accent6" w:themeTint="FF" w:themeShade="FF"/>
        </w:rPr>
        <w:t>Valuation and M&amp;A implications</w:t>
      </w:r>
    </w:p>
    <w:p w:rsidR="147095AF" w:rsidRDefault="147095AF" w14:noSpellErr="1" w14:paraId="5219B7C5" w14:textId="45A6B701">
      <w:r w:rsidR="147095AF">
        <w:rPr/>
        <w:t>The public Service Leadership summary reports record valuation multiples for best-in-class IT providers in 2025 and about a 15% increase in average enterprise value over 2024, but gives no transaction-level comparable multiple. [1] The table therefore holds a 4×, 6× or 8× enterprise-value-to-adjusted-EBITDA multiple constant as a purely hypothetical sensitivity, not a market quote or fairness opinion. Buyers may underwrite growth, recurring gross profit, net retention, client and vendor concentration, cyber liability, quality of earnings, working capital and owned automation IP differently; no universal 'AI premium' should be assumed.</w:t>
      </w:r>
    </w:p>
    <w:tbl>
      <w:tblPr>
        <w:tblStyle w:val="TableGrid"/>
        <w:tblW w:w="0" w:type="auto"/>
        <w:tblLook w:val="04A0" w:firstRow="1" w:lastRow="0" w:firstColumn="1" w:lastColumn="0" w:noHBand="0" w:noVBand="1"/>
      </w:tblPr>
      <w:tblGrid>
        <w:gridCol w:w="2340"/>
        <w:gridCol w:w="2340"/>
        <w:gridCol w:w="2340"/>
        <w:gridCol w:w="2340"/>
      </w:tblGrid>
      <w:tr w:rsidR="147095AF" w:rsidTr="147095AF" w14:paraId="4B646636">
        <w:trPr>
          <w:trHeight w:val="300"/>
        </w:trPr>
        <w:tc>
          <w:tcPr>
            <w:tcW w:w="2340" w:type="dxa"/>
            <w:tcMar/>
          </w:tcPr>
          <w:p w:rsidR="147095AF" w:rsidRDefault="147095AF" w14:noSpellErr="1" w14:paraId="4328E0E3" w14:textId="5646E8AB">
            <w:r w:rsidR="147095AF">
              <w:rPr/>
              <w:t>Illustrative enterprise value (US$m)</w:t>
            </w:r>
          </w:p>
        </w:tc>
        <w:tc>
          <w:tcPr>
            <w:tcW w:w="2340" w:type="dxa"/>
            <w:tcMar/>
          </w:tcPr>
          <w:p w:rsidR="147095AF" w:rsidRDefault="147095AF" w14:noSpellErr="1" w14:paraId="46E7721E" w14:textId="4F24CF6F">
            <w:r w:rsidR="147095AF">
              <w:rPr/>
              <w:t>At 4× EBITDA</w:t>
            </w:r>
          </w:p>
        </w:tc>
        <w:tc>
          <w:tcPr>
            <w:tcW w:w="2340" w:type="dxa"/>
            <w:tcMar/>
          </w:tcPr>
          <w:p w:rsidR="147095AF" w:rsidRDefault="147095AF" w14:noSpellErr="1" w14:paraId="17579B69" w14:textId="4802B633">
            <w:r w:rsidR="147095AF">
              <w:rPr/>
              <w:t>At 6× EBITDA</w:t>
            </w:r>
          </w:p>
        </w:tc>
        <w:tc>
          <w:tcPr>
            <w:tcW w:w="2340" w:type="dxa"/>
            <w:tcMar/>
          </w:tcPr>
          <w:p w:rsidR="147095AF" w:rsidRDefault="147095AF" w14:noSpellErr="1" w14:paraId="3B9AA84C" w14:textId="40E09CF7">
            <w:r w:rsidR="147095AF">
              <w:rPr/>
              <w:t>At 8× EBITDA</w:t>
            </w:r>
          </w:p>
        </w:tc>
      </w:tr>
      <w:tr w:rsidR="147095AF" w:rsidTr="147095AF" w14:paraId="5D27891B">
        <w:tc>
          <w:tcPr>
            <w:tcW w:w="2340" w:type="dxa"/>
            <w:tcMar/>
          </w:tcPr>
          <w:p w:rsidR="147095AF" w:rsidRDefault="147095AF" w14:noSpellErr="1" w14:paraId="3E009C3A" w14:textId="57F5FD6C">
            <w:r w:rsidR="147095AF">
              <w:rPr/>
              <w:t>2026 reference</w:t>
            </w:r>
          </w:p>
        </w:tc>
        <w:tc>
          <w:tcPr>
            <w:tcW w:w="2340" w:type="dxa"/>
            <w:tcMar/>
          </w:tcPr>
          <w:p w:rsidR="147095AF" w:rsidRDefault="147095AF" w14:noSpellErr="1" w14:paraId="7FA5DD7A" w14:textId="50D3E430">
            <w:r w:rsidR="147095AF">
              <w:rPr/>
              <w:t>4.44</w:t>
            </w:r>
          </w:p>
        </w:tc>
        <w:tc>
          <w:tcPr>
            <w:tcW w:w="2340" w:type="dxa"/>
            <w:tcMar/>
          </w:tcPr>
          <w:p w:rsidR="147095AF" w:rsidRDefault="147095AF" w14:noSpellErr="1" w14:paraId="73D6FACD" w14:textId="49B1CAF4">
            <w:r w:rsidR="147095AF">
              <w:rPr/>
              <w:t>6.66</w:t>
            </w:r>
          </w:p>
        </w:tc>
        <w:tc>
          <w:tcPr>
            <w:tcW w:w="2340" w:type="dxa"/>
            <w:tcMar/>
          </w:tcPr>
          <w:p w:rsidR="147095AF" w:rsidRDefault="147095AF" w14:noSpellErr="1" w14:paraId="36938F31" w14:textId="428FB1B8">
            <w:r w:rsidR="147095AF">
              <w:rPr/>
              <w:t>8.88</w:t>
            </w:r>
          </w:p>
        </w:tc>
      </w:tr>
      <w:tr w:rsidR="147095AF" w:rsidTr="147095AF" w14:paraId="23D604AD">
        <w:tc>
          <w:tcPr>
            <w:tcW w:w="2340" w:type="dxa"/>
            <w:tcMar/>
          </w:tcPr>
          <w:p w:rsidR="147095AF" w:rsidRDefault="147095AF" w14:noSpellErr="1" w14:paraId="64DC5098" w14:textId="59A5122D">
            <w:r w:rsidR="147095AF">
              <w:rPr/>
              <w:t>2030 conventional drift</w:t>
            </w:r>
          </w:p>
        </w:tc>
        <w:tc>
          <w:tcPr>
            <w:tcW w:w="2340" w:type="dxa"/>
            <w:tcMar/>
          </w:tcPr>
          <w:p w:rsidR="147095AF" w:rsidRDefault="147095AF" w14:noSpellErr="1" w14:paraId="344B1827" w14:textId="5282F8F1">
            <w:r w:rsidR="147095AF">
              <w:rPr/>
              <w:t>1.37</w:t>
            </w:r>
          </w:p>
        </w:tc>
        <w:tc>
          <w:tcPr>
            <w:tcW w:w="2340" w:type="dxa"/>
            <w:tcMar/>
          </w:tcPr>
          <w:p w:rsidR="147095AF" w:rsidRDefault="147095AF" w14:noSpellErr="1" w14:paraId="4E0CE590" w14:textId="4B60DFB5">
            <w:r w:rsidR="147095AF">
              <w:rPr/>
              <w:t>2.05</w:t>
            </w:r>
          </w:p>
        </w:tc>
        <w:tc>
          <w:tcPr>
            <w:tcW w:w="2340" w:type="dxa"/>
            <w:tcMar/>
          </w:tcPr>
          <w:p w:rsidR="147095AF" w:rsidRDefault="147095AF" w14:noSpellErr="1" w14:paraId="70D7E0AD" w14:textId="443EC679">
            <w:r w:rsidR="147095AF">
              <w:rPr/>
              <w:t>2.74</w:t>
            </w:r>
          </w:p>
        </w:tc>
      </w:tr>
      <w:tr w:rsidR="147095AF" w:rsidTr="147095AF" w14:paraId="7BBCBA77">
        <w:tc>
          <w:tcPr>
            <w:tcW w:w="2340" w:type="dxa"/>
            <w:tcMar/>
          </w:tcPr>
          <w:p w:rsidR="147095AF" w:rsidRDefault="147095AF" w14:noSpellErr="1" w14:paraId="1023CEB9" w14:textId="5B5426EE">
            <w:r w:rsidR="147095AF">
              <w:rPr/>
              <w:t>2030 AI-defensive</w:t>
            </w:r>
          </w:p>
        </w:tc>
        <w:tc>
          <w:tcPr>
            <w:tcW w:w="2340" w:type="dxa"/>
            <w:tcMar/>
          </w:tcPr>
          <w:p w:rsidR="147095AF" w:rsidRDefault="147095AF" w14:noSpellErr="1" w14:paraId="36DC2BAD" w14:textId="54320DB2">
            <w:r w:rsidR="147095AF">
              <w:rPr/>
              <w:t>4.44</w:t>
            </w:r>
          </w:p>
        </w:tc>
        <w:tc>
          <w:tcPr>
            <w:tcW w:w="2340" w:type="dxa"/>
            <w:tcMar/>
          </w:tcPr>
          <w:p w:rsidR="147095AF" w:rsidRDefault="147095AF" w14:noSpellErr="1" w14:paraId="7484B214" w14:textId="4D0FF476">
            <w:r w:rsidR="147095AF">
              <w:rPr/>
              <w:t>6.66</w:t>
            </w:r>
          </w:p>
        </w:tc>
        <w:tc>
          <w:tcPr>
            <w:tcW w:w="2340" w:type="dxa"/>
            <w:tcMar/>
          </w:tcPr>
          <w:p w:rsidR="147095AF" w:rsidRDefault="147095AF" w14:noSpellErr="1" w14:paraId="724B5145" w14:textId="45EDDB3A">
            <w:r w:rsidR="147095AF">
              <w:rPr/>
              <w:t>8.87</w:t>
            </w:r>
          </w:p>
        </w:tc>
      </w:tr>
      <w:tr w:rsidR="147095AF" w:rsidTr="147095AF" w14:paraId="2B0E9018">
        <w:tc>
          <w:tcPr>
            <w:tcW w:w="2340" w:type="dxa"/>
            <w:tcMar/>
          </w:tcPr>
          <w:p w:rsidR="147095AF" w:rsidRDefault="147095AF" w14:noSpellErr="1" w14:paraId="1A29B7E5" w14:textId="5D033BAF">
            <w:r w:rsidR="147095AF">
              <w:rPr/>
              <w:t>2030 security-and-AI pivot</w:t>
            </w:r>
          </w:p>
        </w:tc>
        <w:tc>
          <w:tcPr>
            <w:tcW w:w="2340" w:type="dxa"/>
            <w:tcMar/>
          </w:tcPr>
          <w:p w:rsidR="147095AF" w:rsidRDefault="147095AF" w14:noSpellErr="1" w14:paraId="1BC3197E" w14:textId="55E12273">
            <w:r w:rsidR="147095AF">
              <w:rPr/>
              <w:t>8.98</w:t>
            </w:r>
          </w:p>
        </w:tc>
        <w:tc>
          <w:tcPr>
            <w:tcW w:w="2340" w:type="dxa"/>
            <w:tcMar/>
          </w:tcPr>
          <w:p w:rsidR="147095AF" w:rsidRDefault="147095AF" w14:noSpellErr="1" w14:paraId="72565890" w14:textId="4EBF0937">
            <w:r w:rsidR="147095AF">
              <w:rPr/>
              <w:t>13.47</w:t>
            </w:r>
          </w:p>
        </w:tc>
        <w:tc>
          <w:tcPr>
            <w:tcW w:w="2340" w:type="dxa"/>
            <w:tcMar/>
          </w:tcPr>
          <w:p w:rsidR="147095AF" w:rsidRDefault="147095AF" w14:noSpellErr="1" w14:paraId="23AD42A3" w14:textId="479CEFFB">
            <w:r w:rsidR="147095AF">
              <w:rPr/>
              <w:t>17.96</w:t>
            </w:r>
          </w:p>
        </w:tc>
      </w:tr>
    </w:tbl>
    <w:p w:rsidR="147095AF" w:rsidRDefault="147095AF" w14:noSpellErr="1" w14:paraId="6862AFB3" w14:textId="1CB8D937">
      <w:r w:rsidR="147095AF">
        <w:rPr/>
        <w:t>At the same illustrative 6× multiple, the drift case falls from US$6.66 million to about US$2.05 million of enterprise value, whereas the pivot reaches about US$13.47 million; the pivot's revenue grows at an implied 6.2% annual rate from the reference. These changes are consequences of selected P&amp;L inputs, not forecast sale prices. Actual equity proceeds would also reflect debt, cash, transaction terms and tax. Private-equity diligence should stress-test whether customer-funded AI consumption and cyber response costs are contractually recoverable and whether specialist revenue is repeatable rather than one-off implementation. [1, 4, 6, 9]</w:t>
      </w:r>
    </w:p>
    <w:p w:rsidR="147095AF" w:rsidP="147095AF" w:rsidRDefault="147095AF" w14:noSpellErr="1" w14:paraId="781464B1" w14:textId="7C48BAE0">
      <w:pPr>
        <w:pStyle w:val="Heading1"/>
        <w:numPr>
          <w:ilvl w:val="0"/>
          <w:numId w:val="0"/>
        </w:numPr>
      </w:pPr>
      <w:r w:rsidRPr="147095AF" w:rsidR="147095AF">
        <w:rPr>
          <w:color w:val="14617D" w:themeColor="accent6" w:themeTint="FF" w:themeShade="FF"/>
        </w:rPr>
        <w:t>Microsoft Strategy Analysis</w:t>
      </w:r>
    </w:p>
    <w:p w:rsidR="147095AF" w:rsidP="147095AF" w:rsidRDefault="147095AF" w14:noSpellErr="1" w14:paraId="7E3671D1" w14:textId="15A672AB">
      <w:pPr>
        <w:pStyle w:val="Heading2"/>
        <w:numPr>
          <w:ilvl w:val="0"/>
          <w:numId w:val="0"/>
        </w:numPr>
      </w:pPr>
      <w:r w:rsidRPr="147095AF" w:rsidR="147095AF">
        <w:rPr>
          <w:color w:val="14617D" w:themeColor="accent6" w:themeTint="FF" w:themeShade="FF"/>
        </w:rPr>
        <w:t>From cloud administration to agent control planes</w:t>
      </w:r>
    </w:p>
    <w:p w:rsidR="147095AF" w:rsidRDefault="147095AF" w14:noSpellErr="1" w14:paraId="5B146E43" w14:textId="6ED84AD4">
      <w:r w:rsidR="147095AF">
        <w:rPr/>
        <w:t>Microsoft's FY2025 annual report names security, quality and AI innovation as its operating priorities, with Copilot, agents, Azure, Fabric, Dynamics, integrated identity and security as connected layers rather than isolated products. Revenue was US$281.7 billion, Azure exceeded US$75 billion and Copilot Studio was used by more than 230,000 organisations as reported in that report. [7] FY2026 revenue then reached US$331.8 billion, up 18%, with Azure above US$100 billion; the Q4 call reported over 30 million paid Microsoft 365 Copilot seats. [8, 9] These are platform-adoption and financial facts, not counts of MSP customers lost.</w:t>
      </w:r>
    </w:p>
    <w:p w:rsidR="147095AF" w:rsidRDefault="147095AF" w14:noSpellErr="1" w14:paraId="5C0012F8" w14:textId="4E8CF774">
      <w:r w:rsidR="147095AF">
        <w:rPr/>
        <w:t>The FY2026 call described a move beyond per-seat to per-seat-plus-consumption and reported nearly 40 million agents registered in Agent 365 across tens of thousands of organisations two months after launch; registered agents include discovery and do not imply active productivity. [9] At Ignite 2025, Microsoft announced Agent 365 as a governance control plane; Copilot Studio evaluation and security features, Teams and SharePoint administration agents, and Baseline Security Mode for Microsoft 365, the latter generally available. Many agents were in preview, so availability must not be mistaken for production impact. [12] The official Power Platform 2026 release-wave plan similarly lists agent-security controls and AI-powered governance, with explicit warnings that planned features and dates can change. [45]</w:t>
      </w:r>
    </w:p>
    <w:p w:rsidR="147095AF" w:rsidP="147095AF" w:rsidRDefault="147095AF" w14:noSpellErr="1" w14:paraId="136B9D57" w14:textId="687A4A64">
      <w:pPr>
        <w:pStyle w:val="Heading2"/>
        <w:numPr>
          <w:ilvl w:val="0"/>
          <w:numId w:val="0"/>
        </w:numPr>
      </w:pPr>
      <w:r w:rsidRPr="147095AF" w:rsidR="147095AF">
        <w:rPr>
          <w:color w:val="14617D" w:themeColor="accent6" w:themeTint="FF" w:themeShade="FF"/>
        </w:rPr>
        <w:t>What the bundle changes, and what it does not</w:t>
      </w:r>
    </w:p>
    <w:p w:rsidR="147095AF" w:rsidRDefault="147095AF" w14:noSpellErr="1" w14:paraId="52E5AD28" w14:textId="3413CB89">
      <w:r w:rsidR="147095AF">
        <w:rPr/>
        <w:t>Microsoft's July 2026 packaging added Defender for Office 365 Plan 1, Intune Remote Help, Advanced Analytics and Plan 2 to Microsoft 365 E3, while E5 added Security Copilot and additional endpoint/PKI controls. Business Premium remained US$22 per user per month and did not receive Security Copilot inclusion; Business Basic rose from US$6 to US$7 and Business Standard from US$12.50 to US$14 in the published US list. [10] Eligible E5/E7 tenants receive 400 Security Compute Units monthly per 1,000 paid licences, capped at 10,000; Security Copilot is auto-provisioned, but agents themselves require configuration and deployment. [13] The embedded software removes some billable configuration tasks while increasing the need to govern permissions, data, cost and assurance.</w:t>
      </w:r>
    </w:p>
    <w:tbl>
      <w:tblPr>
        <w:tblStyle w:val="TableGrid"/>
        <w:tblW w:w="0" w:type="auto"/>
        <w:tblLook w:val="04A0" w:firstRow="1" w:lastRow="0" w:firstColumn="1" w:lastColumn="0" w:noHBand="0" w:noVBand="1"/>
      </w:tblPr>
      <w:tblGrid>
        <w:gridCol w:w="3120"/>
        <w:gridCol w:w="3120"/>
        <w:gridCol w:w="3120"/>
      </w:tblGrid>
      <w:tr w:rsidR="147095AF" w:rsidTr="147095AF" w14:paraId="50FEA6B3">
        <w:trPr>
          <w:trHeight w:val="300"/>
        </w:trPr>
        <w:tc>
          <w:tcPr>
            <w:tcW w:w="3120" w:type="dxa"/>
            <w:tcMar/>
          </w:tcPr>
          <w:p w:rsidR="147095AF" w:rsidRDefault="147095AF" w14:noSpellErr="1" w14:paraId="3FC00073" w14:textId="7054AC6A">
            <w:r w:rsidR="147095AF">
              <w:rPr/>
              <w:t>Microsoft signal and status</w:t>
            </w:r>
          </w:p>
        </w:tc>
        <w:tc>
          <w:tcPr>
            <w:tcW w:w="3120" w:type="dxa"/>
            <w:tcMar/>
          </w:tcPr>
          <w:p w:rsidR="147095AF" w:rsidRDefault="147095AF" w14:noSpellErr="1" w14:paraId="30EAAD58" w14:textId="6932932E">
            <w:r w:rsidR="147095AF">
              <w:rPr/>
              <w:t>Routine MSP value under pressure</w:t>
            </w:r>
          </w:p>
        </w:tc>
        <w:tc>
          <w:tcPr>
            <w:tcW w:w="3120" w:type="dxa"/>
            <w:tcMar/>
          </w:tcPr>
          <w:p w:rsidR="147095AF" w:rsidRDefault="147095AF" w14:noSpellErr="1" w14:paraId="3FE8F827" w14:textId="621079F2">
            <w:r w:rsidR="147095AF">
              <w:rPr/>
              <w:t>Differentiated partner value</w:t>
            </w:r>
          </w:p>
        </w:tc>
      </w:tr>
      <w:tr w:rsidR="147095AF" w:rsidTr="147095AF" w14:paraId="65F80A46">
        <w:tc>
          <w:tcPr>
            <w:tcW w:w="3120" w:type="dxa"/>
            <w:tcMar/>
          </w:tcPr>
          <w:p w:rsidR="147095AF" w:rsidRDefault="147095AF" w14:noSpellErr="1" w14:paraId="7875CEFB" w14:textId="7925DA67">
            <w:r w:rsidR="147095AF">
              <w:rPr/>
              <w:t>Baseline Security Mode, generally available [12]</w:t>
            </w:r>
          </w:p>
        </w:tc>
        <w:tc>
          <w:tcPr>
            <w:tcW w:w="3120" w:type="dxa"/>
            <w:tcMar/>
          </w:tcPr>
          <w:p w:rsidR="147095AF" w:rsidRDefault="147095AF" w14:noSpellErr="1" w14:paraId="4FD4F197" w14:textId="7203C12B">
            <w:r w:rsidR="147095AF">
              <w:rPr/>
              <w:t>Manual baseline setup and repeated policy checks</w:t>
            </w:r>
          </w:p>
        </w:tc>
        <w:tc>
          <w:tcPr>
            <w:tcW w:w="3120" w:type="dxa"/>
            <w:tcMar/>
          </w:tcPr>
          <w:p w:rsidR="147095AF" w:rsidRDefault="147095AF" w14:noSpellErr="1" w14:paraId="5749B5D5" w14:textId="6AE1A7EF">
            <w:r w:rsidR="147095AF">
              <w:rPr/>
              <w:t>Exception governance, validation, change evidence and cross-tenant assurance</w:t>
            </w:r>
          </w:p>
        </w:tc>
      </w:tr>
      <w:tr w:rsidR="147095AF" w:rsidTr="147095AF" w14:paraId="2C477E30">
        <w:tc>
          <w:tcPr>
            <w:tcW w:w="3120" w:type="dxa"/>
            <w:tcMar/>
          </w:tcPr>
          <w:p w:rsidR="147095AF" w:rsidRDefault="147095AF" w14:noSpellErr="1" w14:paraId="58B7B1BA" w14:textId="01F70864">
            <w:r w:rsidR="147095AF">
              <w:rPr/>
              <w:t>Teams/SharePoint Admin Agents, preview at Ignite 2025 [12]</w:t>
            </w:r>
          </w:p>
        </w:tc>
        <w:tc>
          <w:tcPr>
            <w:tcW w:w="3120" w:type="dxa"/>
            <w:tcMar/>
          </w:tcPr>
          <w:p w:rsidR="147095AF" w:rsidRDefault="147095AF" w14:noSpellErr="1" w14:paraId="482D28B0" w14:textId="7AD4EF28">
            <w:r w:rsidR="147095AF">
              <w:rPr/>
              <w:t>Routine monitoring, provisioning and site hygiene</w:t>
            </w:r>
          </w:p>
        </w:tc>
        <w:tc>
          <w:tcPr>
            <w:tcW w:w="3120" w:type="dxa"/>
            <w:tcMar/>
          </w:tcPr>
          <w:p w:rsidR="147095AF" w:rsidRDefault="147095AF" w14:noSpellErr="1" w14:paraId="57084941" w14:textId="73B2D5EC">
            <w:r w:rsidR="147095AF">
              <w:rPr/>
              <w:t>Information architecture, ownership, access reviews, delegated controls</w:t>
            </w:r>
          </w:p>
        </w:tc>
      </w:tr>
      <w:tr w:rsidR="147095AF" w:rsidTr="147095AF" w14:paraId="5F7F98F7">
        <w:tc>
          <w:tcPr>
            <w:tcW w:w="3120" w:type="dxa"/>
            <w:tcMar/>
          </w:tcPr>
          <w:p w:rsidR="147095AF" w:rsidRDefault="147095AF" w14:noSpellErr="1" w14:paraId="36288502" w14:textId="0AC83661">
            <w:r w:rsidR="147095AF">
              <w:rPr/>
              <w:t>E5/E7 Security Copilot inclusion [10, 13]</w:t>
            </w:r>
          </w:p>
        </w:tc>
        <w:tc>
          <w:tcPr>
            <w:tcW w:w="3120" w:type="dxa"/>
            <w:tcMar/>
          </w:tcPr>
          <w:p w:rsidR="147095AF" w:rsidRDefault="147095AF" w14:noSpellErr="1" w14:paraId="13FA2D67" w14:textId="03A61D25">
            <w:r w:rsidR="147095AF">
              <w:rPr/>
              <w:t>Stand-alone triage/summarisation charged as bespoke labour</w:t>
            </w:r>
          </w:p>
        </w:tc>
        <w:tc>
          <w:tcPr>
            <w:tcW w:w="3120" w:type="dxa"/>
            <w:tcMar/>
          </w:tcPr>
          <w:p w:rsidR="147095AF" w:rsidRDefault="147095AF" w14:noSpellErr="1" w14:paraId="58BB6E1A" w14:textId="7C8403E9">
            <w:r w:rsidR="147095AF">
              <w:rPr/>
              <w:t>Deployment, detection quality, incident authority, identity and compliance outcomes</w:t>
            </w:r>
          </w:p>
        </w:tc>
      </w:tr>
      <w:tr w:rsidR="147095AF" w:rsidTr="147095AF" w14:paraId="656A42AC">
        <w:tc>
          <w:tcPr>
            <w:tcW w:w="3120" w:type="dxa"/>
            <w:tcMar/>
          </w:tcPr>
          <w:p w:rsidR="147095AF" w:rsidRDefault="147095AF" w14:noSpellErr="1" w14:paraId="64111C26" w14:textId="1399645E">
            <w:r w:rsidR="147095AF">
              <w:rPr/>
              <w:t>Copilot Business and E7 bundles [12, 14]</w:t>
            </w:r>
          </w:p>
        </w:tc>
        <w:tc>
          <w:tcPr>
            <w:tcW w:w="3120" w:type="dxa"/>
            <w:tcMar/>
          </w:tcPr>
          <w:p w:rsidR="147095AF" w:rsidRDefault="147095AF" w14:noSpellErr="1" w14:paraId="15958CD8" w14:textId="0C774B22">
            <w:r w:rsidR="147095AF">
              <w:rPr/>
              <w:t>Generic licence resale and introductory training</w:t>
            </w:r>
          </w:p>
        </w:tc>
        <w:tc>
          <w:tcPr>
            <w:tcW w:w="3120" w:type="dxa"/>
            <w:tcMar/>
          </w:tcPr>
          <w:p w:rsidR="147095AF" w:rsidRDefault="147095AF" w14:noSpellErr="1" w14:paraId="330B26C2" w14:textId="055531E6">
            <w:r w:rsidR="147095AF">
              <w:rPr/>
              <w:t>Adoption, measured workflow redesign and governed agents</w:t>
            </w:r>
          </w:p>
        </w:tc>
      </w:tr>
      <w:tr w:rsidR="147095AF" w:rsidTr="147095AF" w14:paraId="4B42ECD9">
        <w:tc>
          <w:tcPr>
            <w:tcW w:w="3120" w:type="dxa"/>
            <w:tcMar/>
          </w:tcPr>
          <w:p w:rsidR="147095AF" w:rsidRDefault="147095AF" w14:noSpellErr="1" w14:paraId="4B482962" w14:textId="1C6A925B">
            <w:r w:rsidR="147095AF">
              <w:rPr/>
              <w:t>Agent 365, Copilot Studio and Power Platform roadmap [9, 12, 45]</w:t>
            </w:r>
          </w:p>
        </w:tc>
        <w:tc>
          <w:tcPr>
            <w:tcW w:w="3120" w:type="dxa"/>
            <w:tcMar/>
          </w:tcPr>
          <w:p w:rsidR="147095AF" w:rsidRDefault="147095AF" w14:noSpellErr="1" w14:paraId="27761B33" w14:textId="1548791F">
            <w:r w:rsidR="147095AF">
              <w:rPr/>
              <w:t>Low-code build hours alone may become easier to replicate</w:t>
            </w:r>
          </w:p>
        </w:tc>
        <w:tc>
          <w:tcPr>
            <w:tcW w:w="3120" w:type="dxa"/>
            <w:tcMar/>
          </w:tcPr>
          <w:p w:rsidR="147095AF" w:rsidRDefault="147095AF" w14:noSpellErr="1" w14:paraId="12494280" w14:textId="0E265FE3">
            <w:r w:rsidR="147095AF">
              <w:rPr/>
              <w:t>Agent inventory, permissions, evaluations, lifecycle, FinOps and reusable IP</w:t>
            </w:r>
          </w:p>
        </w:tc>
      </w:tr>
      <w:tr w:rsidR="147095AF" w:rsidTr="147095AF" w14:paraId="2D63437E">
        <w:tc>
          <w:tcPr>
            <w:tcW w:w="3120" w:type="dxa"/>
            <w:tcMar/>
          </w:tcPr>
          <w:p w:rsidR="147095AF" w:rsidRDefault="147095AF" w14:noSpellErr="1" w14:paraId="45DC3FE9" w14:textId="253BC058">
            <w:r w:rsidR="147095AF">
              <w:rPr/>
              <w:t>Azure, Fabric and Dynamics convergence [7, 9, 44]</w:t>
            </w:r>
          </w:p>
        </w:tc>
        <w:tc>
          <w:tcPr>
            <w:tcW w:w="3120" w:type="dxa"/>
            <w:tcMar/>
          </w:tcPr>
          <w:p w:rsidR="147095AF" w:rsidRDefault="147095AF" w14:noSpellErr="1" w14:paraId="4577EA30" w14:textId="1E19A71C">
            <w:r w:rsidR="147095AF">
              <w:rPr/>
              <w:t>Single-product administration and isolated migration tasks</w:t>
            </w:r>
          </w:p>
        </w:tc>
        <w:tc>
          <w:tcPr>
            <w:tcW w:w="3120" w:type="dxa"/>
            <w:tcMar/>
          </w:tcPr>
          <w:p w:rsidR="147095AF" w:rsidRDefault="147095AF" w14:noSpellErr="1" w14:paraId="64B74F45" w14:textId="16F78DE0">
            <w:r w:rsidR="147095AF">
              <w:rPr/>
              <w:t>Cross-application data semantics, secure integration and process transformation</w:t>
            </w:r>
          </w:p>
        </w:tc>
      </w:tr>
    </w:tbl>
    <w:p w:rsidR="147095AF" w:rsidP="147095AF" w:rsidRDefault="147095AF" w14:noSpellErr="1" w14:paraId="5F2FFF06" w14:textId="758BAADE">
      <w:pPr>
        <w:pStyle w:val="Heading2"/>
        <w:numPr>
          <w:ilvl w:val="0"/>
          <w:numId w:val="0"/>
        </w:numPr>
      </w:pPr>
      <w:r w:rsidRPr="147095AF" w:rsidR="147095AF">
        <w:rPr>
          <w:color w:val="14617D" w:themeColor="accent6" w:themeTint="FF" w:themeShade="FF"/>
        </w:rPr>
        <w:t>Partner economics and competitive boundary</w:t>
      </w:r>
    </w:p>
    <w:p w:rsidR="147095AF" w:rsidRDefault="147095AF" w14:noSpellErr="1" w14:paraId="76354877" w14:textId="58310799">
      <w:r w:rsidR="147095AF">
        <w:rPr/>
        <w:t>Microsoft's direct-bill CSP requirements now demand at least US$1 million eligible trailing CSP revenue for new applicants as indirect resellers, a year in that model, a first-level support capability and annual reassessment of existing direct-bill partners. [11] Pax8's July 2026 partner analysis reports removal of the indirect-reseller core incentives for Microsoft 365 and Dynamics 365, alongside stronger growth accelerators; the original Microsoft FY27 incentive guide was not publicly verified, so treat exact incentive rates as partner-reported until validated against an actual agreement. [18] The direction rewards growth, specialisation and execution more than merely holding an installed licence base.</w:t>
      </w:r>
    </w:p>
    <w:p w:rsidR="147095AF" w:rsidRDefault="147095AF" w14:noSpellErr="1" w14:paraId="3F2AED70" w14:textId="5014A543">
      <w:r w:rsidR="147095AF">
        <w:rPr/>
        <w:t>At the enterprise end, Microsoft announced a US$2.5 billion Frontier Company initiative that embeds 6,000 industry and engineering specialists with customers and names major integrators as partners; the move can compete with a traditional advisory sale while also creating implementation ecosystems. [15] The FY2026 call says paid commercial Microsoft 365 seats rose 6%, mainly in SMB and frontline offerings, and Microsoft continued to describe a large partner ecosystem and CSP channel for smaller customers. [9, 17] Microsoft 365 Copilot Business was positioned for organisations below 300 users at US$21 per user monthly, a direct entry point but also a partner adoption opportunity. [12]</w:t>
      </w:r>
    </w:p>
    <w:p w:rsidR="147095AF" w:rsidRDefault="147095AF" w14:noSpellErr="1" w14:paraId="1CD50538" w14:textId="1922FB9E">
      <w:r w:rsidR="147095AF">
        <w:rPr/>
        <w:t>Net assessment. Microsoft is making some environments more self-service and security-aware, especially in E3/E5 and around agents; it is not removing the customer's need to choose policies, connect business data, test outcomes, manage incident authority or pay for accountability. The opportunity for a Microsoft partner increases when it owns those control and transformation layers and decreases when its margin depends mainly on manual administration or flat licence incentives. That is a strategic inference from published capabilities and economics, not a measured displacement rate. [7–15, 17, 18, 45]</w:t>
      </w:r>
    </w:p>
    <w:p w:rsidR="147095AF" w:rsidP="147095AF" w:rsidRDefault="147095AF" w14:noSpellErr="1" w14:paraId="3159A12B" w14:textId="10034F70">
      <w:pPr>
        <w:pStyle w:val="Heading1"/>
        <w:numPr>
          <w:ilvl w:val="0"/>
          <w:numId w:val="0"/>
        </w:numPr>
      </w:pPr>
      <w:r w:rsidRPr="147095AF" w:rsidR="147095AF">
        <w:rPr>
          <w:color w:val="14617D" w:themeColor="accent6" w:themeTint="FF" w:themeShade="FF"/>
        </w:rPr>
        <w:t>AI Impact Analysis</w:t>
      </w:r>
    </w:p>
    <w:p w:rsidR="147095AF" w:rsidP="147095AF" w:rsidRDefault="147095AF" w14:noSpellErr="1" w14:paraId="6D4FBF67" w14:textId="218D7C54">
      <w:pPr>
        <w:pStyle w:val="Heading2"/>
        <w:numPr>
          <w:ilvl w:val="0"/>
          <w:numId w:val="0"/>
        </w:numPr>
      </w:pPr>
      <w:r w:rsidRPr="147095AF" w:rsidR="147095AF">
        <w:rPr>
          <w:color w:val="14617D" w:themeColor="accent6" w:themeTint="FF" w:themeShade="FF"/>
        </w:rPr>
        <w:t>Capabilities are advancing faster than audited MSP outcomes</w:t>
      </w:r>
    </w:p>
    <w:p w:rsidR="147095AF" w:rsidRDefault="147095AF" w14:noSpellErr="1" w14:paraId="759FCAB5" w14:textId="2A593055">
      <w:r w:rsidR="147095AF">
        <w:rPr/>
        <w:t>Gartner predicted that agentic AI could autonomously resolve 80% of common customer-service issues by 2029 and reduce operating cost 30%, but this is a forecast about common customer service, not measured IT help-desk deflection. [23] Gartner also forecast more than 40% of agentic AI projects would be cancelled by end-2027 because of cost, unclear value or weak controls. [24] McKinsey's 2025 survey found 88% reported AI use in at least one function, 23% scaling agents somewhere, no more than 10% scaling in any single function, and 39% attributing any enterprise EBIT impact to AI. [26] Adoption, autonomy and financial return are therefore three separate hurdles.</w:t>
      </w:r>
    </w:p>
    <w:p w:rsidR="147095AF" w:rsidRDefault="147095AF" w14:noSpellErr="1" w14:paraId="55C3741B" w14:textId="1453F382">
      <w:r w:rsidR="147095AF">
        <w:rPr/>
        <w:t>Microsoft's own Employee Self-Service Agent is a useful but bounded example: it reached over 300,000 employees and vendors in 103 countries, and in Europe North represented more than half of support interactions after six months. The stated 40% reduction in human-led tickets was an ambition, not a reported result; the implementation relied on about 250,000 vetted knowledge articles, localisation and escalation to people. [16] Kaseya's MSP survey found 55% had automated up to a quarter of their workload, 28% about half, and just 18% cited margin as a leading KPI improved by automation. [6] This supports an efficiency opportunity, not an automatic substitution rate for all Level-1 or Level-2 roles.</w:t>
      </w:r>
    </w:p>
    <w:tbl>
      <w:tblPr>
        <w:tblStyle w:val="TableGrid"/>
        <w:tblW w:w="0" w:type="auto"/>
        <w:tblLook w:val="04A0" w:firstRow="1" w:lastRow="0" w:firstColumn="1" w:lastColumn="0" w:noHBand="0" w:noVBand="1"/>
      </w:tblPr>
      <w:tblGrid>
        <w:gridCol w:w="3120"/>
        <w:gridCol w:w="3120"/>
        <w:gridCol w:w="3120"/>
      </w:tblGrid>
      <w:tr w:rsidR="147095AF" w:rsidTr="147095AF" w14:paraId="3C5B02FC">
        <w:trPr>
          <w:trHeight w:val="300"/>
        </w:trPr>
        <w:tc>
          <w:tcPr>
            <w:tcW w:w="3120" w:type="dxa"/>
            <w:tcMar/>
          </w:tcPr>
          <w:p w:rsidR="147095AF" w:rsidRDefault="147095AF" w14:noSpellErr="1" w14:paraId="7B4645CE" w14:textId="1A55B762">
            <w:r w:rsidR="147095AF">
              <w:rPr/>
              <w:t>Workflow / exposure judgement</w:t>
            </w:r>
          </w:p>
        </w:tc>
        <w:tc>
          <w:tcPr>
            <w:tcW w:w="3120" w:type="dxa"/>
            <w:tcMar/>
          </w:tcPr>
          <w:p w:rsidR="147095AF" w:rsidRDefault="147095AF" w14:noSpellErr="1" w14:paraId="3EE420BF" w14:textId="13339E26">
            <w:r w:rsidR="147095AF">
              <w:rPr/>
              <w:t>Likely bounded automation</w:t>
            </w:r>
          </w:p>
        </w:tc>
        <w:tc>
          <w:tcPr>
            <w:tcW w:w="3120" w:type="dxa"/>
            <w:tcMar/>
          </w:tcPr>
          <w:p w:rsidR="147095AF" w:rsidRDefault="147095AF" w14:noSpellErr="1" w14:paraId="3F5F8BFF" w14:textId="0C1184EA">
            <w:r w:rsidR="147095AF">
              <w:rPr/>
              <w:t>Human accountability and evidence</w:t>
            </w:r>
          </w:p>
        </w:tc>
      </w:tr>
      <w:tr w:rsidR="147095AF" w:rsidTr="147095AF" w14:paraId="25ACB72F">
        <w:tc>
          <w:tcPr>
            <w:tcW w:w="3120" w:type="dxa"/>
            <w:tcMar/>
          </w:tcPr>
          <w:p w:rsidR="147095AF" w:rsidRDefault="147095AF" w14:noSpellErr="1" w14:paraId="7323D856" w14:textId="2326E55F">
            <w:r w:rsidR="147095AF">
              <w:rPr/>
              <w:t>Level 1: common access and how-to / high</w:t>
            </w:r>
          </w:p>
        </w:tc>
        <w:tc>
          <w:tcPr>
            <w:tcW w:w="3120" w:type="dxa"/>
            <w:tcMar/>
          </w:tcPr>
          <w:p w:rsidR="147095AF" w:rsidRDefault="147095AF" w14:noSpellErr="1" w14:paraId="194E08F3" w14:textId="1C04CC23">
            <w:r w:rsidR="147095AF">
              <w:rPr/>
              <w:t>Knowledge retrieval, guided resets, ticket classification and self-service; test resolution, reopens and CSAT. [16, 23, 27]</w:t>
            </w:r>
          </w:p>
        </w:tc>
        <w:tc>
          <w:tcPr>
            <w:tcW w:w="3120" w:type="dxa"/>
            <w:tcMar/>
          </w:tcPr>
          <w:p w:rsidR="147095AF" w:rsidRDefault="147095AF" w14:noSpellErr="1" w14:paraId="66809E89" w14:textId="14E2B2E7">
            <w:r w:rsidR="147095AF">
              <w:rPr/>
              <w:t>Identity verification, accessibility, exceptions and escalation; vendor examples are not all-ticket replacement.</w:t>
            </w:r>
          </w:p>
        </w:tc>
      </w:tr>
      <w:tr w:rsidR="147095AF" w:rsidTr="147095AF" w14:paraId="165B5A1E">
        <w:tc>
          <w:tcPr>
            <w:tcW w:w="3120" w:type="dxa"/>
            <w:tcMar/>
          </w:tcPr>
          <w:p w:rsidR="147095AF" w:rsidRDefault="147095AF" w14:noSpellErr="1" w14:paraId="7FFB7D34" w14:textId="2BF8135C">
            <w:r w:rsidR="147095AF">
              <w:rPr/>
              <w:t>Level 2: diagnosis and change / medium</w:t>
            </w:r>
          </w:p>
        </w:tc>
        <w:tc>
          <w:tcPr>
            <w:tcW w:w="3120" w:type="dxa"/>
            <w:tcMar/>
          </w:tcPr>
          <w:p w:rsidR="147095AF" w:rsidRDefault="147095AF" w14:noSpellErr="1" w14:paraId="2C483DDB" w14:textId="24D5FA20">
            <w:r w:rsidR="147095AF">
              <w:rPr/>
              <w:t>Summarisation, logs, probable-cause retrieval and safe scripted remediation. [27, 28]</w:t>
            </w:r>
          </w:p>
        </w:tc>
        <w:tc>
          <w:tcPr>
            <w:tcW w:w="3120" w:type="dxa"/>
            <w:tcMar/>
          </w:tcPr>
          <w:p w:rsidR="147095AF" w:rsidRDefault="147095AF" w14:noSpellErr="1" w14:paraId="53C39601" w14:textId="1DB3E0E4">
            <w:r w:rsidR="147095AF">
              <w:rPr/>
              <w:t>Cross-system diagnosis, privileged change approval, rollback and root-cause ownership.</w:t>
            </w:r>
          </w:p>
        </w:tc>
      </w:tr>
      <w:tr w:rsidR="147095AF" w:rsidTr="147095AF" w14:paraId="23FAA0E9">
        <w:tc>
          <w:tcPr>
            <w:tcW w:w="3120" w:type="dxa"/>
            <w:tcMar/>
          </w:tcPr>
          <w:p w:rsidR="147095AF" w:rsidRDefault="147095AF" w14:noSpellErr="1" w14:paraId="3A16DF10" w14:textId="34C94159">
            <w:r w:rsidR="147095AF">
              <w:rPr/>
              <w:t>Monitoring and AIOps / high for triage</w:t>
            </w:r>
          </w:p>
        </w:tc>
        <w:tc>
          <w:tcPr>
            <w:tcW w:w="3120" w:type="dxa"/>
            <w:tcMar/>
          </w:tcPr>
          <w:p w:rsidR="147095AF" w:rsidRDefault="147095AF" w14:noSpellErr="1" w14:paraId="71E54879" w14:textId="2DA7281D">
            <w:r w:rsidR="147095AF">
              <w:rPr/>
              <w:t>Alert deduplication, anomaly ranking, automated runbooks and capacity signals. [12, 19, 21]</w:t>
            </w:r>
          </w:p>
        </w:tc>
        <w:tc>
          <w:tcPr>
            <w:tcW w:w="3120" w:type="dxa"/>
            <w:tcMar/>
          </w:tcPr>
          <w:p w:rsidR="147095AF" w:rsidRDefault="147095AF" w14:noSpellErr="1" w14:paraId="46A2220C" w14:textId="26850EE1">
            <w:r w:rsidR="147095AF">
              <w:rPr/>
              <w:t>Signal quality, false positives, production changes and service-level accountability.</w:t>
            </w:r>
          </w:p>
        </w:tc>
      </w:tr>
      <w:tr w:rsidR="147095AF" w:rsidTr="147095AF" w14:paraId="754F5BF5">
        <w:tc>
          <w:tcPr>
            <w:tcW w:w="3120" w:type="dxa"/>
            <w:tcMar/>
          </w:tcPr>
          <w:p w:rsidR="147095AF" w:rsidRDefault="147095AF" w14:noSpellErr="1" w14:paraId="4880DF76" w14:textId="3D9A6F56">
            <w:r w:rsidR="147095AF">
              <w:rPr/>
              <w:t>Documentation / high for drafting</w:t>
            </w:r>
          </w:p>
        </w:tc>
        <w:tc>
          <w:tcPr>
            <w:tcW w:w="3120" w:type="dxa"/>
            <w:tcMar/>
          </w:tcPr>
          <w:p w:rsidR="147095AF" w:rsidRDefault="147095AF" w14:noSpellErr="1" w14:paraId="28DCDEE2" w14:textId="3678561A">
            <w:r w:rsidR="147095AF">
              <w:rPr/>
              <w:t>Incident summaries, knowledge article first drafts, asset reconciliation and runbook suggestions. [16, 27]</w:t>
            </w:r>
          </w:p>
        </w:tc>
        <w:tc>
          <w:tcPr>
            <w:tcW w:w="3120" w:type="dxa"/>
            <w:tcMar/>
          </w:tcPr>
          <w:p w:rsidR="147095AF" w:rsidRDefault="147095AF" w14:noSpellErr="1" w14:paraId="65C055ED" w14:textId="2F563CDE">
            <w:r w:rsidR="147095AF">
              <w:rPr/>
              <w:t>Source curation, review, access control, freshness and approved final record.</w:t>
            </w:r>
          </w:p>
        </w:tc>
      </w:tr>
      <w:tr w:rsidR="147095AF" w:rsidTr="147095AF" w14:paraId="34CCECB6">
        <w:tc>
          <w:tcPr>
            <w:tcW w:w="3120" w:type="dxa"/>
            <w:tcMar/>
          </w:tcPr>
          <w:p w:rsidR="147095AF" w:rsidRDefault="147095AF" w14:noSpellErr="1" w14:paraId="74A99C41" w14:textId="466B9D53">
            <w:r w:rsidR="147095AF">
              <w:rPr/>
              <w:t>Onboarding and provisioning / medium-high</w:t>
            </w:r>
          </w:p>
        </w:tc>
        <w:tc>
          <w:tcPr>
            <w:tcW w:w="3120" w:type="dxa"/>
            <w:tcMar/>
          </w:tcPr>
          <w:p w:rsidR="147095AF" w:rsidRDefault="147095AF" w14:noSpellErr="1" w14:paraId="5C5CC3E4" w14:textId="3F498417">
            <w:r w:rsidR="147095AF">
              <w:rPr/>
              <w:t>Workflow-based standard accounts, devices, licences and policy checks. [12, 16]</w:t>
            </w:r>
          </w:p>
        </w:tc>
        <w:tc>
          <w:tcPr>
            <w:tcW w:w="3120" w:type="dxa"/>
            <w:tcMar/>
          </w:tcPr>
          <w:p w:rsidR="147095AF" w:rsidRDefault="147095AF" w14:noSpellErr="1" w14:paraId="14BF5AD8" w14:textId="38276ADB">
            <w:r w:rsidR="147095AF">
              <w:rPr/>
              <w:t>Role design, segregation of duties, exceptions, identity and privacy controls.</w:t>
            </w:r>
          </w:p>
        </w:tc>
      </w:tr>
      <w:tr w:rsidR="147095AF" w:rsidTr="147095AF" w14:paraId="7D6A5842">
        <w:tc>
          <w:tcPr>
            <w:tcW w:w="3120" w:type="dxa"/>
            <w:tcMar/>
          </w:tcPr>
          <w:p w:rsidR="147095AF" w:rsidRDefault="147095AF" w14:noSpellErr="1" w14:paraId="29F4AE4F" w14:textId="4F3CCB50">
            <w:r w:rsidR="147095AF">
              <w:rPr/>
              <w:t>User training and adoption / medium</w:t>
            </w:r>
          </w:p>
        </w:tc>
        <w:tc>
          <w:tcPr>
            <w:tcW w:w="3120" w:type="dxa"/>
            <w:tcMar/>
          </w:tcPr>
          <w:p w:rsidR="147095AF" w:rsidRDefault="147095AF" w14:noSpellErr="1" w14:paraId="564B3B0A" w14:textId="481AB214">
            <w:r w:rsidR="147095AF">
              <w:rPr/>
              <w:t>Contextual help, self-service learning and Copilot guidance. [12, 16]</w:t>
            </w:r>
          </w:p>
        </w:tc>
        <w:tc>
          <w:tcPr>
            <w:tcW w:w="3120" w:type="dxa"/>
            <w:tcMar/>
          </w:tcPr>
          <w:p w:rsidR="147095AF" w:rsidRDefault="147095AF" w14:noSpellErr="1" w14:paraId="381D7F26" w14:textId="40F898D8">
            <w:r w:rsidR="147095AF">
              <w:rPr/>
              <w:t>Business-process redesign, feedback, inclusion and verified user competence.</w:t>
            </w:r>
          </w:p>
        </w:tc>
      </w:tr>
      <w:tr w:rsidR="147095AF" w:rsidTr="147095AF" w14:paraId="6058783E">
        <w:tc>
          <w:tcPr>
            <w:tcW w:w="3120" w:type="dxa"/>
            <w:tcMar/>
          </w:tcPr>
          <w:p w:rsidR="147095AF" w:rsidRDefault="147095AF" w14:noSpellErr="1" w14:paraId="117B133A" w14:textId="580DF94D">
            <w:r w:rsidR="147095AF">
              <w:rPr/>
              <w:t>Security operations / medium-high for triage</w:t>
            </w:r>
          </w:p>
        </w:tc>
        <w:tc>
          <w:tcPr>
            <w:tcW w:w="3120" w:type="dxa"/>
            <w:tcMar/>
          </w:tcPr>
          <w:p w:rsidR="147095AF" w:rsidRDefault="147095AF" w14:noSpellErr="1" w14:paraId="4EDB8A9C" w14:textId="50EBE011">
            <w:r w:rsidR="147095AF">
              <w:rPr/>
              <w:t>Phish classification, alert summaries, access reviews and guided response. [13, 21, 32]</w:t>
            </w:r>
          </w:p>
        </w:tc>
        <w:tc>
          <w:tcPr>
            <w:tcW w:w="3120" w:type="dxa"/>
            <w:tcMar/>
          </w:tcPr>
          <w:p w:rsidR="147095AF" w:rsidRDefault="147095AF" w14:noSpellErr="1" w14:paraId="2B16FE5C" w14:textId="49C9C6D5">
            <w:r w:rsidR="147095AF">
              <w:rPr/>
              <w:t>24/7 response authority, threat hunting, adversarial validation and incident command.</w:t>
            </w:r>
          </w:p>
        </w:tc>
      </w:tr>
      <w:tr w:rsidR="147095AF" w:rsidTr="147095AF" w14:paraId="300D1FEB">
        <w:tc>
          <w:tcPr>
            <w:tcW w:w="3120" w:type="dxa"/>
            <w:tcMar/>
          </w:tcPr>
          <w:p w:rsidR="147095AF" w:rsidRDefault="147095AF" w14:noSpellErr="1" w14:paraId="777C663B" w14:textId="60DF274A">
            <w:r w:rsidR="147095AF">
              <w:rPr/>
              <w:t>Compliance and AI governance / medium</w:t>
            </w:r>
          </w:p>
        </w:tc>
        <w:tc>
          <w:tcPr>
            <w:tcW w:w="3120" w:type="dxa"/>
            <w:tcMar/>
          </w:tcPr>
          <w:p w:rsidR="147095AF" w:rsidRDefault="147095AF" w14:noSpellErr="1" w14:paraId="2EF5B5FB" w14:textId="59BD0E0E">
            <w:r w:rsidR="147095AF">
              <w:rPr/>
              <w:t>Evidence collection, agent inventory, policy testing and cost observation. [12, 13, 45]</w:t>
            </w:r>
          </w:p>
        </w:tc>
        <w:tc>
          <w:tcPr>
            <w:tcW w:w="3120" w:type="dxa"/>
            <w:tcMar/>
          </w:tcPr>
          <w:p w:rsidR="147095AF" w:rsidRDefault="147095AF" w14:noSpellErr="1" w14:paraId="2635B0FA" w14:textId="529AF4D2">
            <w:r w:rsidR="147095AF">
              <w:rPr/>
              <w:t>Legal interpretation, risk acceptance, audit sign-off and accountability.</w:t>
            </w:r>
          </w:p>
        </w:tc>
      </w:tr>
    </w:tbl>
    <w:p w:rsidR="147095AF" w:rsidRDefault="147095AF" w14:noSpellErr="1" w14:paraId="266C58D3" w14:textId="70F74574">
      <w:r w:rsidR="147095AF">
        <w:rPr/>
        <w:t>The exposure judgements in this matrix are analytical, not measured displacement percentages. The highest near-term automation potential is in repeatable, well-documented, low-privilege workflows; it falls as context, irreversible action, access rights and customer harm increase. The customer-service experiment found a 15% average productivity lift and larger gains for less-experienced agents, but it was a single firm's chat-based support, not a managed-service P&amp;L. [27] A later METR update cautioned that its early-2025 finding of slower experienced developers no longer represented current tools and that newer estimates suffered selection bias; point estimates from fast-changing software tasks should not be imported into MSP staffing plans. [28]</w:t>
      </w:r>
    </w:p>
    <w:p w:rsidR="147095AF" w:rsidP="147095AF" w:rsidRDefault="147095AF" w14:noSpellErr="1" w14:paraId="2D48C51B" w14:textId="743C8A70">
      <w:pPr>
        <w:pStyle w:val="Heading2"/>
        <w:numPr>
          <w:ilvl w:val="0"/>
          <w:numId w:val="0"/>
        </w:numPr>
      </w:pPr>
      <w:r w:rsidRPr="147095AF" w:rsidR="147095AF">
        <w:rPr>
          <w:color w:val="14617D" w:themeColor="accent6" w:themeTint="FF" w:themeShade="FF"/>
        </w:rPr>
        <w:t>Financial and organisational consequences</w:t>
      </w:r>
    </w:p>
    <w:p w:rsidR="147095AF" w:rsidRDefault="147095AF" w14:noSpellErr="1" w14:paraId="7196A8A4" w14:textId="50BB935C">
      <w:r w:rsidR="147095AF">
        <w:rPr/>
        <w:t>Best case for an incumbent: the provider owns a clean knowledge base, high-volume bounded workflows and contractual rights to retain a fair share of productivity; AI reduces cost per resolved issue while technicians are redeployed to security and transformation. The 2030 AI-defensive case demonstrates that even a large gross-margin lift can merely offset price and overhead pressure if no new offer is sold. Worst case: price falls before labour cost is removed, model/compute consumption sits inside a fixed fee, errors create rework or cyber exposure, and the buyer regards the platform feature as a substitute for MSP labour. [4, 9, 13, 16, 24] Neither case treats AI as free or perfectly reliable.</w:t>
      </w:r>
    </w:p>
    <w:p w:rsidR="147095AF" w:rsidRDefault="147095AF" w14:noSpellErr="1" w14:paraId="792F8423" w14:textId="14A3AD79">
      <w:r w:rsidR="147095AF">
        <w:rPr/>
        <w:t>For staffing, Gartner found only 20% of surveyed customer-service leaders had cut agents because of AI, 55% held staffing flat while handling more volume, and 42% hired AI-focused roles. [25] Kaseya respondents more often cited improved first response (35%) and technician efficiency (32%) than margin (18%). [6] A provider should therefore plan for fewer hours per standard ticket and higher service span, but retain escalation capacity, formal knowledge ownership, model evaluation, security engineering and customer success. Whether headcount declines depends on demand, contract price, utilisation and new-service growth, not on automation share alone.</w:t>
      </w:r>
    </w:p>
    <w:p w:rsidR="147095AF" w:rsidRDefault="147095AF" w14:noSpellErr="1" w14:paraId="1ED1B56D" w14:textId="28A61AF5">
      <w:r w:rsidR="147095AF">
        <w:rPr/>
        <w:t>There is a longer-run labour-pipeline risk. Stanford's August 2026 payroll analysis found no economy-wide displacement, but employment of 22–25-year-olds in AI-exposed occupations was 19% below a less-exposed peer trend, mostly through reduced hiring; its authors call the result descriptive, not causal. [31] MSPs that eliminate every junior position may erode the apprenticeship path needed for Level-2, architecture and incident response. BLS still projects roughly 48,700 annual openings for computer-support specialists from replacement over 2025–35 despite a 3% employment decline. [29] Train juniors on exception review, identity, security and business processes rather than simply shrinking the entry cohort.</w:t>
      </w:r>
    </w:p>
    <w:p w:rsidR="147095AF" w:rsidP="147095AF" w:rsidRDefault="147095AF" w14:noSpellErr="1" w14:paraId="17E42B0E" w14:textId="25ED150A">
      <w:pPr>
        <w:pStyle w:val="Heading1"/>
        <w:numPr>
          <w:ilvl w:val="0"/>
          <w:numId w:val="0"/>
        </w:numPr>
      </w:pPr>
      <w:r w:rsidRPr="147095AF" w:rsidR="147095AF">
        <w:rPr>
          <w:color w:val="14617D" w:themeColor="accent6" w:themeTint="FF" w:themeShade="FF"/>
        </w:rPr>
        <w:t>Future Industry Scenarios</w:t>
      </w:r>
    </w:p>
    <w:p w:rsidR="147095AF" w:rsidRDefault="147095AF" w14:noSpellErr="1" w14:paraId="4A7790C4" w14:textId="644D14AC">
      <w:r w:rsidR="147095AF">
        <w:rPr/>
        <w:t>By 2030, 'viable' depends on the unit of analysis. The channel can thrive even as a particular labour-heavy offer loses pricing power; individual firms can retain high margins if they automate and own the customer's risk and change outcomes. The scenario tree below tests the pivotal uncertainties rather than averaging incompatible market forecasts. [1, 3, 4, 6, 24, 33]</w:t>
      </w:r>
    </w:p>
    <w:tbl>
      <w:tblPr>
        <w:tblStyle w:val="TableGrid"/>
        <w:tblW w:w="0" w:type="auto"/>
        <w:tblLook w:val="04A0" w:firstRow="1" w:lastRow="0" w:firstColumn="1" w:lastColumn="0" w:noHBand="0" w:noVBand="1"/>
      </w:tblPr>
      <w:tblGrid>
        <w:gridCol w:w="2340"/>
        <w:gridCol w:w="2340"/>
        <w:gridCol w:w="2340"/>
        <w:gridCol w:w="2340"/>
      </w:tblGrid>
      <w:tr w:rsidR="147095AF" w:rsidTr="147095AF" w14:paraId="1FD05103">
        <w:trPr>
          <w:trHeight w:val="300"/>
        </w:trPr>
        <w:tc>
          <w:tcPr>
            <w:tcW w:w="2340" w:type="dxa"/>
            <w:tcMar/>
          </w:tcPr>
          <w:p w:rsidR="147095AF" w:rsidRDefault="147095AF" w14:noSpellErr="1" w14:paraId="69D0D439" w14:textId="5D1B3790">
            <w:r w:rsidR="147095AF">
              <w:rPr/>
              <w:t>2030 case</w:t>
            </w:r>
          </w:p>
        </w:tc>
        <w:tc>
          <w:tcPr>
            <w:tcW w:w="2340" w:type="dxa"/>
            <w:tcMar/>
          </w:tcPr>
          <w:p w:rsidR="147095AF" w:rsidRDefault="147095AF" w14:noSpellErr="1" w14:paraId="48E7CD17" w14:textId="55F91E54">
            <w:r w:rsidR="147095AF">
              <w:rPr/>
              <w:t>What must be true</w:t>
            </w:r>
          </w:p>
        </w:tc>
        <w:tc>
          <w:tcPr>
            <w:tcW w:w="2340" w:type="dxa"/>
            <w:tcMar/>
          </w:tcPr>
          <w:p w:rsidR="147095AF" w:rsidRDefault="147095AF" w14:noSpellErr="1" w14:paraId="4C8F54F8" w14:textId="4ED70518">
            <w:r w:rsidR="147095AF">
              <w:rPr/>
              <w:t>MSP/TSP outcome</w:t>
            </w:r>
          </w:p>
        </w:tc>
        <w:tc>
          <w:tcPr>
            <w:tcW w:w="2340" w:type="dxa"/>
            <w:tcMar/>
          </w:tcPr>
          <w:p w:rsidR="147095AF" w:rsidRDefault="147095AF" w14:noSpellErr="1" w14:paraId="6CC90C79" w14:textId="47B4EBDC">
            <w:r w:rsidR="147095AF">
              <w:rPr/>
              <w:t>Evidence and falsifying signal</w:t>
            </w:r>
          </w:p>
        </w:tc>
      </w:tr>
      <w:tr w:rsidR="147095AF" w:rsidTr="147095AF" w14:paraId="419C55EC">
        <w:tc>
          <w:tcPr>
            <w:tcW w:w="2340" w:type="dxa"/>
            <w:tcMar/>
          </w:tcPr>
          <w:p w:rsidR="147095AF" w:rsidRDefault="147095AF" w14:noSpellErr="1" w14:paraId="38F040E1" w14:textId="5ECA4C51">
            <w:r w:rsidR="147095AF">
              <w:rPr/>
              <w:t>Bull: complementarity dominates</w:t>
            </w:r>
          </w:p>
        </w:tc>
        <w:tc>
          <w:tcPr>
            <w:tcW w:w="2340" w:type="dxa"/>
            <w:tcMar/>
          </w:tcPr>
          <w:p w:rsidR="147095AF" w:rsidRDefault="147095AF" w14:noSpellErr="1" w14:paraId="58760F5C" w14:textId="57A83315">
            <w:r w:rsidR="147095AF">
              <w:rPr/>
              <w:t>MSPs retain automation savings; demand for integration/security expands; partners mediate marketplace buying.</w:t>
            </w:r>
          </w:p>
        </w:tc>
        <w:tc>
          <w:tcPr>
            <w:tcW w:w="2340" w:type="dxa"/>
            <w:tcMar/>
          </w:tcPr>
          <w:p w:rsidR="147095AF" w:rsidRDefault="147095AF" w14:noSpellErr="1" w14:paraId="6C3BBBA4" w14:textId="508619D9">
            <w:r w:rsidR="147095AF">
              <w:rPr/>
              <w:t>Channel and many adapted generalists grow; a scoped per-seat fee remains useful alongside outcome charges.</w:t>
            </w:r>
          </w:p>
        </w:tc>
        <w:tc>
          <w:tcPr>
            <w:tcW w:w="2340" w:type="dxa"/>
            <w:tcMar/>
          </w:tcPr>
          <w:p w:rsidR="147095AF" w:rsidRDefault="147095AF" w14:noSpellErr="1" w14:paraId="57453CBB" w14:textId="4964009D">
            <w:r w:rsidR="147095AF">
              <w:rPr/>
              <w:t>2025 MSP revenue +9.6%; partner marketplace share forecast near 60%. [1, 33] Falsified by sustained negative recurring gross profit per client.</w:t>
            </w:r>
          </w:p>
        </w:tc>
      </w:tr>
      <w:tr w:rsidR="147095AF" w:rsidTr="147095AF" w14:paraId="28C785B7">
        <w:tc>
          <w:tcPr>
            <w:tcW w:w="2340" w:type="dxa"/>
            <w:tcMar/>
          </w:tcPr>
          <w:p w:rsidR="147095AF" w:rsidRDefault="147095AF" w14:noSpellErr="1" w14:paraId="2DF9C6BB" w14:textId="60796112">
            <w:r w:rsidR="147095AF">
              <w:rPr/>
              <w:t>Base: bifurcation and repricing</w:t>
            </w:r>
          </w:p>
        </w:tc>
        <w:tc>
          <w:tcPr>
            <w:tcW w:w="2340" w:type="dxa"/>
            <w:tcMar/>
          </w:tcPr>
          <w:p w:rsidR="147095AF" w:rsidRDefault="147095AF" w14:noSpellErr="1" w14:paraId="1F9E4447" w14:textId="595747D6">
            <w:r w:rsidR="147095AF">
              <w:rPr/>
              <w:t>Routine tasks automate unevenly; vendor bundles absorb some value; specialist security and governance win differentiated fees.</w:t>
            </w:r>
          </w:p>
        </w:tc>
        <w:tc>
          <w:tcPr>
            <w:tcW w:w="2340" w:type="dxa"/>
            <w:tcMar/>
          </w:tcPr>
          <w:p w:rsidR="147095AF" w:rsidRDefault="147095AF" w14:noSpellErr="1" w14:paraId="1E938685" w14:textId="52352E9A">
            <w:r w:rsidR="147095AF">
              <w:rPr/>
              <w:t>Channel viable; unchanged help-desk/device generalists underperform, transform or sell.</w:t>
            </w:r>
          </w:p>
        </w:tc>
        <w:tc>
          <w:tcPr>
            <w:tcW w:w="2340" w:type="dxa"/>
            <w:tcMar/>
          </w:tcPr>
          <w:p w:rsidR="147095AF" w:rsidRDefault="147095AF" w14:noSpellErr="1" w14:paraId="4F1B85BE" w14:textId="4B13155E">
            <w:r w:rsidR="147095AF">
              <w:rPr/>
              <w:t>ISG managed ACV +2.7% vs XaaS +65%; 18% loss-making in one MSP quarter; cyber spend grows. [4, 2, 22]</w:t>
            </w:r>
          </w:p>
        </w:tc>
      </w:tr>
      <w:tr w:rsidR="147095AF" w:rsidTr="147095AF" w14:paraId="7CFDB72E">
        <w:tc>
          <w:tcPr>
            <w:tcW w:w="2340" w:type="dxa"/>
            <w:tcMar/>
          </w:tcPr>
          <w:p w:rsidR="147095AF" w:rsidRDefault="147095AF" w14:noSpellErr="1" w14:paraId="239C885C" w14:textId="622875D3">
            <w:r w:rsidR="147095AF">
              <w:rPr/>
              <w:t>Bear: disintermediation accelerates</w:t>
            </w:r>
          </w:p>
        </w:tc>
        <w:tc>
          <w:tcPr>
            <w:tcW w:w="2340" w:type="dxa"/>
            <w:tcMar/>
          </w:tcPr>
          <w:p w:rsidR="147095AF" w:rsidRDefault="147095AF" w14:noSpellErr="1" w14:paraId="4D782FC4" w14:textId="5B065C97">
            <w:r w:rsidR="147095AF">
              <w:rPr/>
              <w:t>Reliable low-cost agents, native security and direct buying compress prices before labour and AI cost can be reset.</w:t>
            </w:r>
          </w:p>
        </w:tc>
        <w:tc>
          <w:tcPr>
            <w:tcW w:w="2340" w:type="dxa"/>
            <w:tcMar/>
          </w:tcPr>
          <w:p w:rsidR="147095AF" w:rsidRDefault="147095AF" w14:noSpellErr="1" w14:paraId="3C5ED678" w14:textId="53E4435B">
            <w:r w:rsidR="147095AF">
              <w:rPr/>
              <w:t>Sub-scale generalists lose margin and saleability; consolidation and exits accelerate.</w:t>
            </w:r>
          </w:p>
        </w:tc>
        <w:tc>
          <w:tcPr>
            <w:tcW w:w="2340" w:type="dxa"/>
            <w:tcMar/>
          </w:tcPr>
          <w:p w:rsidR="147095AF" w:rsidRDefault="147095AF" w14:noSpellErr="1" w14:paraId="769970FB" w14:textId="4CC22A1F">
            <w:r w:rsidR="147095AF">
              <w:rPr/>
              <w:t>Watch repeatable autonomous resolution, contract deflation, MSP loss rates and vendor direct-service take-up. [4, 12, 13, 19, 24]</w:t>
            </w:r>
          </w:p>
        </w:tc>
      </w:tr>
    </w:tbl>
    <w:p w:rsidR="147095AF" w:rsidP="147095AF" w:rsidRDefault="147095AF" w14:noSpellErr="1" w14:paraId="7D517F52" w14:textId="5075EC1E">
      <w:pPr>
        <w:pStyle w:val="Heading2"/>
        <w:numPr>
          <w:ilvl w:val="0"/>
          <w:numId w:val="0"/>
        </w:numPr>
      </w:pPr>
      <w:r w:rsidRPr="147095AF" w:rsidR="147095AF">
        <w:rPr>
          <w:color w:val="14617D" w:themeColor="accent6" w:themeTint="FF" w:themeShade="FF"/>
        </w:rPr>
        <w:t>A bounded population judgement, not a measured failure forecast</w:t>
      </w:r>
    </w:p>
    <w:p w:rsidR="147095AF" w:rsidRDefault="147095AF" w14:noSpellErr="1" w14:paraId="25F98EE3" w14:textId="26EC13C7">
      <w:r w:rsidR="147095AF">
        <w:rPr/>
        <w:t>No published cohort study located here estimates what fraction of today's MSPs will struggle, be acquired, transform or cease trading by 2035. A quarterly loss rate (18% in one Service Leadership sample) is not a nine-year failure probability; a deal count is not an acquisition probability. [2, 1] To answer the planning question without pretending to statistical precision, the following mutually exclusive endpoint allocations are analyst judgements for a hypothetical starting population of 100 incumbent providers. 'Transformed' means still independent with a material security, governance, data or AI service mix; 'consolidated' means acquired or merged regardless of capability; 'struggling' means still independent but persistently low-return; 'closed' means no longer operating. They are not a market forecast and should not be used as an investment base rate.</w:t>
      </w:r>
    </w:p>
    <w:tbl>
      <w:tblPr>
        <w:tblStyle w:val="TableGrid"/>
        <w:tblW w:w="0" w:type="auto"/>
        <w:tblLook w:val="04A0" w:firstRow="1" w:lastRow="0" w:firstColumn="1" w:lastColumn="0" w:noHBand="0" w:noVBand="1"/>
      </w:tblPr>
      <w:tblGrid>
        <w:gridCol w:w="1872"/>
        <w:gridCol w:w="1872"/>
        <w:gridCol w:w="1872"/>
        <w:gridCol w:w="1872"/>
        <w:gridCol w:w="1872"/>
      </w:tblGrid>
      <w:tr w:rsidR="147095AF" w:rsidTr="147095AF" w14:paraId="134D9FC5">
        <w:trPr>
          <w:trHeight w:val="300"/>
        </w:trPr>
        <w:tc>
          <w:tcPr>
            <w:tcW w:w="1872" w:type="dxa"/>
            <w:tcMar/>
          </w:tcPr>
          <w:p w:rsidR="147095AF" w:rsidRDefault="147095AF" w14:noSpellErr="1" w14:paraId="2F0EEC5A" w14:textId="73CAD1CD">
            <w:r w:rsidR="147095AF">
              <w:rPr/>
              <w:t>2035 planning case (% of today's firms)</w:t>
            </w:r>
          </w:p>
        </w:tc>
        <w:tc>
          <w:tcPr>
            <w:tcW w:w="1872" w:type="dxa"/>
            <w:tcMar/>
          </w:tcPr>
          <w:p w:rsidR="147095AF" w:rsidRDefault="147095AF" w14:noSpellErr="1" w14:paraId="6004EDEB" w14:textId="6CA8B891">
            <w:r w:rsidR="147095AF">
              <w:rPr/>
              <w:t>Independent transformed</w:t>
            </w:r>
          </w:p>
        </w:tc>
        <w:tc>
          <w:tcPr>
            <w:tcW w:w="1872" w:type="dxa"/>
            <w:tcMar/>
          </w:tcPr>
          <w:p w:rsidR="147095AF" w:rsidRDefault="147095AF" w14:noSpellErr="1" w14:paraId="51E1897A" w14:textId="65869F55">
            <w:r w:rsidR="147095AF">
              <w:rPr/>
              <w:t>Consolidated / merged</w:t>
            </w:r>
          </w:p>
        </w:tc>
        <w:tc>
          <w:tcPr>
            <w:tcW w:w="1872" w:type="dxa"/>
            <w:tcMar/>
          </w:tcPr>
          <w:p w:rsidR="147095AF" w:rsidRDefault="147095AF" w14:noSpellErr="1" w14:paraId="3BCB56D7" w14:textId="5E648619">
            <w:r w:rsidR="147095AF">
              <w:rPr/>
              <w:t>Independent struggling</w:t>
            </w:r>
          </w:p>
        </w:tc>
        <w:tc>
          <w:tcPr>
            <w:tcW w:w="1872" w:type="dxa"/>
            <w:tcMar/>
          </w:tcPr>
          <w:p w:rsidR="147095AF" w:rsidRDefault="147095AF" w14:noSpellErr="1" w14:paraId="1048817C" w14:textId="57426CDD">
            <w:r w:rsidR="147095AF">
              <w:rPr/>
              <w:t>Closed / disappeared</w:t>
            </w:r>
          </w:p>
        </w:tc>
      </w:tr>
      <w:tr w:rsidR="147095AF" w:rsidTr="147095AF" w14:paraId="2348993A">
        <w:tc>
          <w:tcPr>
            <w:tcW w:w="1872" w:type="dxa"/>
            <w:tcMar/>
          </w:tcPr>
          <w:p w:rsidR="147095AF" w:rsidRDefault="147095AF" w14:noSpellErr="1" w14:paraId="33D1244C" w14:textId="6E57CD52">
            <w:r w:rsidR="147095AF">
              <w:rPr/>
              <w:t>Bull allocation</w:t>
            </w:r>
          </w:p>
        </w:tc>
        <w:tc>
          <w:tcPr>
            <w:tcW w:w="1872" w:type="dxa"/>
            <w:tcMar/>
          </w:tcPr>
          <w:p w:rsidR="147095AF" w:rsidRDefault="147095AF" w14:noSpellErr="1" w14:paraId="4477E653" w14:textId="6735B416">
            <w:r w:rsidR="147095AF">
              <w:rPr/>
              <w:t>40%</w:t>
            </w:r>
          </w:p>
        </w:tc>
        <w:tc>
          <w:tcPr>
            <w:tcW w:w="1872" w:type="dxa"/>
            <w:tcMar/>
          </w:tcPr>
          <w:p w:rsidR="147095AF" w:rsidRDefault="147095AF" w14:noSpellErr="1" w14:paraId="278E67F2" w14:textId="60139ADA">
            <w:r w:rsidR="147095AF">
              <w:rPr/>
              <w:t>25%</w:t>
            </w:r>
          </w:p>
        </w:tc>
        <w:tc>
          <w:tcPr>
            <w:tcW w:w="1872" w:type="dxa"/>
            <w:tcMar/>
          </w:tcPr>
          <w:p w:rsidR="147095AF" w:rsidRDefault="147095AF" w14:noSpellErr="1" w14:paraId="2229971C" w14:textId="58F1819E">
            <w:r w:rsidR="147095AF">
              <w:rPr/>
              <w:t>30%</w:t>
            </w:r>
          </w:p>
        </w:tc>
        <w:tc>
          <w:tcPr>
            <w:tcW w:w="1872" w:type="dxa"/>
            <w:tcMar/>
          </w:tcPr>
          <w:p w:rsidR="147095AF" w:rsidRDefault="147095AF" w14:noSpellErr="1" w14:paraId="7AA3973A" w14:textId="51CF6862">
            <w:r w:rsidR="147095AF">
              <w:rPr/>
              <w:t>5%</w:t>
            </w:r>
          </w:p>
        </w:tc>
      </w:tr>
      <w:tr w:rsidR="147095AF" w:rsidTr="147095AF" w14:paraId="1998AF03">
        <w:tc>
          <w:tcPr>
            <w:tcW w:w="1872" w:type="dxa"/>
            <w:tcMar/>
          </w:tcPr>
          <w:p w:rsidR="147095AF" w:rsidRDefault="147095AF" w14:noSpellErr="1" w14:paraId="722D34E9" w14:textId="68E4C8D7">
            <w:r w:rsidR="147095AF">
              <w:rPr/>
              <w:t>Base allocation</w:t>
            </w:r>
          </w:p>
        </w:tc>
        <w:tc>
          <w:tcPr>
            <w:tcW w:w="1872" w:type="dxa"/>
            <w:tcMar/>
          </w:tcPr>
          <w:p w:rsidR="147095AF" w:rsidRDefault="147095AF" w14:noSpellErr="1" w14:paraId="5F710299" w14:textId="61C2AF9B">
            <w:r w:rsidR="147095AF">
              <w:rPr/>
              <w:t>30%</w:t>
            </w:r>
          </w:p>
        </w:tc>
        <w:tc>
          <w:tcPr>
            <w:tcW w:w="1872" w:type="dxa"/>
            <w:tcMar/>
          </w:tcPr>
          <w:p w:rsidR="147095AF" w:rsidRDefault="147095AF" w14:noSpellErr="1" w14:paraId="4CD96D3B" w14:textId="5AA0965F">
            <w:r w:rsidR="147095AF">
              <w:rPr/>
              <w:t>30%</w:t>
            </w:r>
          </w:p>
        </w:tc>
        <w:tc>
          <w:tcPr>
            <w:tcW w:w="1872" w:type="dxa"/>
            <w:tcMar/>
          </w:tcPr>
          <w:p w:rsidR="147095AF" w:rsidRDefault="147095AF" w14:noSpellErr="1" w14:paraId="7705C53F" w14:textId="537E7D23">
            <w:r w:rsidR="147095AF">
              <w:rPr/>
              <w:t>30%</w:t>
            </w:r>
          </w:p>
        </w:tc>
        <w:tc>
          <w:tcPr>
            <w:tcW w:w="1872" w:type="dxa"/>
            <w:tcMar/>
          </w:tcPr>
          <w:p w:rsidR="147095AF" w:rsidRDefault="147095AF" w14:noSpellErr="1" w14:paraId="52FC4CCE" w14:textId="4C5C63E7">
            <w:r w:rsidR="147095AF">
              <w:rPr/>
              <w:t>10%</w:t>
            </w:r>
          </w:p>
        </w:tc>
      </w:tr>
      <w:tr w:rsidR="147095AF" w:rsidTr="147095AF" w14:paraId="59020C80">
        <w:tc>
          <w:tcPr>
            <w:tcW w:w="1872" w:type="dxa"/>
            <w:tcMar/>
          </w:tcPr>
          <w:p w:rsidR="147095AF" w:rsidRDefault="147095AF" w14:noSpellErr="1" w14:paraId="12CC228E" w14:textId="6371C45C">
            <w:r w:rsidR="147095AF">
              <w:rPr/>
              <w:t>Bear allocation</w:t>
            </w:r>
          </w:p>
        </w:tc>
        <w:tc>
          <w:tcPr>
            <w:tcW w:w="1872" w:type="dxa"/>
            <w:tcMar/>
          </w:tcPr>
          <w:p w:rsidR="147095AF" w:rsidRDefault="147095AF" w14:noSpellErr="1" w14:paraId="69E0B661" w14:textId="5C4FAB20">
            <w:r w:rsidR="147095AF">
              <w:rPr/>
              <w:t>20%</w:t>
            </w:r>
          </w:p>
        </w:tc>
        <w:tc>
          <w:tcPr>
            <w:tcW w:w="1872" w:type="dxa"/>
            <w:tcMar/>
          </w:tcPr>
          <w:p w:rsidR="147095AF" w:rsidRDefault="147095AF" w14:noSpellErr="1" w14:paraId="1505419D" w14:textId="552D91E4">
            <w:r w:rsidR="147095AF">
              <w:rPr/>
              <w:t>40%</w:t>
            </w:r>
          </w:p>
        </w:tc>
        <w:tc>
          <w:tcPr>
            <w:tcW w:w="1872" w:type="dxa"/>
            <w:tcMar/>
          </w:tcPr>
          <w:p w:rsidR="147095AF" w:rsidRDefault="147095AF" w14:noSpellErr="1" w14:paraId="3809A9FA" w14:textId="4E0B78A8">
            <w:r w:rsidR="147095AF">
              <w:rPr/>
              <w:t>25%</w:t>
            </w:r>
          </w:p>
        </w:tc>
        <w:tc>
          <w:tcPr>
            <w:tcW w:w="1872" w:type="dxa"/>
            <w:tcMar/>
          </w:tcPr>
          <w:p w:rsidR="147095AF" w:rsidRDefault="147095AF" w14:noSpellErr="1" w14:paraId="52D338BB" w14:textId="46E95F6C">
            <w:r w:rsidR="147095AF">
              <w:rPr/>
              <w:t>15%</w:t>
            </w:r>
          </w:p>
        </w:tc>
      </w:tr>
    </w:tbl>
    <w:p w:rsidR="147095AF" w:rsidRDefault="147095AF" w14:noSpellErr="1" w14:paraId="36B6B667" w14:textId="76171488">
      <w:r w:rsidR="147095AF">
        <w:rPr/>
        <w:t>Confidence in those shares is low. The directional base case is supported by observed profit dispersion, a large growing addressable market, cloud/labour ACV divergence and strong security demand, not by a calibrated survival model. [1, 2, 3, 4, 6, 22] The highest-risk cohort consists of sub-scale, reactive generalists with undocumented workflows, weak cyber controls, concentrated vendors or clients, little owned IP and contracts that cannot recover AI usage or incident costs. The least exposed combine vertical expertise, measurable risk and business outcomes, diversified platforms, trusted relationships and disciplined automation. The board should revisit the allocations annually against contract gross profit, net retention, security attach, automation quality, cash conversion and acquisition terms.</w:t>
      </w:r>
    </w:p>
    <w:p w:rsidR="147095AF" w:rsidP="147095AF" w:rsidRDefault="147095AF" w14:noSpellErr="1" w14:paraId="75D1B510" w14:textId="46A4DDB6">
      <w:pPr>
        <w:pStyle w:val="Heading1"/>
        <w:numPr>
          <w:ilvl w:val="0"/>
          <w:numId w:val="0"/>
        </w:numPr>
      </w:pPr>
      <w:r w:rsidRPr="147095AF" w:rsidR="147095AF">
        <w:rPr>
          <w:color w:val="14617D" w:themeColor="accent6" w:themeTint="FF" w:themeShade="FF"/>
        </w:rPr>
        <w:t>Transformation Framework</w:t>
      </w:r>
    </w:p>
    <w:p w:rsidR="147095AF" w:rsidRDefault="147095AF" w14:noSpellErr="1" w14:paraId="6D25BCF9" w14:textId="32BFB63B">
      <w:r w:rsidR="147095AF">
        <w:rPr/>
        <w:t>The transformation is a change in the profit engine, not a rebranding exercise. Keep a scoped core retainer where it simplifies buying; add distinct fees for managed risk, agent and data governance, implementation, measurable business-process outcomes and usage beyond agreed bands. Use internal automation to improve quality and gross profit, then reinvest in service design and intellectual property. The sequencing below prevents an MSP from selling ungoverned AI before its own knowledge, security and delivery data are reliable. [6, 12, 13, 16, 26]</w:t>
      </w:r>
    </w:p>
    <w:tbl>
      <w:tblPr>
        <w:tblStyle w:val="TableGrid"/>
        <w:tblW w:w="0" w:type="auto"/>
        <w:tblLook w:val="04A0" w:firstRow="1" w:lastRow="0" w:firstColumn="1" w:lastColumn="0" w:noHBand="0" w:noVBand="1"/>
      </w:tblPr>
      <w:tblGrid>
        <w:gridCol w:w="2340"/>
        <w:gridCol w:w="2340"/>
        <w:gridCol w:w="2340"/>
        <w:gridCol w:w="2340"/>
      </w:tblGrid>
      <w:tr w:rsidR="147095AF" w:rsidTr="147095AF" w14:paraId="4B3AC47D">
        <w:trPr>
          <w:trHeight w:val="300"/>
        </w:trPr>
        <w:tc>
          <w:tcPr>
            <w:tcW w:w="2340" w:type="dxa"/>
            <w:tcMar/>
          </w:tcPr>
          <w:p w:rsidR="147095AF" w:rsidRDefault="147095AF" w14:noSpellErr="1" w14:paraId="2455777E" w14:textId="4898742D">
            <w:r w:rsidR="147095AF">
              <w:rPr/>
              <w:t>Window</w:t>
            </w:r>
          </w:p>
        </w:tc>
        <w:tc>
          <w:tcPr>
            <w:tcW w:w="2340" w:type="dxa"/>
            <w:tcMar/>
          </w:tcPr>
          <w:p w:rsidR="147095AF" w:rsidRDefault="147095AF" w14:noSpellErr="1" w14:paraId="3F211C38" w14:textId="41765AF1">
            <w:r w:rsidR="147095AF">
              <w:rPr/>
              <w:t>Service and operational work</w:t>
            </w:r>
          </w:p>
        </w:tc>
        <w:tc>
          <w:tcPr>
            <w:tcW w:w="2340" w:type="dxa"/>
            <w:tcMar/>
          </w:tcPr>
          <w:p w:rsidR="147095AF" w:rsidRDefault="147095AF" w14:noSpellErr="1" w14:paraId="125043A5" w14:textId="3A5441B5">
            <w:r w:rsidR="147095AF">
              <w:rPr/>
              <w:t>Commercial / people work</w:t>
            </w:r>
          </w:p>
        </w:tc>
        <w:tc>
          <w:tcPr>
            <w:tcW w:w="2340" w:type="dxa"/>
            <w:tcMar/>
          </w:tcPr>
          <w:p w:rsidR="147095AF" w:rsidRDefault="147095AF" w14:noSpellErr="1" w14:paraId="22B4B86C" w14:textId="33322879">
            <w:r w:rsidR="147095AF">
              <w:rPr/>
              <w:t>Board gate and metric</w:t>
            </w:r>
          </w:p>
        </w:tc>
      </w:tr>
      <w:tr w:rsidR="147095AF" w:rsidTr="147095AF" w14:paraId="43D00050">
        <w:tc>
          <w:tcPr>
            <w:tcW w:w="2340" w:type="dxa"/>
            <w:tcMar/>
          </w:tcPr>
          <w:p w:rsidR="147095AF" w:rsidRDefault="147095AF" w14:noSpellErr="1" w14:paraId="5EC4B775" w14:textId="4A4788EE">
            <w:r w:rsidR="147095AF">
              <w:rPr/>
              <w:t>0–90 days: prove baseline</w:t>
            </w:r>
          </w:p>
        </w:tc>
        <w:tc>
          <w:tcPr>
            <w:tcW w:w="2340" w:type="dxa"/>
            <w:tcMar/>
          </w:tcPr>
          <w:p w:rsidR="147095AF" w:rsidRDefault="147095AF" w14:noSpellErr="1" w14:paraId="6D9A9D16" w14:textId="43256FB2">
            <w:r w:rsidR="147095AF">
              <w:rPr/>
              <w:t>Audit service-line gross margin, ticket causes, contracts, knowledge, RMM/identity privilege, security coverage and AI cost.</w:t>
            </w:r>
          </w:p>
        </w:tc>
        <w:tc>
          <w:tcPr>
            <w:tcW w:w="2340" w:type="dxa"/>
            <w:tcMar/>
          </w:tcPr>
          <w:p w:rsidR="147095AF" w:rsidRDefault="147095AF" w14:noSpellErr="1" w14:paraId="4C454ABE" w14:textId="3C035676">
            <w:r w:rsidR="147095AF">
              <w:rPr/>
              <w:t>Segment clients by risk, complexity and profit; identify fixed-fee leakage and vendor dependencies.</w:t>
            </w:r>
          </w:p>
        </w:tc>
        <w:tc>
          <w:tcPr>
            <w:tcW w:w="2340" w:type="dxa"/>
            <w:tcMar/>
          </w:tcPr>
          <w:p w:rsidR="147095AF" w:rsidRDefault="147095AF" w14:noSpellErr="1" w14:paraId="1D9BA799" w14:textId="34E13D3A">
            <w:r w:rsidR="147095AF">
              <w:rPr/>
              <w:t>Named owner; cohort gross profit, cost per resolved issue, renewal exposure and incident readiness baseline.</w:t>
            </w:r>
          </w:p>
        </w:tc>
      </w:tr>
      <w:tr w:rsidR="147095AF" w:rsidTr="147095AF" w14:paraId="2D50D52E">
        <w:tc>
          <w:tcPr>
            <w:tcW w:w="2340" w:type="dxa"/>
            <w:tcMar/>
          </w:tcPr>
          <w:p w:rsidR="147095AF" w:rsidRDefault="147095AF" w14:noSpellErr="1" w14:paraId="2CD46C7A" w14:textId="4BF69DAF">
            <w:r w:rsidR="147095AF">
              <w:rPr/>
              <w:t>3–12 months: defend core</w:t>
            </w:r>
          </w:p>
        </w:tc>
        <w:tc>
          <w:tcPr>
            <w:tcW w:w="2340" w:type="dxa"/>
            <w:tcMar/>
          </w:tcPr>
          <w:p w:rsidR="147095AF" w:rsidRDefault="147095AF" w14:noSpellErr="1" w14:paraId="591E4BBC" w14:textId="44D48473">
            <w:r w:rsidR="147095AF">
              <w:rPr/>
              <w:t>Pilot bounded self-service and triage with human review; standardise identity, backup tests, MDR partner and evidence collection.</w:t>
            </w:r>
          </w:p>
        </w:tc>
        <w:tc>
          <w:tcPr>
            <w:tcW w:w="2340" w:type="dxa"/>
            <w:tcMar/>
          </w:tcPr>
          <w:p w:rsidR="147095AF" w:rsidRDefault="147095AF" w14:noSpellErr="1" w14:paraId="2E34E024" w14:textId="3DB26B37">
            <w:r w:rsidR="147095AF">
              <w:rPr/>
              <w:t>Package a security baseline and governance assessment; add consumption bands and exception scope to renewals.</w:t>
            </w:r>
          </w:p>
        </w:tc>
        <w:tc>
          <w:tcPr>
            <w:tcW w:w="2340" w:type="dxa"/>
            <w:tcMar/>
          </w:tcPr>
          <w:p w:rsidR="147095AF" w:rsidRDefault="147095AF" w14:noSpellErr="1" w14:paraId="2B7CC978" w14:textId="369051FB">
            <w:r w:rsidR="147095AF">
              <w:rPr/>
              <w:t>Proceed only if verified resolution and quality improve without hidden cost; track CSAT, reopens, gross profit and security attach.</w:t>
            </w:r>
          </w:p>
        </w:tc>
      </w:tr>
      <w:tr w:rsidR="147095AF" w:rsidTr="147095AF" w14:paraId="327D21FB">
        <w:tc>
          <w:tcPr>
            <w:tcW w:w="2340" w:type="dxa"/>
            <w:tcMar/>
          </w:tcPr>
          <w:p w:rsidR="147095AF" w:rsidRDefault="147095AF" w14:noSpellErr="1" w14:paraId="26EA12F0" w14:textId="4DA5B270">
            <w:r w:rsidR="147095AF">
              <w:rPr/>
              <w:t>12–24 months: productise outcomes</w:t>
            </w:r>
          </w:p>
        </w:tc>
        <w:tc>
          <w:tcPr>
            <w:tcW w:w="2340" w:type="dxa"/>
            <w:tcMar/>
          </w:tcPr>
          <w:p w:rsidR="147095AF" w:rsidRDefault="147095AF" w14:noSpellErr="1" w14:paraId="69F05CC0" w14:textId="46839934">
            <w:r w:rsidR="147095AF">
              <w:rPr/>
              <w:t>Build repeatable Copilot/agent governance, data readiness, automation and compliance playbooks for a chosen vertical.</w:t>
            </w:r>
          </w:p>
        </w:tc>
        <w:tc>
          <w:tcPr>
            <w:tcW w:w="2340" w:type="dxa"/>
            <w:tcMar/>
          </w:tcPr>
          <w:p w:rsidR="147095AF" w:rsidRDefault="147095AF" w14:noSpellErr="1" w14:paraId="60BF4EB0" w14:textId="3F617FF8">
            <w:r w:rsidR="147095AF">
              <w:rPr/>
              <w:t>Sell implementation plus recurring managed AI and assurance; retrain technicians into security, process and customer-success roles.</w:t>
            </w:r>
          </w:p>
        </w:tc>
        <w:tc>
          <w:tcPr>
            <w:tcW w:w="2340" w:type="dxa"/>
            <w:tcMar/>
          </w:tcPr>
          <w:p w:rsidR="147095AF" w:rsidRDefault="147095AF" w14:noSpellErr="1" w14:paraId="7B7A2092" w14:textId="383F66BC">
            <w:r w:rsidR="147095AF">
              <w:rPr/>
              <w:t>Require referenceable outcomes, positive cohort contribution and documented runbooks/IP ownership.</w:t>
            </w:r>
          </w:p>
        </w:tc>
      </w:tr>
      <w:tr w:rsidR="147095AF" w:rsidTr="147095AF" w14:paraId="1CF612A2">
        <w:tc>
          <w:tcPr>
            <w:tcW w:w="2340" w:type="dxa"/>
            <w:tcMar/>
          </w:tcPr>
          <w:p w:rsidR="147095AF" w:rsidRDefault="147095AF" w14:noSpellErr="1" w14:paraId="612BFEC1" w14:textId="4F54C731">
            <w:r w:rsidR="147095AF">
              <w:rPr/>
              <w:t>24–36 months: scale or partner</w:t>
            </w:r>
          </w:p>
        </w:tc>
        <w:tc>
          <w:tcPr>
            <w:tcW w:w="2340" w:type="dxa"/>
            <w:tcMar/>
          </w:tcPr>
          <w:p w:rsidR="147095AF" w:rsidRDefault="147095AF" w14:noSpellErr="1" w14:paraId="572D00D3" w14:textId="4832ADF5">
            <w:r w:rsidR="147095AF">
              <w:rPr/>
              <w:t>Automate delivery controls, standardise multi-tenant telemetry and test recovery/agent oversight at scale.</w:t>
            </w:r>
          </w:p>
        </w:tc>
        <w:tc>
          <w:tcPr>
            <w:tcW w:w="2340" w:type="dxa"/>
            <w:tcMar/>
          </w:tcPr>
          <w:p w:rsidR="147095AF" w:rsidRDefault="147095AF" w14:noSpellErr="1" w14:paraId="36AB0091" w14:textId="411094B9">
            <w:r w:rsidR="147095AF">
              <w:rPr/>
              <w:t>Move from hours and devices toward platform, risk and outcome subscriptions; pursue selective alliances or M&amp;A.</w:t>
            </w:r>
          </w:p>
        </w:tc>
        <w:tc>
          <w:tcPr>
            <w:tcW w:w="2340" w:type="dxa"/>
            <w:tcMar/>
          </w:tcPr>
          <w:p w:rsidR="147095AF" w:rsidRDefault="147095AF" w14:noSpellErr="1" w14:paraId="3DB4C11B" w14:textId="39EE7B7D">
            <w:r w:rsidR="147095AF">
              <w:rPr/>
              <w:t>Underwrite net retention, contribution margin, cash conversion, concentration, cyber liability and repeatability.</w:t>
            </w:r>
          </w:p>
        </w:tc>
      </w:tr>
    </w:tbl>
    <w:p w:rsidR="147095AF" w:rsidP="147095AF" w:rsidRDefault="147095AF" w14:noSpellErr="1" w14:paraId="20693140" w14:textId="4ED2EDA8">
      <w:pPr>
        <w:pStyle w:val="Heading2"/>
        <w:numPr>
          <w:ilvl w:val="0"/>
          <w:numId w:val="0"/>
        </w:numPr>
      </w:pPr>
      <w:r w:rsidRPr="147095AF" w:rsidR="147095AF">
        <w:rPr>
          <w:color w:val="14617D" w:themeColor="accent6" w:themeTint="FF" w:themeShade="FF"/>
        </w:rPr>
        <w:t>Opportunity priority for a conventional MSP</w:t>
      </w:r>
    </w:p>
    <w:p w:rsidR="147095AF" w:rsidRDefault="147095AF" w14:noSpellErr="1" w14:paraId="6FAEBE60" w14:textId="3AC374D3">
      <w:r w:rsidR="147095AF">
        <w:rPr/>
        <w:t>Scores are board judgements on a five-point ordinal scale (5 highest) for a capable but conventional MSP, not measured market forecasts or comparable gross-margin benchmarks. Overall rank also reflects sequencing and execution risk: a high-potential offering may come later if its prerequisites are missing. The evidence anchors are security-spend and survey demand, provider automation uptake, Microsoft agent-governance direction and the limited EBIT impact of unscaled AI. [22, 6, 12, 26, 45]</w:t>
      </w:r>
    </w:p>
    <w:tbl>
      <w:tblPr>
        <w:tblStyle w:val="TableGrid"/>
        <w:tblW w:w="0" w:type="auto"/>
        <w:tblLook w:val="04A0" w:firstRow="1" w:lastRow="0" w:firstColumn="1" w:lastColumn="0" w:noHBand="0" w:noVBand="1"/>
      </w:tblPr>
      <w:tblGrid>
        <w:gridCol w:w="1872"/>
        <w:gridCol w:w="1872"/>
        <w:gridCol w:w="1872"/>
        <w:gridCol w:w="1872"/>
        <w:gridCol w:w="1872"/>
      </w:tblGrid>
      <w:tr w:rsidR="147095AF" w:rsidTr="147095AF" w14:paraId="79263B0F">
        <w:trPr>
          <w:trHeight w:val="300"/>
        </w:trPr>
        <w:tc>
          <w:tcPr>
            <w:tcW w:w="1872" w:type="dxa"/>
            <w:tcMar/>
          </w:tcPr>
          <w:p w:rsidR="147095AF" w:rsidRDefault="147095AF" w14:noSpellErr="1" w14:paraId="67A8A88B" w14:textId="60F7232B">
            <w:r w:rsidR="147095AF">
              <w:rPr/>
              <w:t>Rank / opportunity</w:t>
            </w:r>
          </w:p>
        </w:tc>
        <w:tc>
          <w:tcPr>
            <w:tcW w:w="1872" w:type="dxa"/>
            <w:tcMar/>
          </w:tcPr>
          <w:p w:rsidR="147095AF" w:rsidRDefault="147095AF" w14:noSpellErr="1" w14:paraId="65FCD406" w14:textId="59D509EF">
            <w:r w:rsidR="147095AF">
              <w:rPr/>
              <w:t>Urgency</w:t>
            </w:r>
          </w:p>
        </w:tc>
        <w:tc>
          <w:tcPr>
            <w:tcW w:w="1872" w:type="dxa"/>
            <w:tcMar/>
          </w:tcPr>
          <w:p w:rsidR="147095AF" w:rsidRDefault="147095AF" w14:noSpellErr="1" w14:paraId="4C2314C4" w14:textId="52B2F0B3">
            <w:r w:rsidR="147095AF">
              <w:rPr/>
              <w:t>Revenue potential</w:t>
            </w:r>
          </w:p>
        </w:tc>
        <w:tc>
          <w:tcPr>
            <w:tcW w:w="1872" w:type="dxa"/>
            <w:tcMar/>
          </w:tcPr>
          <w:p w:rsidR="147095AF" w:rsidRDefault="147095AF" w14:noSpellErr="1" w14:paraId="301C3177" w14:textId="4B90D777">
            <w:r w:rsidR="147095AF">
              <w:rPr/>
              <w:t>Margin potential</w:t>
            </w:r>
          </w:p>
        </w:tc>
        <w:tc>
          <w:tcPr>
            <w:tcW w:w="1872" w:type="dxa"/>
            <w:tcMar/>
          </w:tcPr>
          <w:p w:rsidR="147095AF" w:rsidRDefault="147095AF" w14:noSpellErr="1" w14:paraId="4167D317" w14:textId="446EBE3B">
            <w:r w:rsidR="147095AF">
              <w:rPr/>
              <w:t>Defensibility</w:t>
            </w:r>
          </w:p>
        </w:tc>
      </w:tr>
      <w:tr w:rsidR="147095AF" w:rsidTr="147095AF" w14:paraId="4E76F86D">
        <w:tc>
          <w:tcPr>
            <w:tcW w:w="1872" w:type="dxa"/>
            <w:tcMar/>
          </w:tcPr>
          <w:p w:rsidR="147095AF" w:rsidRDefault="147095AF" w14:noSpellErr="1" w14:paraId="37A8B368" w14:textId="5B841EB0">
            <w:r w:rsidR="147095AF">
              <w:rPr/>
              <w:t>1 Security-first MDR/XDR with identity and response</w:t>
            </w:r>
          </w:p>
        </w:tc>
        <w:tc>
          <w:tcPr>
            <w:tcW w:w="1872" w:type="dxa"/>
            <w:tcMar/>
          </w:tcPr>
          <w:p w:rsidR="147095AF" w:rsidRDefault="147095AF" w14:noSpellErr="1" w14:paraId="44316A7E" w14:textId="54620574">
            <w:r w:rsidR="147095AF">
              <w:rPr/>
              <w:t>5</w:t>
            </w:r>
          </w:p>
        </w:tc>
        <w:tc>
          <w:tcPr>
            <w:tcW w:w="1872" w:type="dxa"/>
            <w:tcMar/>
          </w:tcPr>
          <w:p w:rsidR="147095AF" w:rsidRDefault="147095AF" w14:noSpellErr="1" w14:paraId="4312ECC5" w14:textId="4D3FEC38">
            <w:r w:rsidR="147095AF">
              <w:rPr/>
              <w:t>5</w:t>
            </w:r>
          </w:p>
        </w:tc>
        <w:tc>
          <w:tcPr>
            <w:tcW w:w="1872" w:type="dxa"/>
            <w:tcMar/>
          </w:tcPr>
          <w:p w:rsidR="147095AF" w:rsidRDefault="147095AF" w14:noSpellErr="1" w14:paraId="4156AEA7" w14:textId="461DD2FC">
            <w:r w:rsidR="147095AF">
              <w:rPr/>
              <w:t>4</w:t>
            </w:r>
          </w:p>
        </w:tc>
        <w:tc>
          <w:tcPr>
            <w:tcW w:w="1872" w:type="dxa"/>
            <w:tcMar/>
          </w:tcPr>
          <w:p w:rsidR="147095AF" w:rsidRDefault="147095AF" w14:noSpellErr="1" w14:paraId="22A87630" w14:textId="3EFBB9C0">
            <w:r w:rsidR="147095AF">
              <w:rPr/>
              <w:t>4</w:t>
            </w:r>
          </w:p>
        </w:tc>
      </w:tr>
      <w:tr w:rsidR="147095AF" w:rsidTr="147095AF" w14:paraId="71960DF6">
        <w:tc>
          <w:tcPr>
            <w:tcW w:w="1872" w:type="dxa"/>
            <w:tcMar/>
          </w:tcPr>
          <w:p w:rsidR="147095AF" w:rsidRDefault="147095AF" w14:noSpellErr="1" w14:paraId="6217A62E" w14:textId="56111A35">
            <w:r w:rsidR="147095AF">
              <w:rPr/>
              <w:t>2 Compliance and evidence-backed assurance</w:t>
            </w:r>
          </w:p>
        </w:tc>
        <w:tc>
          <w:tcPr>
            <w:tcW w:w="1872" w:type="dxa"/>
            <w:tcMar/>
          </w:tcPr>
          <w:p w:rsidR="147095AF" w:rsidRDefault="147095AF" w14:noSpellErr="1" w14:paraId="489609A7" w14:textId="4EEF00F9">
            <w:r w:rsidR="147095AF">
              <w:rPr/>
              <w:t>5</w:t>
            </w:r>
          </w:p>
        </w:tc>
        <w:tc>
          <w:tcPr>
            <w:tcW w:w="1872" w:type="dxa"/>
            <w:tcMar/>
          </w:tcPr>
          <w:p w:rsidR="147095AF" w:rsidRDefault="147095AF" w14:noSpellErr="1" w14:paraId="509EEA1D" w14:textId="47CCE7BD">
            <w:r w:rsidR="147095AF">
              <w:rPr/>
              <w:t>4</w:t>
            </w:r>
          </w:p>
        </w:tc>
        <w:tc>
          <w:tcPr>
            <w:tcW w:w="1872" w:type="dxa"/>
            <w:tcMar/>
          </w:tcPr>
          <w:p w:rsidR="147095AF" w:rsidRDefault="147095AF" w14:noSpellErr="1" w14:paraId="4936F81C" w14:textId="40AACE81">
            <w:r w:rsidR="147095AF">
              <w:rPr/>
              <w:t>4</w:t>
            </w:r>
          </w:p>
        </w:tc>
        <w:tc>
          <w:tcPr>
            <w:tcW w:w="1872" w:type="dxa"/>
            <w:tcMar/>
          </w:tcPr>
          <w:p w:rsidR="147095AF" w:rsidRDefault="147095AF" w14:noSpellErr="1" w14:paraId="661E50A7" w14:textId="3988B545">
            <w:r w:rsidR="147095AF">
              <w:rPr/>
              <w:t>5</w:t>
            </w:r>
          </w:p>
        </w:tc>
      </w:tr>
      <w:tr w:rsidR="147095AF" w:rsidTr="147095AF" w14:paraId="492FDE47">
        <w:tc>
          <w:tcPr>
            <w:tcW w:w="1872" w:type="dxa"/>
            <w:tcMar/>
          </w:tcPr>
          <w:p w:rsidR="147095AF" w:rsidRDefault="147095AF" w14:noSpellErr="1" w14:paraId="3E9B893B" w14:textId="509E15BA">
            <w:r w:rsidR="147095AF">
              <w:rPr/>
              <w:t>3 Internal AI service automation and knowledge</w:t>
            </w:r>
          </w:p>
        </w:tc>
        <w:tc>
          <w:tcPr>
            <w:tcW w:w="1872" w:type="dxa"/>
            <w:tcMar/>
          </w:tcPr>
          <w:p w:rsidR="147095AF" w:rsidRDefault="147095AF" w14:noSpellErr="1" w14:paraId="63E032C3" w14:textId="497BFC7E">
            <w:r w:rsidR="147095AF">
              <w:rPr/>
              <w:t>5</w:t>
            </w:r>
          </w:p>
        </w:tc>
        <w:tc>
          <w:tcPr>
            <w:tcW w:w="1872" w:type="dxa"/>
            <w:tcMar/>
          </w:tcPr>
          <w:p w:rsidR="147095AF" w:rsidRDefault="147095AF" w14:noSpellErr="1" w14:paraId="54FBAAC8" w14:textId="4259E342">
            <w:r w:rsidR="147095AF">
              <w:rPr/>
              <w:t>2 direct</w:t>
            </w:r>
          </w:p>
        </w:tc>
        <w:tc>
          <w:tcPr>
            <w:tcW w:w="1872" w:type="dxa"/>
            <w:tcMar/>
          </w:tcPr>
          <w:p w:rsidR="147095AF" w:rsidRDefault="147095AF" w14:noSpellErr="1" w14:paraId="371F6902" w14:textId="3B37CA06">
            <w:r w:rsidR="147095AF">
              <w:rPr/>
              <w:t>5</w:t>
            </w:r>
          </w:p>
        </w:tc>
        <w:tc>
          <w:tcPr>
            <w:tcW w:w="1872" w:type="dxa"/>
            <w:tcMar/>
          </w:tcPr>
          <w:p w:rsidR="147095AF" w:rsidRDefault="147095AF" w14:noSpellErr="1" w14:paraId="4EDADB2F" w14:textId="3415B0CA">
            <w:r w:rsidR="147095AF">
              <w:rPr/>
              <w:t>3</w:t>
            </w:r>
          </w:p>
        </w:tc>
      </w:tr>
      <w:tr w:rsidR="147095AF" w:rsidTr="147095AF" w14:paraId="1CF294FD">
        <w:tc>
          <w:tcPr>
            <w:tcW w:w="1872" w:type="dxa"/>
            <w:tcMar/>
          </w:tcPr>
          <w:p w:rsidR="147095AF" w:rsidRDefault="147095AF" w14:noSpellErr="1" w14:paraId="241297C5" w14:textId="4B2B113F">
            <w:r w:rsidR="147095AF">
              <w:rPr/>
              <w:t>4 AI governance and agent operations</w:t>
            </w:r>
          </w:p>
        </w:tc>
        <w:tc>
          <w:tcPr>
            <w:tcW w:w="1872" w:type="dxa"/>
            <w:tcMar/>
          </w:tcPr>
          <w:p w:rsidR="147095AF" w:rsidRDefault="147095AF" w14:noSpellErr="1" w14:paraId="4A89B9DA" w14:textId="4408F803">
            <w:r w:rsidR="147095AF">
              <w:rPr/>
              <w:t>5</w:t>
            </w:r>
          </w:p>
        </w:tc>
        <w:tc>
          <w:tcPr>
            <w:tcW w:w="1872" w:type="dxa"/>
            <w:tcMar/>
          </w:tcPr>
          <w:p w:rsidR="147095AF" w:rsidRDefault="147095AF" w14:noSpellErr="1" w14:paraId="643281B8" w14:textId="3CE6DEC7">
            <w:r w:rsidR="147095AF">
              <w:rPr/>
              <w:t>4</w:t>
            </w:r>
          </w:p>
        </w:tc>
        <w:tc>
          <w:tcPr>
            <w:tcW w:w="1872" w:type="dxa"/>
            <w:tcMar/>
          </w:tcPr>
          <w:p w:rsidR="147095AF" w:rsidRDefault="147095AF" w14:noSpellErr="1" w14:paraId="4C0B1096" w14:textId="35C4C58B">
            <w:r w:rsidR="147095AF">
              <w:rPr/>
              <w:t>4</w:t>
            </w:r>
          </w:p>
        </w:tc>
        <w:tc>
          <w:tcPr>
            <w:tcW w:w="1872" w:type="dxa"/>
            <w:tcMar/>
          </w:tcPr>
          <w:p w:rsidR="147095AF" w:rsidRDefault="147095AF" w14:noSpellErr="1" w14:paraId="36C21616" w14:textId="2EA2AC4F">
            <w:r w:rsidR="147095AF">
              <w:rPr/>
              <w:t>5</w:t>
            </w:r>
          </w:p>
        </w:tc>
      </w:tr>
      <w:tr w:rsidR="147095AF" w:rsidTr="147095AF" w14:paraId="1B63AB4C">
        <w:tc>
          <w:tcPr>
            <w:tcW w:w="1872" w:type="dxa"/>
            <w:tcMar/>
          </w:tcPr>
          <w:p w:rsidR="147095AF" w:rsidRDefault="147095AF" w14:noSpellErr="1" w14:paraId="240A22A8" w14:textId="45B80CC4">
            <w:r w:rsidR="147095AF">
              <w:rPr/>
              <w:t>5 Data readiness, integration and quality</w:t>
            </w:r>
          </w:p>
        </w:tc>
        <w:tc>
          <w:tcPr>
            <w:tcW w:w="1872" w:type="dxa"/>
            <w:tcMar/>
          </w:tcPr>
          <w:p w:rsidR="147095AF" w:rsidRDefault="147095AF" w14:noSpellErr="1" w14:paraId="7D78EBEF" w14:textId="3E95F388">
            <w:r w:rsidR="147095AF">
              <w:rPr/>
              <w:t>4</w:t>
            </w:r>
          </w:p>
        </w:tc>
        <w:tc>
          <w:tcPr>
            <w:tcW w:w="1872" w:type="dxa"/>
            <w:tcMar/>
          </w:tcPr>
          <w:p w:rsidR="147095AF" w:rsidRDefault="147095AF" w14:noSpellErr="1" w14:paraId="43340F0D" w14:textId="3773DA4C">
            <w:r w:rsidR="147095AF">
              <w:rPr/>
              <w:t>5</w:t>
            </w:r>
          </w:p>
        </w:tc>
        <w:tc>
          <w:tcPr>
            <w:tcW w:w="1872" w:type="dxa"/>
            <w:tcMar/>
          </w:tcPr>
          <w:p w:rsidR="147095AF" w:rsidRDefault="147095AF" w14:noSpellErr="1" w14:paraId="56654A34" w14:textId="3051C110">
            <w:r w:rsidR="147095AF">
              <w:rPr/>
              <w:t>4</w:t>
            </w:r>
          </w:p>
        </w:tc>
        <w:tc>
          <w:tcPr>
            <w:tcW w:w="1872" w:type="dxa"/>
            <w:tcMar/>
          </w:tcPr>
          <w:p w:rsidR="147095AF" w:rsidRDefault="147095AF" w14:noSpellErr="1" w14:paraId="7C0D1F16" w14:textId="292FA7D4">
            <w:r w:rsidR="147095AF">
              <w:rPr/>
              <w:t>5</w:t>
            </w:r>
          </w:p>
        </w:tc>
      </w:tr>
      <w:tr w:rsidR="147095AF" w:rsidTr="147095AF" w14:paraId="61F40D81">
        <w:tc>
          <w:tcPr>
            <w:tcW w:w="1872" w:type="dxa"/>
            <w:tcMar/>
          </w:tcPr>
          <w:p w:rsidR="147095AF" w:rsidRDefault="147095AF" w14:noSpellErr="1" w14:paraId="7CE6D022" w14:textId="40450849">
            <w:r w:rsidR="147095AF">
              <w:rPr/>
              <w:t>6 Managed AI subscription and reusable IP</w:t>
            </w:r>
          </w:p>
        </w:tc>
        <w:tc>
          <w:tcPr>
            <w:tcW w:w="1872" w:type="dxa"/>
            <w:tcMar/>
          </w:tcPr>
          <w:p w:rsidR="147095AF" w:rsidRDefault="147095AF" w14:noSpellErr="1" w14:paraId="3FE24817" w14:textId="3922EF0D">
            <w:r w:rsidR="147095AF">
              <w:rPr/>
              <w:t>4</w:t>
            </w:r>
          </w:p>
        </w:tc>
        <w:tc>
          <w:tcPr>
            <w:tcW w:w="1872" w:type="dxa"/>
            <w:tcMar/>
          </w:tcPr>
          <w:p w:rsidR="147095AF" w:rsidRDefault="147095AF" w14:noSpellErr="1" w14:paraId="780EB302" w14:textId="3200D5D1">
            <w:r w:rsidR="147095AF">
              <w:rPr/>
              <w:t>5</w:t>
            </w:r>
          </w:p>
        </w:tc>
        <w:tc>
          <w:tcPr>
            <w:tcW w:w="1872" w:type="dxa"/>
            <w:tcMar/>
          </w:tcPr>
          <w:p w:rsidR="147095AF" w:rsidRDefault="147095AF" w14:noSpellErr="1" w14:paraId="1DD45251" w14:textId="2ADEBC95">
            <w:r w:rsidR="147095AF">
              <w:rPr/>
              <w:t>5</w:t>
            </w:r>
          </w:p>
        </w:tc>
        <w:tc>
          <w:tcPr>
            <w:tcW w:w="1872" w:type="dxa"/>
            <w:tcMar/>
          </w:tcPr>
          <w:p w:rsidR="147095AF" w:rsidRDefault="147095AF" w14:noSpellErr="1" w14:paraId="25B3E287" w14:textId="23BCA359">
            <w:r w:rsidR="147095AF">
              <w:rPr/>
              <w:t>5</w:t>
            </w:r>
          </w:p>
        </w:tc>
      </w:tr>
      <w:tr w:rsidR="147095AF" w:rsidTr="147095AF" w14:paraId="4A875791">
        <w:tc>
          <w:tcPr>
            <w:tcW w:w="1872" w:type="dxa"/>
            <w:tcMar/>
          </w:tcPr>
          <w:p w:rsidR="147095AF" w:rsidRDefault="147095AF" w14:noSpellErr="1" w14:paraId="4927994C" w14:textId="3AD203CE">
            <w:r w:rsidR="147095AF">
              <w:rPr/>
              <w:t>7 Business-process automation by vertical</w:t>
            </w:r>
          </w:p>
        </w:tc>
        <w:tc>
          <w:tcPr>
            <w:tcW w:w="1872" w:type="dxa"/>
            <w:tcMar/>
          </w:tcPr>
          <w:p w:rsidR="147095AF" w:rsidRDefault="147095AF" w14:noSpellErr="1" w14:paraId="4C0A3AD4" w14:textId="33AFEA92">
            <w:r w:rsidR="147095AF">
              <w:rPr/>
              <w:t>4</w:t>
            </w:r>
          </w:p>
        </w:tc>
        <w:tc>
          <w:tcPr>
            <w:tcW w:w="1872" w:type="dxa"/>
            <w:tcMar/>
          </w:tcPr>
          <w:p w:rsidR="147095AF" w:rsidRDefault="147095AF" w14:noSpellErr="1" w14:paraId="1316B1EC" w14:textId="2C8DD156">
            <w:r w:rsidR="147095AF">
              <w:rPr/>
              <w:t>5</w:t>
            </w:r>
          </w:p>
        </w:tc>
        <w:tc>
          <w:tcPr>
            <w:tcW w:w="1872" w:type="dxa"/>
            <w:tcMar/>
          </w:tcPr>
          <w:p w:rsidR="147095AF" w:rsidRDefault="147095AF" w14:noSpellErr="1" w14:paraId="7B1D80FF" w14:textId="256BB81A">
            <w:r w:rsidR="147095AF">
              <w:rPr/>
              <w:t>4</w:t>
            </w:r>
          </w:p>
        </w:tc>
        <w:tc>
          <w:tcPr>
            <w:tcW w:w="1872" w:type="dxa"/>
            <w:tcMar/>
          </w:tcPr>
          <w:p w:rsidR="147095AF" w:rsidRDefault="147095AF" w14:noSpellErr="1" w14:paraId="3C3F1AF2" w14:textId="1E499EDE">
            <w:r w:rsidR="147095AF">
              <w:rPr/>
              <w:t>4</w:t>
            </w:r>
          </w:p>
        </w:tc>
      </w:tr>
      <w:tr w:rsidR="147095AF" w:rsidTr="147095AF" w14:paraId="3D8FEE3A">
        <w:tc>
          <w:tcPr>
            <w:tcW w:w="1872" w:type="dxa"/>
            <w:tcMar/>
          </w:tcPr>
          <w:p w:rsidR="147095AF" w:rsidRDefault="147095AF" w14:noSpellErr="1" w14:paraId="10608236" w14:textId="355EFF53">
            <w:r w:rsidR="147095AF">
              <w:rPr/>
              <w:t>8 AI implementation, adoption and training</w:t>
            </w:r>
          </w:p>
        </w:tc>
        <w:tc>
          <w:tcPr>
            <w:tcW w:w="1872" w:type="dxa"/>
            <w:tcMar/>
          </w:tcPr>
          <w:p w:rsidR="147095AF" w:rsidRDefault="147095AF" w14:noSpellErr="1" w14:paraId="21C5F7F3" w14:textId="2E3CE617">
            <w:r w:rsidR="147095AF">
              <w:rPr/>
              <w:t>4</w:t>
            </w:r>
          </w:p>
        </w:tc>
        <w:tc>
          <w:tcPr>
            <w:tcW w:w="1872" w:type="dxa"/>
            <w:tcMar/>
          </w:tcPr>
          <w:p w:rsidR="147095AF" w:rsidRDefault="147095AF" w14:noSpellErr="1" w14:paraId="2678D5DA" w14:textId="271ACCDB">
            <w:r w:rsidR="147095AF">
              <w:rPr/>
              <w:t>4</w:t>
            </w:r>
          </w:p>
        </w:tc>
        <w:tc>
          <w:tcPr>
            <w:tcW w:w="1872" w:type="dxa"/>
            <w:tcMar/>
          </w:tcPr>
          <w:p w:rsidR="147095AF" w:rsidRDefault="147095AF" w14:noSpellErr="1" w14:paraId="2B6FE7BE" w14:textId="1FF8B39F">
            <w:r w:rsidR="147095AF">
              <w:rPr/>
              <w:t>3</w:t>
            </w:r>
          </w:p>
        </w:tc>
        <w:tc>
          <w:tcPr>
            <w:tcW w:w="1872" w:type="dxa"/>
            <w:tcMar/>
          </w:tcPr>
          <w:p w:rsidR="147095AF" w:rsidRDefault="147095AF" w14:noSpellErr="1" w14:paraId="2147A47A" w14:textId="18D69A63">
            <w:r w:rsidR="147095AF">
              <w:rPr/>
              <w:t>3</w:t>
            </w:r>
          </w:p>
        </w:tc>
      </w:tr>
      <w:tr w:rsidR="147095AF" w:rsidTr="147095AF" w14:paraId="40448E15">
        <w:tc>
          <w:tcPr>
            <w:tcW w:w="1872" w:type="dxa"/>
            <w:tcMar/>
          </w:tcPr>
          <w:p w:rsidR="147095AF" w:rsidRDefault="147095AF" w14:noSpellErr="1" w14:paraId="2F219821" w14:textId="2FEBFAD8">
            <w:r w:rsidR="147095AF">
              <w:rPr/>
              <w:t>9 Licence, cloud and AI consumption FinOps</w:t>
            </w:r>
          </w:p>
        </w:tc>
        <w:tc>
          <w:tcPr>
            <w:tcW w:w="1872" w:type="dxa"/>
            <w:tcMar/>
          </w:tcPr>
          <w:p w:rsidR="147095AF" w:rsidRDefault="147095AF" w14:noSpellErr="1" w14:paraId="14880168" w14:textId="28C9E19C">
            <w:r w:rsidR="147095AF">
              <w:rPr/>
              <w:t>4</w:t>
            </w:r>
          </w:p>
        </w:tc>
        <w:tc>
          <w:tcPr>
            <w:tcW w:w="1872" w:type="dxa"/>
            <w:tcMar/>
          </w:tcPr>
          <w:p w:rsidR="147095AF" w:rsidRDefault="147095AF" w14:noSpellErr="1" w14:paraId="291C3254" w14:textId="21A7C860">
            <w:r w:rsidR="147095AF">
              <w:rPr/>
              <w:t>3</w:t>
            </w:r>
          </w:p>
        </w:tc>
        <w:tc>
          <w:tcPr>
            <w:tcW w:w="1872" w:type="dxa"/>
            <w:tcMar/>
          </w:tcPr>
          <w:p w:rsidR="147095AF" w:rsidRDefault="147095AF" w14:noSpellErr="1" w14:paraId="1BB562B4" w14:textId="1A85AF24">
            <w:r w:rsidR="147095AF">
              <w:rPr/>
              <w:t>4</w:t>
            </w:r>
          </w:p>
        </w:tc>
        <w:tc>
          <w:tcPr>
            <w:tcW w:w="1872" w:type="dxa"/>
            <w:tcMar/>
          </w:tcPr>
          <w:p w:rsidR="147095AF" w:rsidRDefault="147095AF" w14:noSpellErr="1" w14:paraId="6A87D84E" w14:textId="136395E8">
            <w:r w:rsidR="147095AF">
              <w:rPr/>
              <w:t>3</w:t>
            </w:r>
          </w:p>
        </w:tc>
      </w:tr>
    </w:tbl>
    <w:p w:rsidR="147095AF" w:rsidP="147095AF" w:rsidRDefault="147095AF" w14:noSpellErr="1" w14:paraId="6366CBBD" w14:textId="23C9EF91">
      <w:pPr>
        <w:pStyle w:val="Heading2"/>
        <w:numPr>
          <w:ilvl w:val="0"/>
          <w:numId w:val="0"/>
        </w:numPr>
      </w:pPr>
      <w:r w:rsidRPr="147095AF" w:rsidR="147095AF">
        <w:rPr>
          <w:color w:val="14617D" w:themeColor="accent6" w:themeTint="FF" w:themeShade="FF"/>
        </w:rPr>
        <w:t>Commercial architecture: price the responsibility, not the click</w:t>
      </w:r>
    </w:p>
    <w:p w:rsidR="147095AF" w:rsidRDefault="147095AF" w14:noSpellErr="1" w14:paraId="241A4048" w14:textId="738FE566">
      <w:r w:rsidR="147095AF">
        <w:rPr/>
        <w:t>Retain a transparent platform retainer for essential coverage and service access, but stop treating users, devices or ticket counts as the sole value metric. Add explicit tiers for identity/security exposure, data and agent estate, compliance obligations and response authority. Meter variable AI compute and third-party platform costs with caps, reconciliation and customer-approved overages; Microsoft's move toward seat-plus-consumption and its Security Copilot compute allocations make an unbounded fixed fee harder to defend. [9, 13] Outcome fees can attach to agreed recovery objectives, control evidence, adoption milestones or verified process cycle-time reductions, but only when baseline, attribution, exclusions and dispute rights are written into the contract. Intercom's published US$0.99 per resolved-outcome pricing is proof of an adjacent commercial mechanism, not a price recommendation for MSPs. [43]</w:t>
      </w:r>
    </w:p>
    <w:p w:rsidR="147095AF" w:rsidRDefault="147095AF" w14:noSpellErr="1" w14:paraId="4F28CBB0" w14:textId="362F65B3">
      <w:r w:rsidR="147095AF">
        <w:rPr/>
        <w:t>Subscription intellectual property is defensible when the provider owns a repeatable control library, integration, runbook or governed agent operating layer that clients cannot easily buy as a generic licence. Contract for customer data ownership, portability, audit logs, model changes, human override, incident notification and exit assistance. Tie technician incentives to first-time quality, preventable incidents, usable documentation, gross profit and customer outcomes, not raw ticket throughput. Capability development should favour a chosen regulated or process-intensive vertical rather than an indiscriminate catalogue of AI services. [3, 12, 16, 26, 45]</w:t>
      </w:r>
    </w:p>
    <w:p w:rsidR="147095AF" w:rsidP="147095AF" w:rsidRDefault="147095AF" w14:noSpellErr="1" w14:paraId="3629C000" w14:textId="7C6A8B56">
      <w:pPr>
        <w:pStyle w:val="Heading1"/>
        <w:numPr>
          <w:ilvl w:val="0"/>
          <w:numId w:val="0"/>
        </w:numPr>
      </w:pPr>
      <w:r w:rsidRPr="147095AF" w:rsidR="147095AF">
        <w:rPr>
          <w:color w:val="14617D" w:themeColor="accent6" w:themeTint="FF" w:themeShade="FF"/>
        </w:rPr>
        <w:t>Recommended Actions</w:t>
      </w:r>
    </w:p>
    <w:p w:rsidR="147095AF" w:rsidRDefault="147095AF" w14:noSpellErr="1" w14:paraId="228952B1" w14:textId="2CA984F3">
      <w:r w:rsidR="147095AF">
        <w:rPr/>
        <w:t>For an owner with a successful conventional book, the first decision is not to abandon recurring support. It is to make the economics visible, protect the trust franchise and fund two or three repeatable adjacent outcomes without betting the firm on unproven autonomy. The following mandates are proposed management actions, not observed sector benchmarks.</w:t>
      </w:r>
    </w:p>
    <w:tbl>
      <w:tblPr>
        <w:tblStyle w:val="TableGrid"/>
        <w:tblW w:w="0" w:type="auto"/>
        <w:tblLook w:val="04A0" w:firstRow="1" w:lastRow="0" w:firstColumn="1" w:lastColumn="0" w:noHBand="0" w:noVBand="1"/>
      </w:tblPr>
      <w:tblGrid>
        <w:gridCol w:w="2340"/>
        <w:gridCol w:w="2340"/>
        <w:gridCol w:w="2340"/>
        <w:gridCol w:w="2340"/>
      </w:tblGrid>
      <w:tr w:rsidR="147095AF" w:rsidTr="147095AF" w14:paraId="2CC889CF">
        <w:trPr>
          <w:trHeight w:val="300"/>
        </w:trPr>
        <w:tc>
          <w:tcPr>
            <w:tcW w:w="2340" w:type="dxa"/>
            <w:tcMar/>
          </w:tcPr>
          <w:p w:rsidR="147095AF" w:rsidRDefault="147095AF" w14:noSpellErr="1" w14:paraId="708F1095" w14:textId="6896FE80">
            <w:r w:rsidR="147095AF">
              <w:rPr/>
              <w:t>When / accountable owner</w:t>
            </w:r>
          </w:p>
        </w:tc>
        <w:tc>
          <w:tcPr>
            <w:tcW w:w="2340" w:type="dxa"/>
            <w:tcMar/>
          </w:tcPr>
          <w:p w:rsidR="147095AF" w:rsidRDefault="147095AF" w14:noSpellErr="1" w14:paraId="7DD06BD7" w14:textId="6174E544">
            <w:r w:rsidR="147095AF">
              <w:rPr/>
              <w:t>Decision or action</w:t>
            </w:r>
          </w:p>
        </w:tc>
        <w:tc>
          <w:tcPr>
            <w:tcW w:w="2340" w:type="dxa"/>
            <w:tcMar/>
          </w:tcPr>
          <w:p w:rsidR="147095AF" w:rsidRDefault="147095AF" w14:noSpellErr="1" w14:paraId="65DDC6FC" w14:textId="5A52CC08">
            <w:r w:rsidR="147095AF">
              <w:rPr/>
              <w:t>Evidence of progress</w:t>
            </w:r>
          </w:p>
        </w:tc>
        <w:tc>
          <w:tcPr>
            <w:tcW w:w="2340" w:type="dxa"/>
            <w:tcMar/>
          </w:tcPr>
          <w:p w:rsidR="147095AF" w:rsidRDefault="147095AF" w14:noSpellErr="1" w14:paraId="1768DCA6" w14:textId="5330B2CC">
            <w:r w:rsidR="147095AF">
              <w:rPr/>
              <w:t>Stop or redirect condition</w:t>
            </w:r>
          </w:p>
        </w:tc>
      </w:tr>
      <w:tr w:rsidR="147095AF" w:rsidTr="147095AF" w14:paraId="339195B9">
        <w:tc>
          <w:tcPr>
            <w:tcW w:w="2340" w:type="dxa"/>
            <w:tcMar/>
          </w:tcPr>
          <w:p w:rsidR="147095AF" w:rsidRDefault="147095AF" w14:noSpellErr="1" w14:paraId="1F32E743" w14:textId="6A461341">
            <w:r w:rsidR="147095AF">
              <w:rPr/>
              <w:t>30 days / CFO + service lead</w:t>
            </w:r>
          </w:p>
        </w:tc>
        <w:tc>
          <w:tcPr>
            <w:tcW w:w="2340" w:type="dxa"/>
            <w:tcMar/>
          </w:tcPr>
          <w:p w:rsidR="147095AF" w:rsidRDefault="147095AF" w14:noSpellErr="1" w14:paraId="324CCDF4" w14:textId="6323FA05">
            <w:r w:rsidR="147095AF">
              <w:rPr/>
              <w:t>Build client-cohort P&amp;L by service line and contract; isolate licence incentives, AI consumption, rework and incident cost.</w:t>
            </w:r>
          </w:p>
        </w:tc>
        <w:tc>
          <w:tcPr>
            <w:tcW w:w="2340" w:type="dxa"/>
            <w:tcMar/>
          </w:tcPr>
          <w:p w:rsidR="147095AF" w:rsidRDefault="147095AF" w14:noSpellErr="1" w14:paraId="21FE54D1" w14:textId="5C01E0C9">
            <w:r w:rsidR="147095AF">
              <w:rPr/>
              <w:t>Gross profit per client, ticket-hour burden, renewal price waterfall and cash conversion.</w:t>
            </w:r>
          </w:p>
        </w:tc>
        <w:tc>
          <w:tcPr>
            <w:tcW w:w="2340" w:type="dxa"/>
            <w:tcMar/>
          </w:tcPr>
          <w:p w:rsidR="147095AF" w:rsidRDefault="147095AF" w14:noSpellErr="1" w14:paraId="6862DB0E" w14:textId="54DFC78D">
            <w:r w:rsidR="147095AF">
              <w:rPr/>
              <w:t>If data cannot reconcile to ledger, defer outcome-price promises.</w:t>
            </w:r>
          </w:p>
        </w:tc>
      </w:tr>
      <w:tr w:rsidR="147095AF" w:rsidTr="147095AF" w14:paraId="112E10C0">
        <w:tc>
          <w:tcPr>
            <w:tcW w:w="2340" w:type="dxa"/>
            <w:tcMar/>
          </w:tcPr>
          <w:p w:rsidR="147095AF" w:rsidRDefault="147095AF" w14:noSpellErr="1" w14:paraId="77CC9B0A" w14:textId="6BF52802">
            <w:r w:rsidR="147095AF">
              <w:rPr/>
              <w:t>60 days / operations + security</w:t>
            </w:r>
          </w:p>
        </w:tc>
        <w:tc>
          <w:tcPr>
            <w:tcW w:w="2340" w:type="dxa"/>
            <w:tcMar/>
          </w:tcPr>
          <w:p w:rsidR="147095AF" w:rsidRDefault="147095AF" w14:noSpellErr="1" w14:paraId="2ACC90A3" w14:textId="64D30EC6">
            <w:r w:rsidR="147095AF">
              <w:rPr/>
              <w:t>Select bounded Level-1 and alert-triage workflows; clean knowledge, test guardrails and human escalation.</w:t>
            </w:r>
          </w:p>
        </w:tc>
        <w:tc>
          <w:tcPr>
            <w:tcW w:w="2340" w:type="dxa"/>
            <w:tcMar/>
          </w:tcPr>
          <w:p w:rsidR="147095AF" w:rsidRDefault="147095AF" w14:noSpellErr="1" w14:paraId="29C3CDAE" w14:textId="5DB0F58A">
            <w:r w:rsidR="147095AF">
              <w:rPr/>
              <w:t>Verified resolution, reopens, CSAT, time saved net of review and tool cost. [16, 27]</w:t>
            </w:r>
          </w:p>
        </w:tc>
        <w:tc>
          <w:tcPr>
            <w:tcW w:w="2340" w:type="dxa"/>
            <w:tcMar/>
          </w:tcPr>
          <w:p w:rsidR="147095AF" w:rsidRDefault="147095AF" w14:noSpellErr="1" w14:paraId="67B578DE" w14:textId="568EDC4E">
            <w:r w:rsidR="147095AF">
              <w:rPr/>
              <w:t>Pause automation if error, access or rework rises.</w:t>
            </w:r>
          </w:p>
        </w:tc>
      </w:tr>
      <w:tr w:rsidR="147095AF" w:rsidTr="147095AF" w14:paraId="4E9CC53D">
        <w:tc>
          <w:tcPr>
            <w:tcW w:w="2340" w:type="dxa"/>
            <w:tcMar/>
          </w:tcPr>
          <w:p w:rsidR="147095AF" w:rsidRDefault="147095AF" w14:noSpellErr="1" w14:paraId="3C8B19C2" w14:textId="6DA43CC3">
            <w:r w:rsidR="147095AF">
              <w:rPr/>
              <w:t>90 days / security lead</w:t>
            </w:r>
          </w:p>
        </w:tc>
        <w:tc>
          <w:tcPr>
            <w:tcW w:w="2340" w:type="dxa"/>
            <w:tcMar/>
          </w:tcPr>
          <w:p w:rsidR="147095AF" w:rsidRDefault="147095AF" w14:noSpellErr="1" w14:paraId="626FB54D" w14:textId="66822387">
            <w:r w:rsidR="147095AF">
              <w:rPr/>
              <w:t>Audit identity, backup recovery, logging, incident authority and MDR/SOC partner coverage.</w:t>
            </w:r>
          </w:p>
        </w:tc>
        <w:tc>
          <w:tcPr>
            <w:tcW w:w="2340" w:type="dxa"/>
            <w:tcMar/>
          </w:tcPr>
          <w:p w:rsidR="147095AF" w:rsidRDefault="147095AF" w14:noSpellErr="1" w14:paraId="2A1A44CC" w14:textId="5F600A4B">
            <w:r w:rsidR="147095AF">
              <w:rPr/>
              <w:t>Documented control evidence, tested response time and recovery exercises. [6, 13, 32]</w:t>
            </w:r>
          </w:p>
        </w:tc>
        <w:tc>
          <w:tcPr>
            <w:tcW w:w="2340" w:type="dxa"/>
            <w:tcMar/>
          </w:tcPr>
          <w:p w:rsidR="147095AF" w:rsidRDefault="147095AF" w14:noSpellErr="1" w14:paraId="30EBE937" w14:textId="583DF10F">
            <w:r w:rsidR="147095AF">
              <w:rPr/>
              <w:t>Do not sell 24/7 coverage without response capacity.</w:t>
            </w:r>
          </w:p>
        </w:tc>
      </w:tr>
      <w:tr w:rsidR="147095AF" w:rsidTr="147095AF" w14:paraId="4B227B8E">
        <w:tc>
          <w:tcPr>
            <w:tcW w:w="2340" w:type="dxa"/>
            <w:tcMar/>
          </w:tcPr>
          <w:p w:rsidR="147095AF" w:rsidRDefault="147095AF" w14:noSpellErr="1" w14:paraId="1A602E88" w14:textId="6F535184">
            <w:r w:rsidR="147095AF">
              <w:rPr/>
              <w:t>90–180 days / commercial lead</w:t>
            </w:r>
          </w:p>
        </w:tc>
        <w:tc>
          <w:tcPr>
            <w:tcW w:w="2340" w:type="dxa"/>
            <w:tcMar/>
          </w:tcPr>
          <w:p w:rsidR="147095AF" w:rsidRDefault="147095AF" w14:noSpellErr="1" w14:paraId="6741FA2C" w14:textId="68313848">
            <w:r w:rsidR="147095AF">
              <w:rPr/>
              <w:t>Rewrite renewal packages: scoped base, risk tiers, consumption bands, paid assurance and clear exclusions.</w:t>
            </w:r>
          </w:p>
        </w:tc>
        <w:tc>
          <w:tcPr>
            <w:tcW w:w="2340" w:type="dxa"/>
            <w:tcMar/>
          </w:tcPr>
          <w:p w:rsidR="147095AF" w:rsidRDefault="147095AF" w14:noSpellErr="1" w14:paraId="6D2F8D31" w14:textId="610F1F0C">
            <w:r w:rsidR="147095AF">
              <w:rPr/>
              <w:t>Cohort renewal margin, attach, retention and measured client outcomes. [9, 10]</w:t>
            </w:r>
          </w:p>
        </w:tc>
        <w:tc>
          <w:tcPr>
            <w:tcW w:w="2340" w:type="dxa"/>
            <w:tcMar/>
          </w:tcPr>
          <w:p w:rsidR="147095AF" w:rsidRDefault="147095AF" w14:noSpellErr="1" w14:paraId="650071BA" w14:textId="59ED05D0">
            <w:r w:rsidR="147095AF">
              <w:rPr/>
              <w:t>Remove unbounded fixed-fee exposure where pricing cannot cover it.</w:t>
            </w:r>
          </w:p>
        </w:tc>
      </w:tr>
      <w:tr w:rsidR="147095AF" w:rsidTr="147095AF" w14:paraId="54B4D5EB">
        <w:tc>
          <w:tcPr>
            <w:tcW w:w="2340" w:type="dxa"/>
            <w:tcMar/>
          </w:tcPr>
          <w:p w:rsidR="147095AF" w:rsidRDefault="147095AF" w14:noSpellErr="1" w14:paraId="6E67259D" w14:textId="71026645">
            <w:r w:rsidR="147095AF">
              <w:rPr/>
              <w:t>6–12 months / AI and data lead</w:t>
            </w:r>
          </w:p>
        </w:tc>
        <w:tc>
          <w:tcPr>
            <w:tcW w:w="2340" w:type="dxa"/>
            <w:tcMar/>
          </w:tcPr>
          <w:p w:rsidR="147095AF" w:rsidRDefault="147095AF" w14:noSpellErr="1" w14:paraId="752489D6" w14:textId="69E04D09">
            <w:r w:rsidR="147095AF">
              <w:rPr/>
              <w:t>Deliver three repeatable agent-governance and data-readiness engagements in a chosen vertical.</w:t>
            </w:r>
          </w:p>
        </w:tc>
        <w:tc>
          <w:tcPr>
            <w:tcW w:w="2340" w:type="dxa"/>
            <w:tcMar/>
          </w:tcPr>
          <w:p w:rsidR="147095AF" w:rsidRDefault="147095AF" w14:noSpellErr="1" w14:paraId="302564A4" w14:textId="62BE33CD">
            <w:r w:rsidR="147095AF">
              <w:rPr/>
              <w:t>Referenceable deployments, approved agent inventory, evaluation results and recurring conversion. [12, 26, 45]</w:t>
            </w:r>
          </w:p>
        </w:tc>
        <w:tc>
          <w:tcPr>
            <w:tcW w:w="2340" w:type="dxa"/>
            <w:tcMar/>
          </w:tcPr>
          <w:p w:rsidR="147095AF" w:rsidRDefault="147095AF" w14:noSpellErr="1" w14:paraId="7E5CAE9D" w14:textId="5B9C1A91">
            <w:r w:rsidR="147095AF">
              <w:rPr/>
              <w:t>Stop custom pilots with no economic owner or reusable component.</w:t>
            </w:r>
          </w:p>
        </w:tc>
      </w:tr>
      <w:tr w:rsidR="147095AF" w:rsidTr="147095AF" w14:paraId="4C622A98">
        <w:tc>
          <w:tcPr>
            <w:tcW w:w="2340" w:type="dxa"/>
            <w:tcMar/>
          </w:tcPr>
          <w:p w:rsidR="147095AF" w:rsidRDefault="147095AF" w14:noSpellErr="1" w14:paraId="766CBE96" w14:textId="72B17B06">
            <w:r w:rsidR="147095AF">
              <w:rPr/>
              <w:t>12–24 months / CEO + product lead</w:t>
            </w:r>
          </w:p>
        </w:tc>
        <w:tc>
          <w:tcPr>
            <w:tcW w:w="2340" w:type="dxa"/>
            <w:tcMar/>
          </w:tcPr>
          <w:p w:rsidR="147095AF" w:rsidRDefault="147095AF" w14:noSpellErr="1" w14:paraId="2351EA18" w14:textId="6B8F61CA">
            <w:r w:rsidR="147095AF">
              <w:rPr/>
              <w:t>Productise managed AI, compliance evidence and workflow automation as subscriptions with reusable IP.</w:t>
            </w:r>
          </w:p>
        </w:tc>
        <w:tc>
          <w:tcPr>
            <w:tcW w:w="2340" w:type="dxa"/>
            <w:tcMar/>
          </w:tcPr>
          <w:p w:rsidR="147095AF" w:rsidRDefault="147095AF" w14:noSpellErr="1" w14:paraId="439577B6" w14:textId="646D488E">
            <w:r w:rsidR="147095AF">
              <w:rPr/>
              <w:t>Recurring new-service gross profit, net retention, delivery hours per deployment and IP rights.</w:t>
            </w:r>
          </w:p>
        </w:tc>
        <w:tc>
          <w:tcPr>
            <w:tcW w:w="2340" w:type="dxa"/>
            <w:tcMar/>
          </w:tcPr>
          <w:p w:rsidR="147095AF" w:rsidRDefault="147095AF" w14:noSpellErr="1" w14:paraId="59FE55A5" w14:textId="5D4B2F52">
            <w:r w:rsidR="147095AF">
              <w:rPr/>
              <w:t>Avoid growth financed by unpriced bespoke labour.</w:t>
            </w:r>
          </w:p>
        </w:tc>
      </w:tr>
      <w:tr w:rsidR="147095AF" w:rsidTr="147095AF" w14:paraId="711FA6DB">
        <w:tc>
          <w:tcPr>
            <w:tcW w:w="2340" w:type="dxa"/>
            <w:tcMar/>
          </w:tcPr>
          <w:p w:rsidR="147095AF" w:rsidRDefault="147095AF" w14:noSpellErr="1" w14:paraId="29DD6453" w14:textId="74608FC7">
            <w:r w:rsidR="147095AF">
              <w:rPr/>
              <w:t>Quarterly / board and investor</w:t>
            </w:r>
          </w:p>
        </w:tc>
        <w:tc>
          <w:tcPr>
            <w:tcW w:w="2340" w:type="dxa"/>
            <w:tcMar/>
          </w:tcPr>
          <w:p w:rsidR="147095AF" w:rsidRDefault="147095AF" w14:noSpellErr="1" w14:paraId="1BAB0186" w14:textId="6D3E768B">
            <w:r w:rsidR="147095AF">
              <w:rPr/>
              <w:t>Re-underwrite strategy, vendor dependency and exit risk against bull/base/bear signposts.</w:t>
            </w:r>
          </w:p>
        </w:tc>
        <w:tc>
          <w:tcPr>
            <w:tcW w:w="2340" w:type="dxa"/>
            <w:tcMar/>
          </w:tcPr>
          <w:p w:rsidR="147095AF" w:rsidRDefault="147095AF" w14:noSpellErr="1" w14:paraId="641259D1" w14:textId="661C5D4F">
            <w:r w:rsidR="147095AF">
              <w:rPr/>
              <w:t>Adjusted EBITDA quality, concentration, cyber exposure, working capital and valuation sensitivity. [1, 4]</w:t>
            </w:r>
          </w:p>
        </w:tc>
        <w:tc>
          <w:tcPr>
            <w:tcW w:w="2340" w:type="dxa"/>
            <w:tcMar/>
          </w:tcPr>
          <w:p w:rsidR="147095AF" w:rsidRDefault="147095AF" w14:noSpellErr="1" w14:paraId="5F52AEDD" w14:textId="5EFA4413">
            <w:r w:rsidR="147095AF">
              <w:rPr/>
              <w:t>Reallocate capital if core gross profit erodes for consecutive cohorts.</w:t>
            </w:r>
          </w:p>
        </w:tc>
      </w:tr>
    </w:tbl>
    <w:p w:rsidR="147095AF" w:rsidRDefault="147095AF" w14:noSpellErr="1" w14:paraId="50F9C71F" w14:textId="4CB15E0F">
      <w:r w:rsidR="147095AF">
        <w:rPr/>
        <w:t>Private-equity underwriting should distinguish reported adjusted EBITDA from cash-generating, transferable profit. Diligence the recurring-contract cohorts; net revenue retention and churn by service; service-line gross margin after SOC and AI usage; incident history and insurance exclusions; Microsoft/CSP dependency; customer and vertical concentration; code, prompts, runbooks and data ownership; and the founder's role in sales and escalation. A high multiple for a 'managed AI' label is not justified by a handful of pilots. Service Leadership's record best-in-class valuations coexist with a measurable loss-making tail; quality-of-earnings and operating proof should determine the investment thesis. [1, 2, 6]</w:t>
      </w:r>
    </w:p>
    <w:p w:rsidR="147095AF" w:rsidRDefault="147095AF" w14:noSpellErr="1" w14:paraId="777A65E0" w14:textId="3C63F313">
      <w:r w:rsidR="147095AF">
        <w:rPr/>
        <w:t>A practical first-year scoreboard should have a small number of measures: gross profit per recurring client and per supported identity; verified autonomous resolution and reopen rate; security-control coverage and incident response time; paid new-service annual recurring revenue; net retention; fully loaded AI cost per successful outcome; and percentage of work delivered from approved reusable components. These metrics allow the owner to defend a good legacy franchise while recognising the point at which the old price and work unit no longer describe the service being delivered. [4, 6, 9, 13, 16]</w:t>
      </w:r>
    </w:p>
    <w:p w:rsidR="147095AF" w:rsidP="147095AF" w:rsidRDefault="147095AF" w14:noSpellErr="1" w14:paraId="41F529DE" w14:textId="5D7E27A0">
      <w:pPr>
        <w:pStyle w:val="Heading1"/>
        <w:numPr>
          <w:ilvl w:val="0"/>
          <w:numId w:val="0"/>
        </w:numPr>
      </w:pPr>
      <w:r w:rsidRPr="147095AF" w:rsidR="147095AF">
        <w:rPr>
          <w:color w:val="14617D" w:themeColor="accent6" w:themeTint="FF" w:themeShade="FF"/>
        </w:rPr>
        <w:t>Risks and Counterarguments</w:t>
      </w:r>
    </w:p>
    <w:p w:rsidR="147095AF" w:rsidP="147095AF" w:rsidRDefault="147095AF" w14:noSpellErr="1" w14:paraId="190914F3" w14:textId="784E59BD">
      <w:pPr>
        <w:pStyle w:val="Heading2"/>
        <w:numPr>
          <w:ilvl w:val="0"/>
          <w:numId w:val="0"/>
        </w:numPr>
      </w:pPr>
      <w:r w:rsidRPr="147095AF" w:rsidR="147095AF">
        <w:rPr>
          <w:color w:val="14617D" w:themeColor="accent6" w:themeTint="FF" w:themeShade="FF"/>
        </w:rPr>
        <w:t>The survival case is substantial</w:t>
      </w:r>
    </w:p>
    <w:p w:rsidR="147095AF" w:rsidRDefault="147095AF" w14:noSpellErr="1" w14:paraId="7726D60C" w14:textId="345D2AD6">
      <w:r w:rsidR="147095AF">
        <w:rPr/>
        <w:t>An owner is right to resist a simple 'AI kills MSPs' story. Service Leadership recorded 2025 MSP revenue growth of 9.6%, adjusted EBITDA-dollar growth of 17.1% and best-in-class adjusted margins above 19%. [1] Omdia forecast continued broad channel growth and substantial partner participation in hyperscaler marketplaces. [3, 33] Kaseya respondents still see security as a major growth engine, and Microsoft requires direct-bill partners to operate support and managed-services practices. [6, 11] Gartner found more surveyed customer-service leaders augmenting work than cutting headcount, while another Gartner forecast warns many agentic projects will fail. [25, 24] These facts favour a durable channel with new roles, not terminal obsolescence.</w:t>
      </w:r>
    </w:p>
    <w:p w:rsidR="147095AF" w:rsidP="147095AF" w:rsidRDefault="147095AF" w14:noSpellErr="1" w14:paraId="5B922585" w14:textId="6274FC37">
      <w:pPr>
        <w:pStyle w:val="Heading2"/>
        <w:numPr>
          <w:ilvl w:val="0"/>
          <w:numId w:val="0"/>
        </w:numPr>
      </w:pPr>
      <w:r w:rsidRPr="147095AF" w:rsidR="147095AF">
        <w:rPr>
          <w:color w:val="14617D" w:themeColor="accent6" w:themeTint="FF" w:themeShade="FF"/>
        </w:rPr>
        <w:t>The disruption case is specific and testable</w:t>
      </w:r>
    </w:p>
    <w:p w:rsidR="147095AF" w:rsidRDefault="147095AF" w14:noSpellErr="1" w14:paraId="2771F475" w14:textId="4A271556">
      <w:r w:rsidR="147095AF">
        <w:rPr/>
        <w:t>ISG's large-contract data show price deflation and a sharp gap between cloud and managed-services ACV growth; Microsoft, AWS and ServiceNow are taking routine administration and security triage inside their platforms. [4, 12, 13, 19, 21] Kaseya's survey shows pressure in smaller contracts, value demonstration and hiring, while the Q4 2024 profitability index recorded 18% of MSPs operating at a loss. [6, 2] The risks compound for a provider whose fee is anchored to endpoints, whose labour cost cannot adjust before renewal, and whose AI usage, cyber incidents and platform licence inflation are uncapped. This is a causal business-model stress mechanism, not evidence of an observed mass failure rate.</w:t>
      </w:r>
    </w:p>
    <w:p w:rsidR="147095AF" w:rsidRDefault="147095AF" w14:noSpellErr="1" w14:paraId="64611F75" w14:textId="15B31143">
      <w:r w:rsidR="147095AF">
        <w:rPr/>
        <w:t>A security-first specialist is not guaranteed to outperform a capable generalist. Gartner's security-services spending forecast and Huntress's vendor-reported growth establish a demand and scaling opportunity, not a matched-firm return study; a generalist can retain the relationship while partnering for MDR or SOC depth. [22, 40] Building these capabilities internally can require expensive coverage, scarce skills, insurance and incident liability. ISC2 reports widening skills needs alongside budget cuts, so the margin case must be proven line by line. [32] Nor is 'managed AI' automatically defensible: platform-native governance may absorb its simple features, while evaluation, data residency, prompt injection, error handling and consumption make bespoke delivery costly. [12, 13, 24, 26, 45]</w:t>
      </w:r>
    </w:p>
    <w:p w:rsidR="147095AF" w:rsidRDefault="147095AF" w14:noSpellErr="1" w14:paraId="72BF6E7A" w14:textId="66BB4D1C">
      <w:r w:rsidR="147095AF">
        <w:rPr/>
        <w:t>The thesis would weaken if conventional client cohorts sustain inflation-adjusted price, retention and gross profit as platform automation spreads, if measured AI savings remain largely with providers, and if customers continue to value accountable bundled support without a material new-service mix. It would strengthen if renewals reprice down faster than fully loaded delivery cost, high-volume work moves to native agents, security claims outstrip response capacity, and buyers discount low-differentiation assets despite a growing total market. Track these conditions over successive cohorts; do not infer causal disruption from one quarter or one vendor case. [1, 2, 4, 6, 12, 25]</w:t>
      </w:r>
    </w:p>
    <w:p w:rsidR="147095AF" w:rsidP="147095AF" w:rsidRDefault="147095AF" w14:noSpellErr="1" w14:paraId="44908086" w14:textId="3E225614">
      <w:pPr>
        <w:pStyle w:val="Heading1"/>
        <w:numPr>
          <w:ilvl w:val="0"/>
          <w:numId w:val="0"/>
        </w:numPr>
      </w:pPr>
      <w:r w:rsidRPr="147095AF" w:rsidR="147095AF">
        <w:rPr>
          <w:color w:val="14617D" w:themeColor="accent6" w:themeTint="FF" w:themeShade="FF"/>
        </w:rPr>
        <w:t>Final Conclusions</w:t>
      </w:r>
    </w:p>
    <w:p w:rsidR="147095AF" w:rsidRDefault="147095AF" w14:noSpellErr="1" w14:paraId="156374E0" w14:textId="6068E9D6">
      <w:r w:rsidR="147095AF">
        <w:rPr/>
        <w:t>Answer to the board's 2030 question: yes, the MSP/TSP channel is likely to remain viable, but the traditional labour-heavy generalist model is not reliably viable as an unchanged growth and valuation strategy. The channel's measured and forecast growth rejects a blanket extinction claim. [1, 3, 33] Enterprise price pressure, platform-native automation, uneven provider profit and the migration of spend toward security, cloud and software make a strong case for structural repricing and bifurcation. [2, 4, 5, 6, 12, 22] This conclusion is a strategic assessment, not a claim that most providers will fail by a known date.</w:t>
      </w:r>
    </w:p>
    <w:p w:rsidR="147095AF" w:rsidRDefault="147095AF" w14:noSpellErr="1" w14:paraId="2780CD51" w14:textId="7438298E">
      <w:r w:rsidR="147095AF">
        <w:rPr/>
        <w:t>The most important distinction is between reducing the cost of support and owning the value of an outcome. AI can make a fixed-fee MSP more profitable, but can also erase its labour-based sales rationale and introduce variable consumption, rework and liability. The observable evidence so far is stronger for selective productivity and augmentation than for wholesale autonomous replacement. [6, 9, 16, 25, 26, 27] A security-led, automation-enabled and business-process-aware provider can use the same platforms to serve more clients and sell control, assurance and change; a provider that merely bills for activity has less room to defend price.</w:t>
      </w:r>
    </w:p>
    <w:p w:rsidR="147095AF" w:rsidRDefault="147095AF" w14:noSpellErr="1" w14:paraId="1A277E9B" w14:textId="616AD06A">
      <w:r w:rsidR="147095AF">
        <w:rPr/>
        <w:t>The recommended capital-allocation choice is a staged transition: prove core unit economics, secure the control plane, automate safe work with quality gates, and build a narrow set of recurring security, governance, data and managed-AI products whose gross profit is measurable. Do not buy every new tool, promise every outcome or cite the report's illustrative 2035 population allocations as a forecast. Reassess the thesis against price retention, cohort margins, verified automation, security incidents and new-service recurring revenue every quarter. [1, 2, 4, 6, 12, 24, 33]</w:t>
      </w:r>
    </w:p>
    <w:p w:rsidR="147095AF" w:rsidP="147095AF" w:rsidRDefault="147095AF" w14:noSpellErr="1" w14:paraId="6EE0FDF0" w14:textId="398CB583">
      <w:pPr>
        <w:pStyle w:val="Heading1"/>
        <w:numPr>
          <w:ilvl w:val="0"/>
          <w:numId w:val="0"/>
        </w:numPr>
      </w:pPr>
      <w:r w:rsidRPr="147095AF" w:rsidR="147095AF">
        <w:rPr>
          <w:color w:val="14617D" w:themeColor="accent6" w:themeTint="FF" w:themeShade="FF"/>
        </w:rPr>
        <w:t>Complete Reference List</w:t>
      </w:r>
    </w:p>
    <w:p w:rsidR="147095AF" w:rsidRDefault="147095AF" w14:noSpellErr="1" w14:paraId="7D0EB2C9" w14:textId="4E3307D8">
      <w:r w:rsidR="147095AF">
        <w:rPr/>
        <w:t>Numbered references correspond to the bracketed citations in the report. Original public links were checked or traced to the publisher as of 23 September 2026. 'Forecast' and 'survey' labels distinguish prospective or self-reported material from company disclosures and measured research. A link is provided as plain text for verification.</w:t>
      </w:r>
    </w:p>
    <w:p w:rsidR="147095AF" w:rsidP="147095AF" w:rsidRDefault="147095AF" w14:noSpellErr="1" w14:paraId="4C8CE3FF" w14:textId="248C4EE8">
      <w:pPr>
        <w:pStyle w:val="Heading2"/>
        <w:numPr>
          <w:ilvl w:val="0"/>
          <w:numId w:val="0"/>
        </w:numPr>
      </w:pPr>
      <w:r w:rsidRPr="147095AF" w:rsidR="147095AF">
        <w:rPr>
          <w:color w:val="14617D" w:themeColor="accent6" w:themeTint="FF" w:themeShade="FF"/>
        </w:rPr>
        <w:t>Market, operating economics and surveys</w:t>
      </w:r>
    </w:p>
    <w:p w:rsidR="147095AF" w:rsidRDefault="147095AF" w14:noSpellErr="1" w14:paraId="6CFFBD82" w14:textId="6FE121E7">
      <w:r w:rsidRPr="147095AF" w:rsidR="147095AF">
        <w:rPr>
          <w:sz w:val="18"/>
          <w:szCs w:val="18"/>
        </w:rPr>
        <w:t>[1] Service Leadership / ConnectWise. Service Leadership Report Reveals Historic Growth for IT Solution Providers, 23 June 2026. Public annual benchmark summary. https://www.connectwise.com/company/press/releases/service-leadership-report-reveals-historic-growth-for-it-solution-providers-and-the-operational-factors-defining-this-economic-shift</w:t>
      </w:r>
    </w:p>
    <w:p w:rsidR="147095AF" w:rsidRDefault="147095AF" w14:noSpellErr="1" w14:paraId="75D97F6A" w14:textId="5772CBE4">
      <w:r w:rsidRPr="147095AF" w:rsidR="147095AF">
        <w:rPr>
          <w:sz w:val="18"/>
          <w:szCs w:val="18"/>
        </w:rPr>
        <w:t>[2] Service Leadership / ConnectWise. Service Leadership Index Q4 Data, 13 February 2025. Quarterly benchmark summary. https://www.connectwise.com/company/press/releases/service-leadership-index-q4-data</w:t>
      </w:r>
    </w:p>
    <w:p w:rsidR="147095AF" w:rsidRDefault="147095AF" w14:noSpellErr="1" w14:paraId="381A1C9A" w14:textId="353074DF">
      <w:r w:rsidRPr="147095AF" w:rsidR="147095AF">
        <w:rPr>
          <w:sz w:val="18"/>
          <w:szCs w:val="18"/>
        </w:rPr>
        <w:t>[3] Robin Ody, Omdia. MSP trends and predictions 2025: executive summary, 15 January 2025. Analyst forecast. https://omdia.tech.informa.com/blogs/2025/jan/msp%20trends%20and%20predictions%202025%20-%20executive%20summary</w:t>
      </w:r>
    </w:p>
    <w:p w:rsidR="147095AF" w:rsidRDefault="147095AF" w14:noSpellErr="1" w14:paraId="5754E6A8" w14:textId="16DEBD64">
      <w:r w:rsidRPr="147095AF" w:rsidR="147095AF">
        <w:rPr>
          <w:sz w:val="18"/>
          <w:szCs w:val="18"/>
        </w:rPr>
        <w:t>[4] ISG. 2Q26 Global ISG Index: Global Tech Services Market Grows at Fastest Pace Ever, 9 July 2026. Enterprise ACV data and forecast. https://ir.isg-one.com/news-market-information/press-releases/news-details/2026/Global-Tech-Services-Market-Grows-at-Fastest-Pace-Ever-in-Q2-Propelled-by-Soaring-AI-Demand-ISG-Index/default.aspx</w:t>
      </w:r>
    </w:p>
    <w:p w:rsidR="147095AF" w:rsidRDefault="147095AF" w14:noSpellErr="1" w14:paraId="51AF9F13" w14:textId="23BF1251">
      <w:r w:rsidRPr="147095AF" w:rsidR="147095AF">
        <w:rPr>
          <w:sz w:val="18"/>
          <w:szCs w:val="18"/>
        </w:rPr>
        <w:t>[5] Gartner. Worldwide IT Spending Forecast, 27 July 2026. Spending forecast. https://www.gartner.com/en/newsroom/press-releases/2026-07-27-gartner-forecasts-worldwide-it-spending-to-grow-14-point-2-percent-in-2026-totaling-6-point-37-trillion</w:t>
      </w:r>
    </w:p>
    <w:p w:rsidR="147095AF" w:rsidRDefault="147095AF" w14:noSpellErr="1" w14:paraId="77B6FCE7" w14:textId="5A4956A4">
      <w:r w:rsidRPr="147095AF" w:rsidR="147095AF">
        <w:rPr>
          <w:sz w:val="18"/>
          <w:szCs w:val="18"/>
        </w:rPr>
        <w:t>[6] Kaseya. 2026 State of the MSP Report, survey fielded November 2025, n=1,061. Vendor-sponsored survey. https://www.kaseya.com/assets/downloads/resources/Kaseya_2026-State-of-the-MSP_report_2026.pdf</w:t>
      </w:r>
    </w:p>
    <w:p w:rsidR="147095AF" w:rsidP="147095AF" w:rsidRDefault="147095AF" w14:noSpellErr="1" w14:paraId="4F27D909" w14:textId="2ADC37EA">
      <w:pPr>
        <w:pStyle w:val="Heading2"/>
        <w:numPr>
          <w:ilvl w:val="0"/>
          <w:numId w:val="0"/>
        </w:numPr>
      </w:pPr>
      <w:r w:rsidRPr="147095AF" w:rsidR="147095AF">
        <w:rPr>
          <w:color w:val="14617D" w:themeColor="accent6" w:themeTint="FF" w:themeShade="FF"/>
        </w:rPr>
        <w:t>Microsoft strategy and partner programme</w:t>
      </w:r>
    </w:p>
    <w:p w:rsidR="147095AF" w:rsidRDefault="147095AF" w14:noSpellErr="1" w14:paraId="56D196C9" w14:textId="20EE8BCF">
      <w:r w:rsidRPr="147095AF" w:rsidR="147095AF">
        <w:rPr>
          <w:sz w:val="18"/>
          <w:szCs w:val="18"/>
        </w:rPr>
        <w:t>[7] Microsoft. 2025 Annual Report, published October 2025. Company annual report and strategic priorities. https://www.microsoft.com/investor/reports/ar25/index.html</w:t>
      </w:r>
    </w:p>
    <w:p w:rsidR="147095AF" w:rsidRDefault="147095AF" w14:noSpellErr="1" w14:paraId="14E46DB0" w14:textId="4515E918">
      <w:r w:rsidRPr="147095AF" w:rsidR="147095AF">
        <w:rPr>
          <w:sz w:val="18"/>
          <w:szCs w:val="18"/>
        </w:rPr>
        <w:t>[8] Microsoft Investor Relations. FY26 Q4 Earnings Release, 29 July 2026. Company financial disclosure. https://www.microsoft.com/en-us/Investor/earnings/FY-2026-Q4/press-release-webcast</w:t>
      </w:r>
    </w:p>
    <w:p w:rsidR="147095AF" w:rsidRDefault="147095AF" w14:noSpellErr="1" w14:paraId="29984A35" w14:textId="785F28AB">
      <w:r w:rsidRPr="147095AF" w:rsidR="147095AF">
        <w:rPr>
          <w:sz w:val="18"/>
          <w:szCs w:val="18"/>
        </w:rPr>
        <w:t>[9] Microsoft Investor Relations. FY2026 Fourth Quarter Earnings Conference Call transcript, 29 July 2026. Management statements and financial commentary. https://www.microsoft.com/en-us/investor/events/fy-2026/earnings-fy-2026-q4</w:t>
      </w:r>
    </w:p>
    <w:p w:rsidR="147095AF" w:rsidRDefault="147095AF" w14:noSpellErr="1" w14:paraId="2A17F599" w14:textId="31046B22">
      <w:r w:rsidRPr="147095AF" w:rsidR="147095AF">
        <w:rPr>
          <w:sz w:val="18"/>
          <w:szCs w:val="18"/>
        </w:rPr>
        <w:t>[10] Microsoft Licensing. Microsoft 365 Pricing and Packaging Updates, 16 February 2026; changes effective 1 July 2026. Official price list and feature packaging. https://www.microsoft.com/en-us/licensing/news/2026-M365-Packaging-Pricing-Updates</w:t>
      </w:r>
    </w:p>
    <w:p w:rsidR="147095AF" w:rsidRDefault="147095AF" w14:noSpellErr="1" w14:paraId="275BACF6" w14:textId="7775662C">
      <w:r w:rsidRPr="147095AF" w:rsidR="147095AF">
        <w:rPr>
          <w:sz w:val="18"/>
          <w:szCs w:val="18"/>
        </w:rPr>
        <w:t>[11] Microsoft Learn. Requirements for CSP Direct-Bill Partners, updated 7 October 2025. Official partner requirements. https://learn.microsoft.com/en-us/partner-center/enroll/direct-partner-new-requirements</w:t>
      </w:r>
    </w:p>
    <w:p w:rsidR="147095AF" w:rsidRDefault="147095AF" w14:noSpellErr="1" w14:paraId="146E53C1" w14:textId="4907C230">
      <w:r w:rsidRPr="147095AF" w:rsidR="147095AF">
        <w:rPr>
          <w:sz w:val="18"/>
          <w:szCs w:val="18"/>
        </w:rPr>
        <w:t>[12] Microsoft. Ignite 2025 Book of News, 18 November 2025. Official product announcements; individual items specify general availability or preview. https://news.microsoft.com/ignite-2025-book-of-news/</w:t>
      </w:r>
    </w:p>
    <w:p w:rsidR="147095AF" w:rsidRDefault="147095AF" w14:noSpellErr="1" w14:paraId="18502D1E" w14:textId="1D9B1CDC">
      <w:r w:rsidRPr="147095AF" w:rsidR="147095AF">
        <w:rPr>
          <w:sz w:val="18"/>
          <w:szCs w:val="18"/>
        </w:rPr>
        <w:t>[13] Microsoft Learn. Security Copilot for Microsoft 365 E5 and E7 Included Customers, updated 19 June 2026. Product eligibility, capacity and setup. https://learn.microsoft.com/en-us/copilot/security/security-copilot-inclusion</w:t>
      </w:r>
    </w:p>
    <w:p w:rsidR="147095AF" w:rsidRDefault="147095AF" w14:noSpellErr="1" w14:paraId="69D05801" w14:textId="7F579AD0">
      <w:r w:rsidRPr="147095AF" w:rsidR="147095AF">
        <w:rPr>
          <w:sz w:val="18"/>
          <w:szCs w:val="18"/>
        </w:rPr>
        <w:t>[14] Microsoft Official Blog. Introducing the First Frontier Suite Built on Intelligence and Trust, 9 March 2026. E7 product announcement. https://blogs.microsoft.com/blog/2026/03/09/introducing-the-first-frontier-suite-built-on-intelligence-trust/</w:t>
      </w:r>
    </w:p>
    <w:p w:rsidR="147095AF" w:rsidRDefault="147095AF" w14:noSpellErr="1" w14:paraId="7CE5E293" w14:textId="247C2DB8">
      <w:r w:rsidRPr="147095AF" w:rsidR="147095AF">
        <w:rPr>
          <w:sz w:val="18"/>
          <w:szCs w:val="18"/>
        </w:rPr>
        <w:t>[15] Microsoft Official Blog. Microsoft Frontier Company: AI Engineering That Amplifies and Protects Your Intelligence, 2 July 2026. Vendor programme announcement. https://blogs.microsoft.com/blog/2026/07/02/microsoft-frontier-company-ai-engineering-that-amplifies-and-protects-your-intelligence/</w:t>
      </w:r>
    </w:p>
    <w:p w:rsidR="147095AF" w:rsidRDefault="147095AF" w14:noSpellErr="1" w14:paraId="44AEEF43" w14:textId="4D88B64D">
      <w:r w:rsidRPr="147095AF" w:rsidR="147095AF">
        <w:rPr>
          <w:sz w:val="18"/>
          <w:szCs w:val="18"/>
        </w:rPr>
        <w:t>[16] Microsoft Inside Track. Transforming IT Support with the Employee Self-Service Agent, 7 May 2026. Vendor internal case study; stated goal distinguished from observed usage. https://www.microsoft.com/insidetrack/blog/transforming-it-support-across-microsoft-with-the-employee-self-service-agent/</w:t>
      </w:r>
    </w:p>
    <w:p w:rsidR="147095AF" w:rsidRDefault="147095AF" w14:noSpellErr="1" w14:paraId="605B4AEB" w14:textId="60479AEF">
      <w:r w:rsidRPr="147095AF" w:rsidR="147095AF">
        <w:rPr>
          <w:sz w:val="18"/>
          <w:szCs w:val="18"/>
        </w:rPr>
        <w:t>[17] Microsoft Official Blog. Microsoft at 50: The Journey and Future of the Partner Ecosystem, 24 March 2025. Vendor description; associated IDC partner economics study is sponsored. https://blogs.microsoft.com/blog/2025/03/24/microsoft-at-50-the-journey-and-future-of-the-partner-ecosystem/</w:t>
      </w:r>
    </w:p>
    <w:p w:rsidR="147095AF" w:rsidRDefault="147095AF" w14:noSpellErr="1" w14:paraId="7BE90C6D" w14:textId="37EC2BEB">
      <w:r w:rsidRPr="147095AF" w:rsidR="147095AF">
        <w:rPr>
          <w:sz w:val="18"/>
          <w:szCs w:val="18"/>
        </w:rPr>
        <w:t>[18] Pax8. Microsoft Incentives FY27 Updates, 28 July 2026. Partner-reported secondary summary; primary incentive guide not verified. https://www.pax8.com/blog/microsoft-incentives-fy27-updates/</w:t>
      </w:r>
    </w:p>
    <w:p w:rsidR="147095AF" w:rsidP="147095AF" w:rsidRDefault="147095AF" w14:noSpellErr="1" w14:paraId="2B498F09" w14:textId="1113277F">
      <w:pPr>
        <w:pStyle w:val="Heading2"/>
        <w:numPr>
          <w:ilvl w:val="0"/>
          <w:numId w:val="0"/>
        </w:numPr>
      </w:pPr>
      <w:r w:rsidRPr="147095AF" w:rsidR="147095AF">
        <w:rPr>
          <w:color w:val="14617D" w:themeColor="accent6" w:themeTint="FF" w:themeShade="FF"/>
        </w:rPr>
        <w:t>Platforms, security and AI forecasts</w:t>
      </w:r>
    </w:p>
    <w:p w:rsidR="147095AF" w:rsidRDefault="147095AF" w14:noSpellErr="1" w14:paraId="3DC516E8" w14:textId="5B149080">
      <w:r w:rsidRPr="147095AF" w:rsidR="147095AF">
        <w:rPr>
          <w:sz w:val="18"/>
          <w:szCs w:val="18"/>
        </w:rPr>
        <w:t>[19] Amazon Investor Relations. Second Quarter 2026 Results, 30 July 2026. AWS segment financials and product announcements. https://ir.aboutamazon.com/news-release/news-release-details/2026/Amazon-com-Announces-Second-Quarter-Results/</w:t>
      </w:r>
    </w:p>
    <w:p w:rsidR="147095AF" w:rsidRDefault="147095AF" w14:noSpellErr="1" w14:paraId="3ADE5CEE" w14:textId="1774CCF9">
      <w:r w:rsidRPr="147095AF" w:rsidR="147095AF">
        <w:rPr>
          <w:sz w:val="18"/>
          <w:szCs w:val="18"/>
        </w:rPr>
        <w:t>[20] Alphabet Investor Relations. Second Quarter 2026 Results, 22 July 2026. Google Cloud segment financials. https://s206.q4cdn.com/479360582/files/doc_financials/2026/q2/2026q2-alphabet-earnings-release.pdf</w:t>
      </w:r>
    </w:p>
    <w:p w:rsidR="147095AF" w:rsidRDefault="147095AF" w14:noSpellErr="1" w14:paraId="1D0CC326" w14:textId="56E046FB">
      <w:r w:rsidRPr="147095AF" w:rsidR="147095AF">
        <w:rPr>
          <w:sz w:val="18"/>
          <w:szCs w:val="18"/>
        </w:rPr>
        <w:t>[21] ServiceNow. Second Quarter 2026 Financial Results, 22 July 2026. Subscription revenue, AI ACV and product announcements. https://newsroom.servicenow.com/press-releases/details/2026/ServiceNow-Reports-Second-Quarter-2026-Financial-Results/default.aspx</w:t>
      </w:r>
    </w:p>
    <w:p w:rsidR="147095AF" w:rsidRDefault="147095AF" w14:noSpellErr="1" w14:paraId="7303031C" w14:textId="5A61CAE9">
      <w:r w:rsidRPr="147095AF" w:rsidR="147095AF">
        <w:rPr>
          <w:sz w:val="18"/>
          <w:szCs w:val="18"/>
        </w:rPr>
        <w:t>[22] Gartner. Information Security End-User Spending Forecast, 29 July 2025. 2024–26 spending forecast. https://www.gartner.com/en/newsroom/press-releases/2025-07-29-gartner-forecasts-worldwide-end-user-spending-on-information-security-to-total-213-billion-us-dollars-in-2025</w:t>
      </w:r>
    </w:p>
    <w:p w:rsidR="147095AF" w:rsidRDefault="147095AF" w14:noSpellErr="1" w14:paraId="60B09639" w14:textId="7647122C">
      <w:r w:rsidRPr="147095AF" w:rsidR="147095AF">
        <w:rPr>
          <w:sz w:val="18"/>
          <w:szCs w:val="18"/>
        </w:rPr>
        <w:t>[23] Gartner. Agentic AI to Resolve 80% of Common Customer Service Issues by 2029, 5 March 2025. Analyst forecast, not MSP measurement. https://www.gartner.com/en/newsroom/press-releases/2025-03-05-gartner-predicts-agentic-ai-will-autonomously-resolve-80-percent-of-common-customer-service-issues-without-human-intervention-by-20290</w:t>
      </w:r>
    </w:p>
    <w:p w:rsidR="147095AF" w:rsidRDefault="147095AF" w14:noSpellErr="1" w14:paraId="12C5DEE9" w14:textId="199C912F">
      <w:r w:rsidRPr="147095AF" w:rsidR="147095AF">
        <w:rPr>
          <w:sz w:val="18"/>
          <w:szCs w:val="18"/>
        </w:rPr>
        <w:t>[24] Gartner. Over 40% of Agentic AI Projects Will Be Canceled by End of 2027, 25 June 2025. Analyst forecast. https://www.gartner.com/en/newsroom/press-releases/2025-06-25-gartner-predicts-over-40-percent-of-agentic-ai-projects-will-be-canceled-by-end-of-2027</w:t>
      </w:r>
    </w:p>
    <w:p w:rsidR="147095AF" w:rsidRDefault="147095AF" w14:noSpellErr="1" w14:paraId="6D6B1B62" w14:textId="6F55AA1D">
      <w:r w:rsidRPr="147095AF" w:rsidR="147095AF">
        <w:rPr>
          <w:sz w:val="18"/>
          <w:szCs w:val="18"/>
        </w:rPr>
        <w:t>[25] Gartner. Only 20% of Customer Service Leaders Report AI-Driven Headcount Reduction, 2 December 2025. October 2025 survey, n=321. https://www.gartner.com/en/newsroom/press-releases/2025-12-02-gartner-survey-finds-only-20-percent-of-customer-service-leaders-report-ai-driven-headcount-reduction</w:t>
      </w:r>
    </w:p>
    <w:p w:rsidR="147095AF" w:rsidRDefault="147095AF" w14:noSpellErr="1" w14:paraId="667C5EB9" w14:textId="2C3BB688">
      <w:r w:rsidRPr="147095AF" w:rsidR="147095AF">
        <w:rPr>
          <w:sz w:val="18"/>
          <w:szCs w:val="18"/>
        </w:rPr>
        <w:t>[26] McKinsey. The State of AI in 2025: Agents, Innovation, and Transformation, 5 November 2025. Global survey, n=1,993. https://www.mckinsey.com/capabilities/quantumblack/our-insights/the-state-of-ai-2025</w:t>
      </w:r>
    </w:p>
    <w:p w:rsidR="147095AF" w:rsidP="147095AF" w:rsidRDefault="147095AF" w14:noSpellErr="1" w14:paraId="34B25B2B" w14:textId="28C225CE">
      <w:pPr>
        <w:pStyle w:val="Heading2"/>
        <w:numPr>
          <w:ilvl w:val="0"/>
          <w:numId w:val="0"/>
        </w:numPr>
      </w:pPr>
      <w:r w:rsidRPr="147095AF" w:rsidR="147095AF">
        <w:rPr>
          <w:color w:val="14617D" w:themeColor="accent6" w:themeTint="FF" w:themeShade="FF"/>
        </w:rPr>
        <w:t>Labour, productivity and buying behaviour</w:t>
      </w:r>
    </w:p>
    <w:p w:rsidR="147095AF" w:rsidRDefault="147095AF" w14:noSpellErr="1" w14:paraId="452DCBB2" w14:textId="4F535864">
      <w:r w:rsidRPr="147095AF" w:rsidR="147095AF">
        <w:rPr>
          <w:sz w:val="18"/>
          <w:szCs w:val="18"/>
        </w:rPr>
        <w:t>[27] Erik Brynjolfsson, Danielle Li and Lindsey Raymond. Generative AI at Work, Quarterly Journal of Economics 140(2), 2025, pp. 889–942. Peer-reviewed support-agent field study. https://doi.org/10.1093/qje/qjae044</w:t>
      </w:r>
    </w:p>
    <w:p w:rsidR="147095AF" w:rsidRDefault="147095AF" w14:noSpellErr="1" w14:paraId="4F9BB77D" w14:textId="6FD52C6A">
      <w:r w:rsidRPr="147095AF" w:rsidR="147095AF">
        <w:rPr>
          <w:sz w:val="18"/>
          <w:szCs w:val="18"/>
        </w:rPr>
        <w:t>[28] METR. We Are Changing Our Developer Productivity Experiment Design, 24 February 2026. Follow-up qualification of early-2025 RCT and late-2025 selection bias. https://metr.org/blog/2026-02-24-uplift-update/</w:t>
      </w:r>
    </w:p>
    <w:p w:rsidR="147095AF" w:rsidRDefault="147095AF" w14:noSpellErr="1" w14:paraId="20884EFE" w14:textId="34E03F5E">
      <w:r w:rsidRPr="147095AF" w:rsidR="147095AF">
        <w:rPr>
          <w:sz w:val="18"/>
          <w:szCs w:val="18"/>
        </w:rPr>
        <w:t>[29] U.S. Bureau of Labor Statistics. Occupational Outlook Handbook: Computer Support Specialists, updated 27 August 2026. 2025–35 projections. https://www.bls.gov/ooh/computer-and-information-technology/computer-support-specialists.htm</w:t>
      </w:r>
    </w:p>
    <w:p w:rsidR="147095AF" w:rsidRDefault="147095AF" w14:noSpellErr="1" w14:paraId="3860FD19" w14:textId="288C5ED3">
      <w:r w:rsidRPr="147095AF" w:rsidR="147095AF">
        <w:rPr>
          <w:sz w:val="18"/>
          <w:szCs w:val="18"/>
        </w:rPr>
        <w:t>[30] U.S. Bureau of Labor Statistics. Occupational Outlook Handbook: Network and Computer Systems Administrators, updated 27 August 2026. 2025–35 projections. https://www.bls.gov/ooh/computer-and-information-technology/network-and-computer-systems-administrators.htm</w:t>
      </w:r>
    </w:p>
    <w:p w:rsidR="147095AF" w:rsidRDefault="147095AF" w14:noSpellErr="1" w14:paraId="47548932" w14:textId="2873364D">
      <w:r w:rsidRPr="147095AF" w:rsidR="147095AF">
        <w:rPr>
          <w:sz w:val="18"/>
          <w:szCs w:val="18"/>
        </w:rPr>
        <w:t>[31] Erik Brynjolfsson, Bharat Chandar and Ruyu Chen, Stanford Digital Economy Lab. Canaries in the Coal Mine? Six Facts about the Recent Employment Effects of AI, revised 12 August 2026. Descriptive payroll study. https://digitaleconomy.stanford.edu/publication/canaries-in-the-coal-mine-six-facts-about-the-recent-employment-effects-of-artificial-intelligence/</w:t>
      </w:r>
    </w:p>
    <w:p w:rsidR="147095AF" w:rsidRDefault="147095AF" w14:noSpellErr="1" w14:paraId="60A253D8" w14:textId="18EC720D">
      <w:r w:rsidRPr="147095AF" w:rsidR="147095AF">
        <w:rPr>
          <w:sz w:val="18"/>
          <w:szCs w:val="18"/>
        </w:rPr>
        <w:t>[32] ISC2. 2025 Cybersecurity Workforce Study, 4 December 2025. Global practitioner survey, n=16,029. https://www.isc2.org/insights/2025/12/2025-ISC2-Cybersecurity-Workforce-Study</w:t>
      </w:r>
    </w:p>
    <w:p w:rsidR="147095AF" w:rsidRDefault="147095AF" w14:noSpellErr="1" w14:paraId="12B8D257" w14:textId="765E5DA9">
      <w:r w:rsidRPr="147095AF" w:rsidR="147095AF">
        <w:rPr>
          <w:sz w:val="18"/>
          <w:szCs w:val="18"/>
        </w:rPr>
        <w:t>[33] Omdia. Hyperscaler Cloud Marketplace Sales to Hit US$163 Billion by 2030, 6 October 2025. Analyst forecast. https://omdia.tech.informa.com/pr/2025/oct/hyperscaler-cloud-marketplace-sales-to-hit-us-163-billion-us-dollars-by-2030</w:t>
      </w:r>
    </w:p>
    <w:p w:rsidR="147095AF" w:rsidRDefault="147095AF" w14:noSpellErr="1" w14:paraId="4367AB21" w14:textId="2BEA7427">
      <w:r w:rsidRPr="147095AF" w:rsidR="147095AF">
        <w:rPr>
          <w:sz w:val="18"/>
          <w:szCs w:val="18"/>
        </w:rPr>
        <w:t>[34] Gartner. Sales Survey Finds 67% of B2B Buyers Prefer a Rep-Free Experience, 9 March 2026. General B2B survey, not MSP-specific. https://www.gartner.com/en/newsroom/press-releases/2026-03-09-gartner-sales-survey-finds-67-percent-of-b2b-buyers-prefer-a-rep-free-experience</w:t>
      </w:r>
    </w:p>
    <w:p w:rsidR="147095AF" w:rsidP="147095AF" w:rsidRDefault="147095AF" w14:noSpellErr="1" w14:paraId="4F0E8128" w14:textId="5FC3F591">
      <w:pPr>
        <w:pStyle w:val="Heading2"/>
        <w:numPr>
          <w:ilvl w:val="0"/>
          <w:numId w:val="0"/>
        </w:numPr>
      </w:pPr>
      <w:r w:rsidRPr="147095AF" w:rsidR="147095AF">
        <w:rPr>
          <w:color w:val="14617D" w:themeColor="accent6" w:themeTint="FF" w:themeShade="FF"/>
        </w:rPr>
        <w:t>Public-company analogies and specialist evidence</w:t>
      </w:r>
    </w:p>
    <w:p w:rsidR="147095AF" w:rsidRDefault="147095AF" w14:noSpellErr="1" w14:paraId="38CB302F" w14:textId="42AB3F6F">
      <w:r w:rsidRPr="147095AF" w:rsidR="147095AF">
        <w:rPr>
          <w:sz w:val="18"/>
          <w:szCs w:val="18"/>
        </w:rPr>
        <w:t>[35] Accenture. Third-Quarter Fiscal 2026 Results, 18 June 2026. Company managed-services performance. https://newsroom.accenture.com/news/2026/accenture-reports-third-quarter-fiscal-2026-results</w:t>
      </w:r>
    </w:p>
    <w:p w:rsidR="147095AF" w:rsidRDefault="147095AF" w14:noSpellErr="1" w14:paraId="33569543" w14:textId="7CB70AB3">
      <w:r w:rsidRPr="147095AF" w:rsidR="147095AF">
        <w:rPr>
          <w:sz w:val="18"/>
          <w:szCs w:val="18"/>
        </w:rPr>
        <w:t>[36] Rackspace Technology. Fourth Quarter and Full Year 2025 Results, 26 February 2026. Public-company cloud-services disclosures. https://ir.rackspace.com/node/13231/pdf</w:t>
      </w:r>
    </w:p>
    <w:p w:rsidR="147095AF" w:rsidRDefault="147095AF" w14:noSpellErr="1" w14:paraId="7CDA3822" w14:textId="2D908F4B">
      <w:r w:rsidRPr="147095AF" w:rsidR="147095AF">
        <w:rPr>
          <w:sz w:val="18"/>
          <w:szCs w:val="18"/>
        </w:rPr>
        <w:t>[37] DXC Technology. Fourth Quarter and Full Fiscal Year 2026 Results, 7 May 2026. Public-company infrastructure segment data. https://investors.dxc.com/investor-news/news-details/2026/DXC-Technology-Reports-Fourth-Quarter-and-Full-Fiscal-Year-2026-Results/default.aspx</w:t>
      </w:r>
    </w:p>
    <w:p w:rsidR="147095AF" w:rsidRDefault="147095AF" w14:noSpellErr="1" w14:paraId="35BA2EFD" w14:textId="7408A15E">
      <w:r w:rsidRPr="147095AF" w:rsidR="147095AF">
        <w:rPr>
          <w:sz w:val="18"/>
          <w:szCs w:val="18"/>
        </w:rPr>
        <w:t>[38] Kyndryl. Fourth-Quarter and Full-Year 2026 Results, 6 May 2026. Public-company consulting and infrastructure services disclosures. https://www.kyndryl.com/us/en/about-us/news/2026/05/annual-and-fourth-quarter-2026-earnings-results</w:t>
      </w:r>
    </w:p>
    <w:p w:rsidR="147095AF" w:rsidRDefault="147095AF" w14:noSpellErr="1" w14:paraId="6D0C6BC0" w14:textId="542EEBA2">
      <w:r w:rsidRPr="147095AF" w:rsidR="147095AF">
        <w:rPr>
          <w:sz w:val="18"/>
          <w:szCs w:val="18"/>
        </w:rPr>
        <w:t>[39] James Bessen. Toil and Technology, IMF Finance &amp; Development, March 2015. Historical bank-teller and ATM analysis. https://www.imf.org/external/pubs/ft/fandd/2015/03/bessen.htm</w:t>
      </w:r>
    </w:p>
    <w:p w:rsidR="147095AF" w:rsidRDefault="147095AF" w14:noSpellErr="1" w14:paraId="174DA481" w14:textId="6E0EBE54">
      <w:r w:rsidRPr="147095AF" w:rsidR="147095AF">
        <w:rPr>
          <w:sz w:val="18"/>
          <w:szCs w:val="18"/>
        </w:rPr>
        <w:t>[40] Huntress. Huntress Surpasses US$250 Million in ARR, 30 July 2026. Unaudited vendor-reported specialist growth and channel reach. https://www.huntress.com/press-release/huntress-surpasses-250-million-in-arr</w:t>
      </w:r>
    </w:p>
    <w:p w:rsidR="147095AF" w:rsidP="147095AF" w:rsidRDefault="147095AF" w14:noSpellErr="1" w14:paraId="7C83BD43" w14:textId="1E38B069">
      <w:pPr>
        <w:pStyle w:val="Heading2"/>
        <w:numPr>
          <w:ilvl w:val="0"/>
          <w:numId w:val="0"/>
        </w:numPr>
      </w:pPr>
      <w:r w:rsidRPr="147095AF" w:rsidR="147095AF">
        <w:rPr>
          <w:color w:val="14617D" w:themeColor="accent6" w:themeTint="FF" w:themeShade="FF"/>
        </w:rPr>
        <w:t>Additional programme, pricing and roadmap sources</w:t>
      </w:r>
    </w:p>
    <w:p w:rsidR="147095AF" w:rsidRDefault="147095AF" w14:noSpellErr="1" w14:paraId="62FB5ED3" w14:textId="6402D30E">
      <w:r w:rsidRPr="147095AF" w:rsidR="147095AF">
        <w:rPr>
          <w:sz w:val="18"/>
          <w:szCs w:val="18"/>
        </w:rPr>
        <w:t>[41] Microsoft Learn, Partner Center. July 2026 Announcements. CSP trial and partner programme updates. https://learn.microsoft.com/en-us/partner-center/announcements/2026-july</w:t>
      </w:r>
    </w:p>
    <w:p w:rsidR="147095AF" w:rsidRDefault="147095AF" w14:paraId="25E0F6D4" w14:textId="75333355" w14:noSpellErr="1">
      <w:r w:rsidRPr="563DE6F2" w:rsidR="64AF5966">
        <w:rPr>
          <w:sz w:val="18"/>
          <w:szCs w:val="18"/>
        </w:rPr>
        <w:t>[42] Microsoft Learn. What Is Microsoft Defender Experts MDR?, updated 7 August 2026. Official Plan 1/Plan 2 service coverage, eligibility and boundaries. https://learn.microsoft.com/en-us/defender-xdr/defender-experts/defender-experts-mdr-overview</w:t>
      </w:r>
    </w:p>
    <w:p w:rsidR="147095AF" w:rsidRDefault="147095AF" w14:noSpellErr="1" w14:paraId="1DBBFB39" w14:textId="46360B20">
      <w:r w:rsidRPr="147095AF" w:rsidR="147095AF">
        <w:rPr>
          <w:sz w:val="18"/>
          <w:szCs w:val="18"/>
        </w:rPr>
        <w:t>[43] Intercom. Pricing. Public Fin per-outcome pricing as accessed 23 September 2026; commercial example, not MSP benchmark. https://www.intercom.com/pricing</w:t>
      </w:r>
    </w:p>
    <w:p w:rsidR="147095AF" w:rsidRDefault="147095AF" w14:noSpellErr="1" w14:paraId="251238F0" w14:textId="72A30CF4">
      <w:r w:rsidRPr="147095AF" w:rsidR="147095AF">
        <w:rPr>
          <w:sz w:val="18"/>
          <w:szCs w:val="18"/>
        </w:rPr>
        <w:t>[44] Microsoft. Build 2026 News Hub, May 2026. Official index of agent, Work IQ, Foundry and governance announcements; feature status varies by linked item. https://news.microsoft.com/build-2026/</w:t>
      </w:r>
    </w:p>
    <w:p w:rsidR="147095AF" w:rsidRDefault="147095AF" w14:noSpellErr="1" w14:paraId="249797A0" w14:textId="21CD8D44">
      <w:r w:rsidRPr="563DE6F2" w:rsidR="64AF5966">
        <w:rPr>
          <w:sz w:val="18"/>
          <w:szCs w:val="18"/>
        </w:rPr>
        <w:t>[45] Microsoft Learn. New and Planned Features for Power Platform Governance and Administration, 2026 Release Wave 1. Official roadmap; planned dates are subject to change. https://learn.microsoft.com/en-us/power-platform/release-plan/2026wave1/power-platform-governance-administration/planned-features</w:t>
      </w:r>
    </w:p>
    <w:p w:rsidR="563DE6F2" w:rsidP="563DE6F2" w:rsidRDefault="563DE6F2" w14:noSpellErr="1" w14:paraId="1F65940D" w14:textId="76F7655E">
      <w:pPr>
        <w:pStyle w:val="Heading2"/>
      </w:pPr>
      <w:r w:rsidRPr="563DE6F2" w:rsidR="563DE6F2">
        <w:rPr>
          <w:color w:val="14617D" w:themeColor="accent6" w:themeTint="FF" w:themeShade="FF"/>
        </w:rPr>
        <w:t>Evidence update protocol</w:t>
      </w:r>
    </w:p>
    <w:p w:rsidR="563DE6F2" w:rsidRDefault="563DE6F2" w14:noSpellErr="1" w14:paraId="68827A49" w14:textId="7DAC981C">
      <w:r w:rsidR="563DE6F2">
        <w:rPr/>
        <w:t>Refresh the thesis every quarter with like-for-like measures rather than new headlines. Record the Service Leadership metric and period (total MSP revenue, managed-services revenue, adjusted EBITDA and loss-making share), the ISG contract threshold and ACV mix, and the customer's actual service-line gross profit. [1, 2, 4] Replace Gartner and Omdia forecasts with later reported outcomes when available; do not compare their broad spend categories with a single provider's sales pipeline. [3, 5, 22, 33] Verify Microsoft release status, packaging, CSP requirements and signed incentive terms before changing customer pricing. [10, 11, 12, 13, 18, 45] An agent's registration, preview status or interaction share is not proof of autonomous resolution or net savings. [9, 12, 16]</w:t>
      </w:r>
    </w:p>
    <w:p w:rsidR="563DE6F2" w:rsidRDefault="563DE6F2" w14:noSpellErr="1" w14:paraId="5A59B95E" w14:textId="673E2F29">
      <w:r w:rsidR="563DE6F2">
        <w:rPr/>
        <w:t>For the financial model, substitute the provider's audited contract mix, direct labour and tool costs, verified AI usage, staffing, retention and operating expense for every illustrative input. Recalculate gross profit and EBITDA by cohort under separate price, volume, wage, automation-quality and token-cost sensitivities; track the cash needed for security coverage and integration. A multiple sensitivity is not an exit quote, and a single quarterly loss rate is not a firm-survival probability. [1, 2] Change the 2035 planning allocations only when a repeatable longitudinal cohort, credible transaction denominator or observed annual company exits supports doing so. Until then, the report's 30/30/30/10 base allocation is an explicit low-confidence board stress case, not a statistic.</w:t>
      </w:r>
    </w:p>
    <w:sectPr w:rsidRPr="0006063C" w:rsidR="00FC693F" w:rsidSect="0003461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0E8B"/>
    <w:rsid w:val="004570FA"/>
    <w:rsid w:val="0081E6AC"/>
    <w:rsid w:val="0081E6AC"/>
    <w:rsid w:val="009A9D9E"/>
    <w:rsid w:val="00AA1D8D"/>
    <w:rsid w:val="00B47730"/>
    <w:rsid w:val="00CB0664"/>
    <w:rsid w:val="00FC693F"/>
    <w:rsid w:val="012E0612"/>
    <w:rsid w:val="0192667F"/>
    <w:rsid w:val="0201400F"/>
    <w:rsid w:val="0201400F"/>
    <w:rsid w:val="0681A0D7"/>
    <w:rsid w:val="07AF847A"/>
    <w:rsid w:val="07AF847A"/>
    <w:rsid w:val="08B687F2"/>
    <w:rsid w:val="08B687F2"/>
    <w:rsid w:val="0D029897"/>
    <w:rsid w:val="0D029897"/>
    <w:rsid w:val="0D25D0FB"/>
    <w:rsid w:val="0D25D0FB"/>
    <w:rsid w:val="0F6938D2"/>
    <w:rsid w:val="107E0640"/>
    <w:rsid w:val="10A80F76"/>
    <w:rsid w:val="10C9D223"/>
    <w:rsid w:val="1149D857"/>
    <w:rsid w:val="116697F0"/>
    <w:rsid w:val="11A0B842"/>
    <w:rsid w:val="1386101B"/>
    <w:rsid w:val="13F6BA31"/>
    <w:rsid w:val="1405AB9B"/>
    <w:rsid w:val="1406BDB5"/>
    <w:rsid w:val="1406BDB5"/>
    <w:rsid w:val="147095AF"/>
    <w:rsid w:val="16B34959"/>
    <w:rsid w:val="170AD384"/>
    <w:rsid w:val="172AC72C"/>
    <w:rsid w:val="172AC72C"/>
    <w:rsid w:val="17844EA9"/>
    <w:rsid w:val="17863FAF"/>
    <w:rsid w:val="17863FAF"/>
    <w:rsid w:val="17C0D34D"/>
    <w:rsid w:val="17D24F25"/>
    <w:rsid w:val="187E0237"/>
    <w:rsid w:val="187E0237"/>
    <w:rsid w:val="1B8F920A"/>
    <w:rsid w:val="1C1F3B77"/>
    <w:rsid w:val="1C76410D"/>
    <w:rsid w:val="1CBF4A1A"/>
    <w:rsid w:val="1CDC5971"/>
    <w:rsid w:val="1EB473C7"/>
    <w:rsid w:val="1EDA78F6"/>
    <w:rsid w:val="1EDA78F6"/>
    <w:rsid w:val="1EDAFF73"/>
    <w:rsid w:val="1F0BEA8E"/>
    <w:rsid w:val="1F1FD2C9"/>
    <w:rsid w:val="209FBF64"/>
    <w:rsid w:val="20B4E921"/>
    <w:rsid w:val="20EF72FE"/>
    <w:rsid w:val="2198A78C"/>
    <w:rsid w:val="239F6DB0"/>
    <w:rsid w:val="24A1340B"/>
    <w:rsid w:val="24B4066B"/>
    <w:rsid w:val="24E55E6B"/>
    <w:rsid w:val="2560C243"/>
    <w:rsid w:val="2560C243"/>
    <w:rsid w:val="258D814E"/>
    <w:rsid w:val="25D69B2B"/>
    <w:rsid w:val="27260AF3"/>
    <w:rsid w:val="276B3DDB"/>
    <w:rsid w:val="279F6986"/>
    <w:rsid w:val="28F2F357"/>
    <w:rsid w:val="2AC6D809"/>
    <w:rsid w:val="2BEE2FA9"/>
    <w:rsid w:val="2BEE2FA9"/>
    <w:rsid w:val="2C003FE3"/>
    <w:rsid w:val="2C9085E5"/>
    <w:rsid w:val="2CDC8094"/>
    <w:rsid w:val="2E188A5F"/>
    <w:rsid w:val="2EFBE4C4"/>
    <w:rsid w:val="2F04D1D9"/>
    <w:rsid w:val="2F04D1D9"/>
    <w:rsid w:val="2F0E417C"/>
    <w:rsid w:val="3044F821"/>
    <w:rsid w:val="3044F821"/>
    <w:rsid w:val="305E879B"/>
    <w:rsid w:val="32A3B23B"/>
    <w:rsid w:val="32A3B23B"/>
    <w:rsid w:val="3374D1CB"/>
    <w:rsid w:val="341FE04D"/>
    <w:rsid w:val="36A65B88"/>
    <w:rsid w:val="36CA60D3"/>
    <w:rsid w:val="36CA60D3"/>
    <w:rsid w:val="3738D6DE"/>
    <w:rsid w:val="37F03A1C"/>
    <w:rsid w:val="381012A3"/>
    <w:rsid w:val="389D22F8"/>
    <w:rsid w:val="389D22F8"/>
    <w:rsid w:val="38E0CA2F"/>
    <w:rsid w:val="38E0CA2F"/>
    <w:rsid w:val="3B809587"/>
    <w:rsid w:val="3BD3A759"/>
    <w:rsid w:val="3CC40364"/>
    <w:rsid w:val="3CC40364"/>
    <w:rsid w:val="3DE1F1AF"/>
    <w:rsid w:val="3F61BDBD"/>
    <w:rsid w:val="3FD42E46"/>
    <w:rsid w:val="415AA7CA"/>
    <w:rsid w:val="41D23D0C"/>
    <w:rsid w:val="41FF8F14"/>
    <w:rsid w:val="42746E74"/>
    <w:rsid w:val="42EC5105"/>
    <w:rsid w:val="42EC5105"/>
    <w:rsid w:val="44960224"/>
    <w:rsid w:val="45727A85"/>
    <w:rsid w:val="46C5ED01"/>
    <w:rsid w:val="478F6C87"/>
    <w:rsid w:val="478F6C87"/>
    <w:rsid w:val="4799C0B1"/>
    <w:rsid w:val="48F11165"/>
    <w:rsid w:val="4ADB29C5"/>
    <w:rsid w:val="4C09C751"/>
    <w:rsid w:val="4CDF5F39"/>
    <w:rsid w:val="4CDF5F39"/>
    <w:rsid w:val="4D2D6A4B"/>
    <w:rsid w:val="4D9477D2"/>
    <w:rsid w:val="50124410"/>
    <w:rsid w:val="510ED756"/>
    <w:rsid w:val="526DDCA3"/>
    <w:rsid w:val="5303F978"/>
    <w:rsid w:val="544FD092"/>
    <w:rsid w:val="546963F0"/>
    <w:rsid w:val="55A7003A"/>
    <w:rsid w:val="55B2C930"/>
    <w:rsid w:val="55B2C930"/>
    <w:rsid w:val="55EAB086"/>
    <w:rsid w:val="56104449"/>
    <w:rsid w:val="563DE6F2"/>
    <w:rsid w:val="571A9975"/>
    <w:rsid w:val="571A9975"/>
    <w:rsid w:val="58C15073"/>
    <w:rsid w:val="5BF9678A"/>
    <w:rsid w:val="5C720957"/>
    <w:rsid w:val="5F210924"/>
    <w:rsid w:val="5F210924"/>
    <w:rsid w:val="5F917BDF"/>
    <w:rsid w:val="5F917BDF"/>
    <w:rsid w:val="5FA3EBF8"/>
    <w:rsid w:val="60206C03"/>
    <w:rsid w:val="605469FB"/>
    <w:rsid w:val="6117060F"/>
    <w:rsid w:val="61E68AD0"/>
    <w:rsid w:val="6249E456"/>
    <w:rsid w:val="624E8F4B"/>
    <w:rsid w:val="648C8DFE"/>
    <w:rsid w:val="648C8DFE"/>
    <w:rsid w:val="64AF5966"/>
    <w:rsid w:val="6729C931"/>
    <w:rsid w:val="6762E617"/>
    <w:rsid w:val="68E1CF36"/>
    <w:rsid w:val="6B11E0EF"/>
    <w:rsid w:val="6B11E0EF"/>
    <w:rsid w:val="6B955880"/>
    <w:rsid w:val="6D13FA3B"/>
    <w:rsid w:val="6D13FA3B"/>
    <w:rsid w:val="6D999AA0"/>
    <w:rsid w:val="6FB68B88"/>
    <w:rsid w:val="6FBA6E9A"/>
    <w:rsid w:val="70F2DE0F"/>
    <w:rsid w:val="71CF1132"/>
    <w:rsid w:val="71CF1132"/>
    <w:rsid w:val="755BB210"/>
    <w:rsid w:val="763912F4"/>
    <w:rsid w:val="767CCEFD"/>
    <w:rsid w:val="76EA8274"/>
    <w:rsid w:val="77326B30"/>
    <w:rsid w:val="77326B30"/>
    <w:rsid w:val="778E7837"/>
    <w:rsid w:val="77AD33ED"/>
    <w:rsid w:val="77AD33ED"/>
    <w:rsid w:val="781F9C08"/>
    <w:rsid w:val="796290C1"/>
    <w:rsid w:val="7E1F06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8448049-A3AF-4C81-9839-AAD00FDBDE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610039249" /><Relationship Type="http://schemas.openxmlformats.org/officeDocument/2006/relationships/image" Target="/media/image2.png" Id="rId372312394" /></Relationships>
</file>

<file path=word/theme/theme1.xml><?xml version="1.0" encoding="utf-8"?>
<a:theme xmlns:a="http://schemas.openxmlformats.org/drawingml/2006/main" name="Office Theme">
  <a:themeElements>
    <a:clrScheme name="Custom 14617D">
      <a:dk1>
        <a:srgbClr val="172B3A"/>
      </a:dk1>
      <a:lt1>
        <a:srgbClr val="FFFFFF"/>
      </a:lt1>
      <a:dk2>
        <a:srgbClr val="14617D"/>
      </a:dk2>
      <a:lt2>
        <a:srgbClr val="EEECE1"/>
      </a:lt2>
      <a:accent1>
        <a:srgbClr val="14617D"/>
      </a:accent1>
      <a:accent2>
        <a:srgbClr val="617A86"/>
      </a:accent2>
      <a:accent3>
        <a:srgbClr val="14617D"/>
      </a:accent3>
      <a:accent4>
        <a:srgbClr val="14617D"/>
      </a:accent4>
      <a:accent5>
        <a:srgbClr val="14617D"/>
      </a:accent5>
      <a:accent6>
        <a:srgbClr val="14617D"/>
      </a:accent6>
      <a:hlink>
        <a:srgbClr val="14617D"/>
      </a:hlink>
      <a:folHlink>
        <a:srgbClr val="617A8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Robert D. Crane</lastModifiedBy>
  <revision>5</revision>
  <dcterms:created xsi:type="dcterms:W3CDTF">2026-09-23T05:56:04.0000000Z</dcterms:created>
  <dcterms:modified xsi:type="dcterms:W3CDTF">2026-09-23T06:48:08.8130985Z</dcterms:modified>
  <category/>
</coreProperties>
</file>