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3294B"/>
          <w:sz w:val="40"/>
          <w:szCs w:val="40"/>
        </w:rPr>
        <w:t xml:space="preserve">BlueZone Macro Automation — Overview and Way Forward</w:t>
      </w:r>
    </w:p>
    <w:p>
      <w:pPr>
        <w:spacing w:after="320"/>
      </w:pPr>
      <w:r>
        <w:rPr>
          <w:rFonts w:ascii="Calibri" w:cs="Calibri" w:eastAsia="Calibri" w:hAnsi="Calibri"/>
          <w:color w:val="6B7482"/>
          <w:sz w:val="20"/>
          <w:szCs w:val="20"/>
        </w:rPr>
        <w:t xml:space="preserve">ETD Assignment · VIN Status Tracking · PSTS Entry · ST11 Trigger  |  August 2026</w:t>
      </w:r>
    </w:p>
    <w:p>
      <w:pPr>
        <w:pStyle w:val="Heading1"/>
        <w:spacing w:after="140" w:before="320"/>
      </w:pPr>
      <w:r>
        <w:rPr>
          <w:rFonts w:ascii="Calibri" w:cs="Calibri" w:eastAsia="Calibri" w:hAnsi="Calibri"/>
          <w:b/>
          <w:bCs/>
          <w:color w:val="13294B"/>
          <w:sz w:val="30"/>
          <w:szCs w:val="30"/>
        </w:rPr>
        <w:t xml:space="preserve">1. What the Macros Do Today</w:t>
      </w:r>
    </w:p>
    <w:p>
      <w:pPr>
        <w:spacing w:after="160" w:line="320"/>
        <w:jc w:val="both"/>
      </w:pPr>
      <w:r>
        <w:rPr>
          <w:rFonts w:ascii="Calibri" w:cs="Calibri" w:eastAsia="Calibri" w:hAnsi="Calibri"/>
          <w:color w:val="2B3440"/>
          <w:sz w:val="22"/>
          <w:szCs w:val="22"/>
        </w:rPr>
        <w:t xml:space="preserve">The operations team currently relies on a small family of Excel and Access macros that automate repetitive keying work on the Nissan mainframe (the NPOPS green screens). Instead of an operator typing part numbers, ETDs, VINs and quantities into the terminal line by line, the macros read the rows from a spreadsheet, type them into the mainframe screens through the BlueZone terminal emulator, press the right function keys, read the confirmation or error message that comes back, and mark each row in the sheet as done or failed. In practice this covers four processes: assigning new ETDs to backordered parts, pulling status and milestone dates for lists of VINs, bulk PSTS entry, and an ST11 keying routine.</w:t>
      </w:r>
    </w:p>
    <w:p>
      <w:pPr>
        <w:spacing w:after="160" w:line="320"/>
        <w:jc w:val="both"/>
      </w:pPr>
      <w:r>
        <w:rPr>
          <w:rFonts w:ascii="Calibri" w:cs="Calibri" w:eastAsia="Calibri" w:hAnsi="Calibri"/>
          <w:color w:val="2B3440"/>
          <w:sz w:val="22"/>
          <w:szCs w:val="22"/>
        </w:rPr>
        <w:t xml:space="preserve">Together these save several hours of manual green-screen work per day and remove most of the typing errors that come with it. The business logic itself is sound and well understood — the problem is not what the macros do, but how they connect.</w:t>
      </w:r>
    </w:p>
    <w:p>
      <w:pPr>
        <w:spacing w:after="160" w:line="320"/>
        <w:jc w:val="both"/>
      </w:pPr>
      <w:r>
        <w:rPr>
          <w:rFonts w:ascii="Calibri" w:cs="Calibri" w:eastAsia="Calibri" w:hAnsi="Calibri"/>
          <w:b/>
          <w:bCs/>
          <w:color w:val="2B3440"/>
          <w:sz w:val="22"/>
          <w:szCs w:val="22"/>
        </w:rPr>
        <w:t xml:space="preserve">One further weakness sits inside the macros themselves: the input and output locations are hard-coded. </w:t>
      </w:r>
      <w:r>
        <w:rPr>
          <w:rFonts w:ascii="Calibri" w:cs="Calibri" w:eastAsia="Calibri" w:hAnsi="Calibri"/>
          <w:color w:val="2B3440"/>
          <w:sz w:val="22"/>
          <w:szCs w:val="22"/>
        </w:rPr>
        <w:t xml:space="preserve">The code contains fixed paths to specific network drives, folders and even individual users' machines — the ETD workbook on one shared drive, the VOR search file on another, and in places a path tied to a single person's profile. If a drive letter is remapped, a folder is moved, or the person whose machine is referenced leaves, the macro breaks silently and someone has to open the code to fix it. In the rebuild, all of these locations move into a simple configuration file that the ops team can edit without touching any code.</w:t>
      </w:r>
    </w:p>
    <w:p>
      <w:pPr>
        <w:pStyle w:val="Heading1"/>
        <w:spacing w:after="140" w:before="320"/>
      </w:pPr>
      <w:r>
        <w:rPr>
          <w:rFonts w:ascii="Calibri" w:cs="Calibri" w:eastAsia="Calibri" w:hAnsi="Calibri"/>
          <w:b/>
          <w:bCs/>
          <w:color w:val="13294B"/>
          <w:sz w:val="30"/>
          <w:szCs w:val="30"/>
        </w:rPr>
        <w:t xml:space="preserve">2. Why They Will Stop Working</w:t>
      </w:r>
    </w:p>
    <w:p>
      <w:pPr>
        <w:spacing w:after="160" w:line="320"/>
        <w:jc w:val="both"/>
      </w:pPr>
      <w:r>
        <w:rPr>
          <w:rFonts w:ascii="Calibri" w:cs="Calibri" w:eastAsia="Calibri" w:hAnsi="Calibri"/>
          <w:color w:val="2B3440"/>
          <w:sz w:val="22"/>
          <w:szCs w:val="22"/>
        </w:rPr>
        <w:t xml:space="preserve">Every one of these macros talks to BlueZone through a small connector component that ships with the emulator. That component only exists in </w:t>
      </w:r>
      <w:r>
        <w:rPr>
          <w:rFonts w:ascii="Calibri" w:cs="Calibri" w:eastAsia="Calibri" w:hAnsi="Calibri"/>
          <w:b/>
          <w:bCs/>
          <w:color w:val="2B3440"/>
          <w:sz w:val="22"/>
          <w:szCs w:val="22"/>
        </w:rPr>
        <w:t xml:space="preserve">32-bit</w:t>
      </w:r>
      <w:r>
        <w:rPr>
          <w:rFonts w:ascii="Calibri" w:cs="Calibri" w:eastAsia="Calibri" w:hAnsi="Calibri"/>
          <w:color w:val="2B3440"/>
          <w:sz w:val="22"/>
          <w:szCs w:val="22"/>
        </w:rPr>
        <w:t xml:space="preserve"> form. Today it works because the current Office installation is 32-bit as well. Nissan IS is standardising on 64-bit systems and has confirmed it will not provision 32-bit environments going forward — and a 64-bit application is simply unable to load a 32-bit connector. This is a fundamental Windows rule, not a setting anyone can change.</w:t>
      </w:r>
    </w:p>
    <w:p>
      <w:pPr>
        <w:spacing w:after="160" w:line="320"/>
        <w:jc w:val="both"/>
      </w:pPr>
      <w:r>
        <w:rPr>
          <w:rFonts w:ascii="Calibri" w:cs="Calibri" w:eastAsia="Calibri" w:hAnsi="Calibri"/>
          <w:color w:val="2B3440"/>
          <w:sz w:val="22"/>
          <w:szCs w:val="22"/>
        </w:rPr>
        <w:t xml:space="preserve">The practical consequence: on the new 64-bit standard, every macro fails at the very first step — before it types a single character — and there is no fix or workaround inside the macros themselves. The automation has to be rebuilt on a foundation that does not depend on that 32-bit connector.</w:t>
      </w:r>
    </w:p>
    <w:p>
      <w:pPr>
        <w:pStyle w:val="Heading1"/>
        <w:spacing w:after="140" w:before="320"/>
      </w:pPr>
      <w:r>
        <w:rPr>
          <w:rFonts w:ascii="Calibri" w:cs="Calibri" w:eastAsia="Calibri" w:hAnsi="Calibri"/>
          <w:b/>
          <w:bCs/>
          <w:color w:val="13294B"/>
          <w:sz w:val="30"/>
          <w:szCs w:val="30"/>
        </w:rPr>
        <w:t xml:space="preserve">3. Option A — UiPath on a Virtual Machine: Why It Is Difficult</w:t>
      </w:r>
    </w:p>
    <w:p>
      <w:pPr>
        <w:spacing w:after="160" w:line="320"/>
        <w:jc w:val="both"/>
      </w:pPr>
      <w:r>
        <w:rPr>
          <w:rFonts w:ascii="Calibri" w:cs="Calibri" w:eastAsia="Calibri" w:hAnsi="Calibri"/>
          <w:color w:val="2B3440"/>
          <w:sz w:val="22"/>
          <w:szCs w:val="22"/>
        </w:rPr>
        <w:t xml:space="preserve">UiPath is a capable platform, but for this specific workload the deployment carries real operational friction:</w:t>
      </w:r>
    </w:p>
    <w:p>
      <w:pPr>
        <w:pStyle w:val="ListParagraph"/>
        <w:numPr>
          <w:ilvl w:val="0"/>
          <w:numId w:val="2"/>
        </w:numPr>
        <w:spacing w:after="120" w:line="320"/>
      </w:pPr>
      <w:r>
        <w:rPr>
          <w:rFonts w:ascii="Calibri" w:cs="Calibri" w:eastAsia="Calibri" w:hAnsi="Calibri"/>
          <w:b/>
          <w:bCs/>
          <w:color w:val="2B3440"/>
          <w:sz w:val="22"/>
          <w:szCs w:val="22"/>
        </w:rPr>
        <w:t xml:space="preserve">Mainframe sessions expire. </w:t>
      </w:r>
      <w:r>
        <w:rPr>
          <w:rFonts w:ascii="Calibri" w:cs="Calibri" w:eastAsia="Calibri" w:hAnsi="Calibri"/>
          <w:color w:val="2B3440"/>
          <w:sz w:val="22"/>
          <w:szCs w:val="22"/>
        </w:rPr>
        <w:t xml:space="preserve">The host logs idle sessions off automatically, and a robot on a VM cannot keep a session alive between runs. Every job therefore has to handle the full login, check whether the session is still healthy, and recover with a fresh login when it is not — with mainframe credentials stored, secured and rotated inside the platform. This is exactly the part of terminal automation that tends to fail intermittently.</w:t>
      </w:r>
    </w:p>
    <w:p>
      <w:pPr>
        <w:pStyle w:val="ListParagraph"/>
        <w:numPr>
          <w:ilvl w:val="0"/>
          <w:numId w:val="2"/>
        </w:numPr>
        <w:spacing w:after="120" w:line="320"/>
      </w:pPr>
      <w:r>
        <w:rPr>
          <w:rFonts w:ascii="Calibri" w:cs="Calibri" w:eastAsia="Calibri" w:hAnsi="Calibri"/>
          <w:b/>
          <w:bCs/>
          <w:color w:val="2B3440"/>
          <w:sz w:val="22"/>
          <w:szCs w:val="22"/>
        </w:rPr>
        <w:t xml:space="preserve">The robot needs a live desktop. </w:t>
      </w:r>
      <w:r>
        <w:rPr>
          <w:rFonts w:ascii="Calibri" w:cs="Calibri" w:eastAsia="Calibri" w:hAnsi="Calibri"/>
          <w:color w:val="2B3440"/>
          <w:sz w:val="22"/>
          <w:szCs w:val="22"/>
        </w:rPr>
        <w:t xml:space="preserve">If the automation drives the BlueZone window the way the macros do, the VM must have an active, unlocked screen at the right resolution. A disconnected remote session, a lock screen or an unexpected popup breaks the run mid-batch — a well-known source of unreliable RPA deployments.</w:t>
      </w:r>
    </w:p>
    <w:p>
      <w:pPr>
        <w:pStyle w:val="ListParagraph"/>
        <w:numPr>
          <w:ilvl w:val="0"/>
          <w:numId w:val="2"/>
        </w:numPr>
        <w:spacing w:after="120" w:line="320"/>
      </w:pPr>
      <w:r>
        <w:rPr>
          <w:rFonts w:ascii="Calibri" w:cs="Calibri" w:eastAsia="Calibri" w:hAnsi="Calibri"/>
          <w:b/>
          <w:bCs/>
          <w:color w:val="2B3440"/>
          <w:sz w:val="22"/>
          <w:szCs w:val="22"/>
        </w:rPr>
        <w:t xml:space="preserve">The 32-bit problem can follow us. </w:t>
      </w:r>
      <w:r>
        <w:rPr>
          <w:rFonts w:ascii="Calibri" w:cs="Calibri" w:eastAsia="Calibri" w:hAnsi="Calibri"/>
          <w:color w:val="2B3440"/>
          <w:sz w:val="22"/>
          <w:szCs w:val="22"/>
        </w:rPr>
        <w:t xml:space="preserve">If UiPath is configured to connect through BlueZone's own connector, it hits the very same 32-bit wall we are trying to escape. Avoiding it requires a specific configuration choice, which means the migration is not simply “record and replay”.</w:t>
      </w:r>
    </w:p>
    <w:p>
      <w:pPr>
        <w:pStyle w:val="ListParagraph"/>
        <w:numPr>
          <w:ilvl w:val="0"/>
          <w:numId w:val="2"/>
        </w:numPr>
        <w:spacing w:after="120" w:line="320"/>
      </w:pPr>
      <w:r>
        <w:rPr>
          <w:rFonts w:ascii="Calibri" w:cs="Calibri" w:eastAsia="Calibri" w:hAnsi="Calibri"/>
          <w:b/>
          <w:bCs/>
          <w:color w:val="2B3440"/>
          <w:sz w:val="22"/>
          <w:szCs w:val="22"/>
        </w:rPr>
        <w:t xml:space="preserve">Standing cost and ownership. </w:t>
      </w:r>
      <w:r>
        <w:rPr>
          <w:rFonts w:ascii="Calibri" w:cs="Calibri" w:eastAsia="Calibri" w:hAnsi="Calibri"/>
          <w:color w:val="2B3440"/>
          <w:sz w:val="22"/>
          <w:szCs w:val="22"/>
        </w:rPr>
        <w:t xml:space="preserve">The model needs an unattended robot licence, an orchestration layer, and a Windows VM that someone patches, monitors and maintains — recurring cost and a permanent IS ownership question for what is, at heart, a data-keying task.</w:t>
      </w:r>
    </w:p>
    <w:p>
      <w:pPr>
        <w:pStyle w:val="ListParagraph"/>
        <w:numPr>
          <w:ilvl w:val="0"/>
          <w:numId w:val="2"/>
        </w:numPr>
        <w:spacing w:after="120" w:line="320"/>
      </w:pPr>
      <w:r>
        <w:rPr>
          <w:rFonts w:ascii="Calibri" w:cs="Calibri" w:eastAsia="Calibri" w:hAnsi="Calibri"/>
          <w:b/>
          <w:bCs/>
          <w:color w:val="2B3440"/>
          <w:sz w:val="22"/>
          <w:szCs w:val="22"/>
        </w:rPr>
        <w:t xml:space="preserve">It is not inherently more robust. </w:t>
      </w:r>
      <w:r>
        <w:rPr>
          <w:rFonts w:ascii="Calibri" w:cs="Calibri" w:eastAsia="Calibri" w:hAnsi="Calibri"/>
          <w:color w:val="2B3440"/>
          <w:sz w:val="22"/>
          <w:szCs w:val="22"/>
        </w:rPr>
        <w:t xml:space="preserve">Green screens have no buttons or selectors for UiPath to latch onto; underneath, it is still typing at screen positions. A change to the host screens breaks UiPath exactly as it would break the macros.</w:t>
      </w:r>
    </w:p>
    <w:p>
      <w:pPr>
        <w:spacing w:after="160" w:line="320"/>
        <w:jc w:val="both"/>
      </w:pPr>
      <w:r>
        <w:rPr>
          <w:rFonts w:ascii="Calibri" w:cs="Calibri" w:eastAsia="Calibri" w:hAnsi="Calibri"/>
          <w:color w:val="2B3440"/>
          <w:sz w:val="22"/>
          <w:szCs w:val="22"/>
        </w:rPr>
        <w:t xml:space="preserve">In short: UiPath can be made to work, but the deployment is fragile at the edges, expensive to keep running, and heavier than the problem deserves.</w:t>
      </w:r>
    </w:p>
    <w:p>
      <w:pPr>
        <w:pStyle w:val="Heading1"/>
        <w:spacing w:after="140" w:before="320"/>
      </w:pPr>
      <w:r>
        <w:rPr>
          <w:rFonts w:ascii="Calibri" w:cs="Calibri" w:eastAsia="Calibri" w:hAnsi="Calibri"/>
          <w:b/>
          <w:bCs/>
          <w:color w:val="13294B"/>
          <w:sz w:val="30"/>
          <w:szCs w:val="30"/>
        </w:rPr>
        <w:t xml:space="preserve">4. Option B — Python with a Direct Terminal Connection (Recommended)</w:t>
      </w:r>
    </w:p>
    <w:p>
      <w:pPr>
        <w:spacing w:after="160" w:line="320"/>
        <w:jc w:val="both"/>
      </w:pPr>
      <w:r>
        <w:rPr>
          <w:rFonts w:ascii="Calibri" w:cs="Calibri" w:eastAsia="Calibri" w:hAnsi="Calibri"/>
          <w:color w:val="2B3440"/>
          <w:sz w:val="22"/>
          <w:szCs w:val="22"/>
        </w:rPr>
        <w:t xml:space="preserve">The cleaner route is to rebuild the same logic in Python and connect to the mainframe directly over the standard terminal protocol — the same channel BlueZone itself uses — rather than driving the BlueZone window from the outside. This changes the picture completely:</w:t>
      </w:r>
    </w:p>
    <w:p>
      <w:pPr>
        <w:pStyle w:val="ListParagraph"/>
        <w:numPr>
          <w:ilvl w:val="0"/>
          <w:numId w:val="2"/>
        </w:numPr>
        <w:spacing w:after="120" w:line="320"/>
      </w:pPr>
      <w:r>
        <w:rPr>
          <w:rFonts w:ascii="Calibri" w:cs="Calibri" w:eastAsia="Calibri" w:hAnsi="Calibri"/>
          <w:b/>
          <w:bCs/>
          <w:color w:val="2B3440"/>
          <w:sz w:val="22"/>
          <w:szCs w:val="22"/>
        </w:rPr>
        <w:t xml:space="preserve">The 32-bit problem disappears. </w:t>
      </w:r>
      <w:r>
        <w:rPr>
          <w:rFonts w:ascii="Calibri" w:cs="Calibri" w:eastAsia="Calibri" w:hAnsi="Calibri"/>
          <w:color w:val="2B3440"/>
          <w:sz w:val="22"/>
          <w:szCs w:val="22"/>
        </w:rPr>
        <w:t xml:space="preserve">The direct terminal connection is architecture-independent, so the solution runs on the standard 64-bit Nissan build with no BlueZone dependency at runtime and nothing legacy to keep alive.</w:t>
      </w:r>
    </w:p>
    <w:p>
      <w:pPr>
        <w:pStyle w:val="ListParagraph"/>
        <w:numPr>
          <w:ilvl w:val="0"/>
          <w:numId w:val="2"/>
        </w:numPr>
        <w:spacing w:after="120" w:line="320"/>
      </w:pPr>
      <w:r>
        <w:rPr>
          <w:rFonts w:ascii="Calibri" w:cs="Calibri" w:eastAsia="Calibri" w:hAnsi="Calibri"/>
          <w:b/>
          <w:bCs/>
          <w:color w:val="2B3440"/>
          <w:sz w:val="22"/>
          <w:szCs w:val="22"/>
        </w:rPr>
        <w:t xml:space="preserve">Python is needed only on the ops team's machines. </w:t>
      </w:r>
      <w:r>
        <w:rPr>
          <w:rFonts w:ascii="Calibri" w:cs="Calibri" w:eastAsia="Calibri" w:hAnsi="Calibri"/>
          <w:color w:val="2B3440"/>
          <w:sz w:val="22"/>
          <w:szCs w:val="22"/>
        </w:rPr>
        <w:t xml:space="preserve">This is the key deployment advantage. The tool ships as a small self-contained package installed for the handful of operators who run these processes — no VM, no robot licences, no orchestration platform, no company-wide software rollout. End users elsewhere are untouched; they simply keep providing their input files as they do today.</w:t>
      </w:r>
    </w:p>
    <w:p>
      <w:pPr>
        <w:pStyle w:val="ListParagraph"/>
        <w:numPr>
          <w:ilvl w:val="0"/>
          <w:numId w:val="2"/>
        </w:numPr>
        <w:spacing w:after="120" w:line="320"/>
      </w:pPr>
      <w:r>
        <w:rPr>
          <w:rFonts w:ascii="Calibri" w:cs="Calibri" w:eastAsia="Calibri" w:hAnsi="Calibri"/>
          <w:b/>
          <w:bCs/>
          <w:color w:val="2B3440"/>
          <w:sz w:val="22"/>
          <w:szCs w:val="22"/>
        </w:rPr>
        <w:t xml:space="preserve">It behaves better, not just the same. </w:t>
      </w:r>
      <w:r>
        <w:rPr>
          <w:rFonts w:ascii="Calibri" w:cs="Calibri" w:eastAsia="Calibri" w:hAnsi="Calibri"/>
          <w:color w:val="2B3440"/>
          <w:sz w:val="22"/>
          <w:szCs w:val="22"/>
        </w:rPr>
        <w:t xml:space="preserve">Instead of typing blindly and pausing for fixed half-second delays as the macros do, the Python tool waits until the host has actually presented the expected screen before acting, retries sensibly, logs every row, and can log itself back in if the session expires — the exact weaknesses of the current macros, solved rather than carried over.</w:t>
      </w:r>
    </w:p>
    <w:p>
      <w:pPr>
        <w:pStyle w:val="ListParagraph"/>
        <w:numPr>
          <w:ilvl w:val="0"/>
          <w:numId w:val="2"/>
        </w:numPr>
        <w:spacing w:after="120" w:line="320"/>
      </w:pPr>
      <w:r>
        <w:rPr>
          <w:rFonts w:ascii="Calibri" w:cs="Calibri" w:eastAsia="Calibri" w:hAnsi="Calibri"/>
          <w:b/>
          <w:bCs/>
          <w:color w:val="2B3440"/>
          <w:sz w:val="22"/>
          <w:szCs w:val="22"/>
        </w:rPr>
        <w:t xml:space="preserve">Same business logic, familiar behaviour. </w:t>
      </w:r>
      <w:r>
        <w:rPr>
          <w:rFonts w:ascii="Calibri" w:cs="Calibri" w:eastAsia="Calibri" w:hAnsi="Calibri"/>
          <w:color w:val="2B3440"/>
          <w:sz w:val="22"/>
          <w:szCs w:val="22"/>
        </w:rPr>
        <w:t xml:space="preserve">The row-by-row processing, the ETD date rules, and the green/red status write-back into Excel all carry over, so the operator experience stays recognisable while the plumbing underneath becomes supportable.</w:t>
      </w:r>
    </w:p>
    <w:p>
      <w:pPr>
        <w:spacing w:after="160" w:line="320"/>
        <w:jc w:val="both"/>
      </w:pPr>
      <w:r>
        <w:rPr>
          <w:rFonts w:ascii="Calibri" w:cs="Calibri" w:eastAsia="Calibri" w:hAnsi="Calibri"/>
          <w:color w:val="2B3440"/>
          <w:sz w:val="22"/>
          <w:szCs w:val="22"/>
        </w:rPr>
        <w:t xml:space="preserve">The only prerequisites are one-time: IS approval for the network route from the ops machines to the mainframe's terminal endpoint, and a standard security sign-off for the packaged tool. After that there is no recurring licence or infrastructure cost at all.</w:t>
      </w:r>
    </w:p>
    <w:p>
      <w:pPr>
        <w:pStyle w:val="Heading1"/>
        <w:spacing w:after="140" w:before="320"/>
      </w:pPr>
      <w:r>
        <w:rPr>
          <w:rFonts w:ascii="Calibri" w:cs="Calibri" w:eastAsia="Calibri" w:hAnsi="Calibri"/>
          <w:b/>
          <w:bCs/>
          <w:color w:val="13294B"/>
          <w:sz w:val="30"/>
          <w:szCs w:val="30"/>
        </w:rPr>
        <w:t xml:space="preserve">5. What Deployment Looks Like in Practice</w:t>
      </w:r>
    </w:p>
    <w:p>
      <w:pPr>
        <w:spacing w:after="160" w:line="320"/>
        <w:jc w:val="both"/>
      </w:pPr>
      <w:r>
        <w:rPr>
          <w:rFonts w:ascii="Calibri" w:cs="Calibri" w:eastAsia="Calibri" w:hAnsi="Calibri"/>
          <w:color w:val="2B3440"/>
          <w:sz w:val="22"/>
          <w:szCs w:val="22"/>
        </w:rPr>
        <w:t xml:space="preserve">Under the Python approach, day-to-day operation barely changes for anyone outside the ops team. The teams that prepare backorder extracts or VIN lists keep doing exactly what they do now — dropping their files in the usual location. An operator on the ops team opens the tool, points it at the input file, and starts the run. The tool connects to the mainframe, processes the rows, and writes the results and statuses back into the spreadsheet, along with a run log that shows what was updated, what failed and why.</w:t>
      </w:r>
    </w:p>
    <w:p>
      <w:pPr>
        <w:spacing w:after="160" w:line="320"/>
        <w:jc w:val="both"/>
      </w:pPr>
      <w:r>
        <w:rPr>
          <w:rFonts w:ascii="Calibri" w:cs="Calibri" w:eastAsia="Calibri" w:hAnsi="Calibri"/>
          <w:color w:val="2B3440"/>
          <w:sz w:val="22"/>
          <w:szCs w:val="22"/>
        </w:rPr>
        <w:t xml:space="preserve">Rolling it out means installing one small package on the ops team's laptops — nothing more. There is no server to stand up, no virtual machine to request, no licence renewal to budget, and no dependency on BlueZone being installed or upgraded. If the team grows or a machine is replaced, deployment is a five-minute install. Support stays simple for the same reason: everything runs where the operator can see it, and the log tells the whole story of every run.</w:t>
      </w:r>
    </w:p>
    <w:p>
      <w:pPr>
        <w:spacing w:after="160" w:line="320"/>
        <w:jc w:val="both"/>
      </w:pPr>
      <w:r>
        <w:rPr>
          <w:rFonts w:ascii="Calibri" w:cs="Calibri" w:eastAsia="Calibri" w:hAnsi="Calibri"/>
          <w:color w:val="2B3440"/>
          <w:sz w:val="22"/>
          <w:szCs w:val="22"/>
        </w:rPr>
        <w:t xml:space="preserve">The contrast with the UiPath model is worth stating plainly. There, the automation lives on infrastructure the ops team does not own — a VM, a robot, an orchestration console — so every hiccup becomes a ticket to another team, and every credential change or Windows patch on that VM is a potential outage. With the Python approach, the automation lives with the people who run the process, sized exactly to the problem.</w:t>
      </w:r>
    </w:p>
    <w:p>
      <w:pPr>
        <w:pStyle w:val="Heading1"/>
        <w:spacing w:after="140" w:before="320"/>
      </w:pPr>
      <w:r>
        <w:rPr>
          <w:rFonts w:ascii="Calibri" w:cs="Calibri" w:eastAsia="Calibri" w:hAnsi="Calibri"/>
          <w:b/>
          <w:bCs/>
          <w:color w:val="13294B"/>
          <w:sz w:val="30"/>
          <w:szCs w:val="30"/>
        </w:rPr>
        <w:t xml:space="preserve">6. Risks and How They Are Handled</w:t>
      </w:r>
    </w:p>
    <w:p>
      <w:pPr>
        <w:spacing w:after="160" w:line="320"/>
        <w:jc w:val="both"/>
      </w:pPr>
      <w:r>
        <w:rPr>
          <w:rFonts w:ascii="Calibri" w:cs="Calibri" w:eastAsia="Calibri" w:hAnsi="Calibri"/>
          <w:b/>
          <w:bCs/>
          <w:color w:val="2B3440"/>
          <w:sz w:val="22"/>
          <w:szCs w:val="22"/>
        </w:rPr>
        <w:t xml:space="preserve">Firewall and network access — the key dependency on Nissan IS. </w:t>
      </w:r>
      <w:r>
        <w:rPr>
          <w:rFonts w:ascii="Calibri" w:cs="Calibri" w:eastAsia="Calibri" w:hAnsi="Calibri"/>
          <w:color w:val="2B3440"/>
          <w:sz w:val="22"/>
          <w:szCs w:val="22"/>
        </w:rPr>
        <w:t xml:space="preserve">The direct terminal approach requires the ops team's machines to reach the mainframe's terminal endpoint over the network. Today that traffic flows only from the BlueZone installation, and it is likely that firewall rules currently permit nothing else — so a connection attempt from the new tool may simply be blocked. This is the single most probable blocker for the whole approach, and it cannot be resolved on our side: it needs Nissan IS to review and open the route (and confirm any encryption requirements on it) for the ops machines. The request should therefore be raised with IS at the very start of the project, before any build effort, so that approval runs in parallel and a refusal — or a requirement to route through a specific network zone — is known early enough to adjust the plan.</w:t>
      </w:r>
    </w:p>
    <w:p>
      <w:pPr>
        <w:spacing w:after="160" w:line="320"/>
        <w:jc w:val="both"/>
      </w:pPr>
      <w:r>
        <w:rPr>
          <w:rFonts w:ascii="Calibri" w:cs="Calibri" w:eastAsia="Calibri" w:hAnsi="Calibri"/>
          <w:b/>
          <w:bCs/>
          <w:color w:val="2B3440"/>
          <w:sz w:val="22"/>
          <w:szCs w:val="22"/>
        </w:rPr>
        <w:t xml:space="preserve">Access to the input and output folders — a second, smaller network dependency. </w:t>
      </w:r>
      <w:r>
        <w:rPr>
          <w:rFonts w:ascii="Calibri" w:cs="Calibri" w:eastAsia="Calibri" w:hAnsi="Calibri"/>
          <w:color w:val="2B3440"/>
          <w:sz w:val="22"/>
          <w:szCs w:val="22"/>
        </w:rPr>
        <w:t xml:space="preserve">The processes read from and write to shared folders on the on-premises server (the network drives the macros point at today). Connecting to these from the ops team's machines is straightforward — they are ordinary file shares, and in most cases the operators already have them mapped for daily work — but the connection does need to exist and stay authorised. If the ops machines sit in a different network zone, or the shares are permissioned per user rather than per team, that access also needs Nissan IS to confirm or extend it. It is a much lighter ask than the mainframe route above, and the two requests should simply travel together in the same submission to IS.</w:t>
      </w:r>
    </w:p>
    <w:p>
      <w:pPr>
        <w:spacing w:after="160" w:line="320"/>
        <w:jc w:val="both"/>
      </w:pPr>
      <w:r>
        <w:rPr>
          <w:rFonts w:ascii="Calibri" w:cs="Calibri" w:eastAsia="Calibri" w:hAnsi="Calibri"/>
          <w:color w:val="2B3440"/>
          <w:sz w:val="22"/>
          <w:szCs w:val="22"/>
        </w:rPr>
        <w:t xml:space="preserve">Beyond that, no route eliminates dependence on the mainframe screens themselves — if Nissan changes a screen layout, any automation keying into it must be updated. The Python design reduces the pain by keeping the screen positions in a small configuration file, so an adjustment is an edit, not a redevelopment. Session expiry, the biggest headache in the VM model, is handled directly: the tool detects a dropped session and logs back in before continuing. Security clearance for the packaged tool is a standard IS request and can travel together with the firewall request above. Finally, the existing macros are kept untouched during the transition, so there is a working fallback at every point until the new tool has proven itself in parallel running.</w:t>
      </w:r>
    </w:p>
    <w:p>
      <w:pPr>
        <w:pStyle w:val="Heading1"/>
        <w:spacing w:after="140" w:before="320"/>
      </w:pPr>
      <w:r>
        <w:rPr>
          <w:rFonts w:ascii="Calibri" w:cs="Calibri" w:eastAsia="Calibri" w:hAnsi="Calibri"/>
          <w:b/>
          <w:bCs/>
          <w:color w:val="13294B"/>
          <w:sz w:val="30"/>
          <w:szCs w:val="30"/>
        </w:rPr>
        <w:t xml:space="preserve">7. Recommendation</w:t>
      </w:r>
    </w:p>
    <w:p>
      <w:pPr>
        <w:spacing w:after="160" w:line="320"/>
        <w:jc w:val="both"/>
      </w:pPr>
      <w:r>
        <w:rPr>
          <w:rFonts w:ascii="Calibri" w:cs="Calibri" w:eastAsia="Calibri" w:hAnsi="Calibri"/>
          <w:b/>
          <w:bCs/>
          <w:color w:val="2B3440"/>
          <w:sz w:val="22"/>
          <w:szCs w:val="22"/>
        </w:rPr>
        <w:t xml:space="preserve">Rebuild in Python with the direct terminal approach, deployed only to the ops team's systems. </w:t>
      </w:r>
      <w:r>
        <w:rPr>
          <w:rFonts w:ascii="Calibri" w:cs="Calibri" w:eastAsia="Calibri" w:hAnsi="Calibri"/>
          <w:color w:val="2B3440"/>
          <w:sz w:val="22"/>
          <w:szCs w:val="22"/>
        </w:rPr>
        <w:t xml:space="preserve">It removes the 32-bit dependency permanently, needs no virtual machine and no RPA licensing, keeps the footprint limited to the few people who actually run these processes, and ends up more reliable than what runs today. UiPath remains a valid fallback if IS prefers a centrally managed RPA estate, but for this workload it adds cost and fragility without adding capability. The sensible first step is a pilot on the ETD assignment process — it has the clearest success confirmation from the host — run in parallel with the existing macro until the results reconcile, then extended to the VIN, PSTS and ST11 processes.</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4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2026-08-13T08:42:26.156Z</dcterms:created>
  <dcterms:modified xsi:type="dcterms:W3CDTF">2026-08-13T08:42:26.168Z</dcterms:modified>
</cp:coreProperties>
</file>

<file path=docProps/custom.xml><?xml version="1.0" encoding="utf-8"?>
<Properties xmlns="http://schemas.openxmlformats.org/officeDocument/2006/custom-properties" xmlns:vt="http://schemas.openxmlformats.org/officeDocument/2006/docPropsVTypes"/>
</file>