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3294B"/>
          <w:sz w:val="40"/>
          <w:szCs w:val="40"/>
        </w:rPr>
        <w:t xml:space="preserve">BlueZone Macro Automation — Overview and Way Forward</w:t>
      </w:r>
    </w:p>
    <w:p>
      <w:pPr>
        <w:spacing w:after="320"/>
      </w:pPr>
      <w:r>
        <w:rPr>
          <w:rFonts w:ascii="Calibri" w:cs="Calibri" w:eastAsia="Calibri" w:hAnsi="Calibri"/>
          <w:color w:val="6B7482"/>
          <w:sz w:val="20"/>
          <w:szCs w:val="20"/>
        </w:rPr>
        <w:t xml:space="preserve">ETD Assignment · VIN Status Tracking · PSTS Entry · ST11 Trigger  |  August 2026</w:t>
      </w:r>
    </w:p>
    <w:p>
      <w:pPr>
        <w:pStyle w:val="Heading1"/>
        <w:spacing w:after="140" w:before="320"/>
      </w:pPr>
      <w:r>
        <w:rPr>
          <w:rFonts w:ascii="Calibri" w:cs="Calibri" w:eastAsia="Calibri" w:hAnsi="Calibri"/>
          <w:b/>
          <w:bCs/>
          <w:color w:val="13294B"/>
          <w:sz w:val="30"/>
          <w:szCs w:val="30"/>
        </w:rPr>
        <w:t xml:space="preserve">1. What the Macros Do Today</w:t>
      </w:r>
    </w:p>
    <w:p>
      <w:pPr>
        <w:spacing w:after="160" w:line="320"/>
        <w:jc w:val="both"/>
      </w:pPr>
      <w:r>
        <w:rPr>
          <w:rFonts w:ascii="Calibri" w:cs="Calibri" w:eastAsia="Calibri" w:hAnsi="Calibri"/>
          <w:color w:val="2B3440"/>
          <w:sz w:val="22"/>
          <w:szCs w:val="22"/>
        </w:rPr>
        <w:t xml:space="preserve">The operations team currently relies on a small family of Excel and Access macros that automate repetitive keying work on the Nissan mainframe (the NPOPS green screens). Instead of an operator typing part numbers, ETDs, VINs and quantities into the terminal line by line, the macros read the rows from a spreadsheet, type them into the mainframe screens through the BlueZone terminal emulator, press the right function keys, read the confirmation or error message that comes back, and mark each row in the sheet as done or failed. In practice this covers four processes: assigning new ETDs to backordered parts, pulling status and milestone dates for lists of VINs, bulk PSTS entry, and an ST11 keying routine.</w:t>
      </w:r>
    </w:p>
    <w:p>
      <w:pPr>
        <w:spacing w:after="160" w:line="320"/>
        <w:jc w:val="both"/>
      </w:pPr>
      <w:r>
        <w:rPr>
          <w:rFonts w:ascii="Calibri" w:cs="Calibri" w:eastAsia="Calibri" w:hAnsi="Calibri"/>
          <w:color w:val="2B3440"/>
          <w:sz w:val="22"/>
          <w:szCs w:val="22"/>
        </w:rPr>
        <w:t xml:space="preserve">Together these save several hours of manual green-screen work per day and remove most of the typing errors that come with it. The business logic itself is sound and well understood — the problem is not what the macros do, but how they connect.</w:t>
      </w:r>
    </w:p>
    <w:p>
      <w:pPr>
        <w:spacing w:after="160" w:line="320"/>
        <w:jc w:val="both"/>
      </w:pPr>
      <w:r>
        <w:rPr>
          <w:rFonts w:ascii="Calibri" w:cs="Calibri" w:eastAsia="Calibri" w:hAnsi="Calibri"/>
          <w:b/>
          <w:bCs/>
          <w:color w:val="2B3440"/>
          <w:sz w:val="22"/>
          <w:szCs w:val="22"/>
        </w:rPr>
        <w:t xml:space="preserve">One further weakness sits inside the macros themselves: the input and output locations are hard-coded. </w:t>
      </w:r>
      <w:r>
        <w:rPr>
          <w:rFonts w:ascii="Calibri" w:cs="Calibri" w:eastAsia="Calibri" w:hAnsi="Calibri"/>
          <w:color w:val="2B3440"/>
          <w:sz w:val="22"/>
          <w:szCs w:val="22"/>
        </w:rPr>
        <w:t xml:space="preserve">The code contains fixed paths to specific network drives, folders and even individual users' machines — the ETD workbook on one shared drive, the VOR search file on another, and in places a path tied to a single person's profile. If a drive letter is remapped, a folder is moved, or the person whose machine is referenced leaves, the macro breaks silently and someone has to open the code to fix it. In the rebuild, all of these locations move into a simple configuration file that the ops team can edit without touching any code.</w:t>
      </w:r>
    </w:p>
    <w:p>
      <w:pPr>
        <w:pStyle w:val="Heading1"/>
        <w:spacing w:after="140" w:before="320"/>
      </w:pPr>
      <w:r>
        <w:rPr>
          <w:rFonts w:ascii="Calibri" w:cs="Calibri" w:eastAsia="Calibri" w:hAnsi="Calibri"/>
          <w:b/>
          <w:bCs/>
          <w:color w:val="13294B"/>
          <w:sz w:val="30"/>
          <w:szCs w:val="30"/>
        </w:rPr>
        <w:t xml:space="preserve">2. Why They Will Stop Working</w:t>
      </w:r>
    </w:p>
    <w:p>
      <w:pPr>
        <w:spacing w:after="160" w:line="320"/>
        <w:jc w:val="both"/>
      </w:pPr>
      <w:r>
        <w:rPr>
          <w:rFonts w:ascii="Calibri" w:cs="Calibri" w:eastAsia="Calibri" w:hAnsi="Calibri"/>
          <w:color w:val="2B3440"/>
          <w:sz w:val="22"/>
          <w:szCs w:val="22"/>
        </w:rPr>
        <w:t xml:space="preserve">Every one of these macros talks to BlueZone through a small connector component that ships with the emulator. That component only exists in </w:t>
      </w:r>
      <w:r>
        <w:rPr>
          <w:rFonts w:ascii="Calibri" w:cs="Calibri" w:eastAsia="Calibri" w:hAnsi="Calibri"/>
          <w:b/>
          <w:bCs/>
          <w:color w:val="2B3440"/>
          <w:sz w:val="22"/>
          <w:szCs w:val="22"/>
        </w:rPr>
        <w:t xml:space="preserve">32-bit</w:t>
      </w:r>
      <w:r>
        <w:rPr>
          <w:rFonts w:ascii="Calibri" w:cs="Calibri" w:eastAsia="Calibri" w:hAnsi="Calibri"/>
          <w:color w:val="2B3440"/>
          <w:sz w:val="22"/>
          <w:szCs w:val="22"/>
        </w:rPr>
        <w:t xml:space="preserve"> form. Today it works because the current Office installation is 32-bit as well. Nissan IS is standardising on 64-bit systems and has confirmed it will not provision 32-bit environments going forward — and a 64-bit application is simply unable to load a 32-bit connector. This is a fundamental Windows rule, not a setting anyone can change.</w:t>
      </w:r>
    </w:p>
    <w:p>
      <w:pPr>
        <w:spacing w:after="160" w:line="320"/>
        <w:jc w:val="both"/>
      </w:pPr>
      <w:r>
        <w:rPr>
          <w:rFonts w:ascii="Calibri" w:cs="Calibri" w:eastAsia="Calibri" w:hAnsi="Calibri"/>
          <w:color w:val="2B3440"/>
          <w:sz w:val="22"/>
          <w:szCs w:val="22"/>
        </w:rPr>
        <w:t xml:space="preserve">The practical consequence: on the new 64-bit standard, every macro fails at the very first step — before it types a single character — and there is no fix or workaround inside the macros themselves. The automation has to be rebuilt on a foundation that does not depend on that 32-bit connector.</w:t>
      </w:r>
    </w:p>
    <w:p>
      <w:pPr>
        <w:pStyle w:val="Heading1"/>
        <w:spacing w:after="140" w:before="320"/>
      </w:pPr>
      <w:r>
        <w:rPr>
          <w:rFonts w:ascii="Calibri" w:cs="Calibri" w:eastAsia="Calibri" w:hAnsi="Calibri"/>
          <w:b/>
          <w:bCs/>
          <w:color w:val="13294B"/>
          <w:sz w:val="30"/>
          <w:szCs w:val="30"/>
        </w:rPr>
        <w:t xml:space="preserve">3. Option A — UiPath on a Virtual Machine: Why It Is Difficult</w:t>
      </w:r>
    </w:p>
    <w:p>
      <w:pPr>
        <w:spacing w:after="160" w:line="320"/>
        <w:jc w:val="both"/>
      </w:pPr>
      <w:r>
        <w:rPr>
          <w:rFonts w:ascii="Calibri" w:cs="Calibri" w:eastAsia="Calibri" w:hAnsi="Calibri"/>
          <w:color w:val="2B3440"/>
          <w:sz w:val="22"/>
          <w:szCs w:val="22"/>
        </w:rPr>
        <w:t xml:space="preserve">UiPath is a capable platform, but for this specific workload the deployment carries real operational friction:</w:t>
      </w:r>
    </w:p>
    <w:p>
      <w:pPr>
        <w:pStyle w:val="ListParagraph"/>
        <w:numPr>
          <w:ilvl w:val="0"/>
          <w:numId w:val="2"/>
        </w:numPr>
        <w:spacing w:after="120" w:line="320"/>
      </w:pPr>
      <w:r>
        <w:rPr>
          <w:rFonts w:ascii="Calibri" w:cs="Calibri" w:eastAsia="Calibri" w:hAnsi="Calibri"/>
          <w:b/>
          <w:bCs/>
          <w:color w:val="2B3440"/>
          <w:sz w:val="22"/>
          <w:szCs w:val="22"/>
        </w:rPr>
        <w:t xml:space="preserve">Mainframe sessions expire. </w:t>
      </w:r>
      <w:r>
        <w:rPr>
          <w:rFonts w:ascii="Calibri" w:cs="Calibri" w:eastAsia="Calibri" w:hAnsi="Calibri"/>
          <w:color w:val="2B3440"/>
          <w:sz w:val="22"/>
          <w:szCs w:val="22"/>
        </w:rPr>
        <w:t xml:space="preserve">The host logs idle sessions off automatically, and a robot on a VM cannot keep a session alive between runs. Every job therefore has to handle the full login, check whether the session is still healthy, and recover with a fresh login when it is not — with mainframe credentials stored, secured and rotated inside the platform. This is exactly the part of terminal automation that tends to fail intermittently.</w:t>
      </w:r>
    </w:p>
    <w:p>
      <w:pPr>
        <w:pStyle w:val="ListParagraph"/>
        <w:numPr>
          <w:ilvl w:val="0"/>
          <w:numId w:val="2"/>
        </w:numPr>
        <w:spacing w:after="120" w:line="320"/>
      </w:pPr>
      <w:r>
        <w:rPr>
          <w:rFonts w:ascii="Calibri" w:cs="Calibri" w:eastAsia="Calibri" w:hAnsi="Calibri"/>
          <w:b/>
          <w:bCs/>
          <w:color w:val="2B3440"/>
          <w:sz w:val="22"/>
          <w:szCs w:val="22"/>
        </w:rPr>
        <w:t xml:space="preserve">The robot needs a live desktop. </w:t>
      </w:r>
      <w:r>
        <w:rPr>
          <w:rFonts w:ascii="Calibri" w:cs="Calibri" w:eastAsia="Calibri" w:hAnsi="Calibri"/>
          <w:color w:val="2B3440"/>
          <w:sz w:val="22"/>
          <w:szCs w:val="22"/>
        </w:rPr>
        <w:t xml:space="preserve">If the automation drives the BlueZone window the way the macros do, the VM must have an active, unlocked screen at the right resolution. A disconnected remote session, a lock screen or an unexpected popup breaks the run mid-batch — a well-known source of unreliable RPA deployments.</w:t>
      </w:r>
    </w:p>
    <w:p>
      <w:pPr>
        <w:pStyle w:val="ListParagraph"/>
        <w:numPr>
          <w:ilvl w:val="0"/>
          <w:numId w:val="2"/>
        </w:numPr>
        <w:spacing w:after="120" w:line="320"/>
      </w:pPr>
      <w:r>
        <w:rPr>
          <w:rFonts w:ascii="Calibri" w:cs="Calibri" w:eastAsia="Calibri" w:hAnsi="Calibri"/>
          <w:b/>
          <w:bCs/>
          <w:color w:val="2B3440"/>
          <w:sz w:val="22"/>
          <w:szCs w:val="22"/>
        </w:rPr>
        <w:t xml:space="preserve">The 32-bit problem can follow us. </w:t>
      </w:r>
      <w:r>
        <w:rPr>
          <w:rFonts w:ascii="Calibri" w:cs="Calibri" w:eastAsia="Calibri" w:hAnsi="Calibri"/>
          <w:color w:val="2B3440"/>
          <w:sz w:val="22"/>
          <w:szCs w:val="22"/>
        </w:rPr>
        <w:t xml:space="preserve">If UiPath is configured to connect through BlueZone's own connector, it hits the very same 32-bit wall we are trying to escape. Avoiding it requires a specific configuration choice, which means the migration is not simply “record and replay”.</w:t>
      </w:r>
    </w:p>
    <w:p>
      <w:pPr>
        <w:pStyle w:val="ListParagraph"/>
        <w:numPr>
          <w:ilvl w:val="0"/>
          <w:numId w:val="2"/>
        </w:numPr>
        <w:spacing w:after="120" w:line="320"/>
      </w:pPr>
      <w:r>
        <w:rPr>
          <w:rFonts w:ascii="Calibri" w:cs="Calibri" w:eastAsia="Calibri" w:hAnsi="Calibri"/>
          <w:b/>
          <w:bCs/>
          <w:color w:val="2B3440"/>
          <w:sz w:val="22"/>
          <w:szCs w:val="22"/>
        </w:rPr>
        <w:t xml:space="preserve">Standing cost and ownership. </w:t>
      </w:r>
      <w:r>
        <w:rPr>
          <w:rFonts w:ascii="Calibri" w:cs="Calibri" w:eastAsia="Calibri" w:hAnsi="Calibri"/>
          <w:color w:val="2B3440"/>
          <w:sz w:val="22"/>
          <w:szCs w:val="22"/>
        </w:rPr>
        <w:t xml:space="preserve">The model needs an unattended robot licence, an orchestration layer, and a Windows VM that someone patches, monitors and maintains — recurring cost and a permanent IS ownership question for what is, at heart, a data-keying task.</w:t>
      </w:r>
    </w:p>
    <w:p>
      <w:pPr>
        <w:pStyle w:val="ListParagraph"/>
        <w:numPr>
          <w:ilvl w:val="0"/>
          <w:numId w:val="2"/>
        </w:numPr>
        <w:spacing w:after="120" w:line="320"/>
      </w:pPr>
      <w:r>
        <w:rPr>
          <w:rFonts w:ascii="Calibri" w:cs="Calibri" w:eastAsia="Calibri" w:hAnsi="Calibri"/>
          <w:b/>
          <w:bCs/>
          <w:color w:val="2B3440"/>
          <w:sz w:val="22"/>
          <w:szCs w:val="22"/>
        </w:rPr>
        <w:t xml:space="preserve">It is not inherently more robust. </w:t>
      </w:r>
      <w:r>
        <w:rPr>
          <w:rFonts w:ascii="Calibri" w:cs="Calibri" w:eastAsia="Calibri" w:hAnsi="Calibri"/>
          <w:color w:val="2B3440"/>
          <w:sz w:val="22"/>
          <w:szCs w:val="22"/>
        </w:rPr>
        <w:t xml:space="preserve">Green screens have no buttons or selectors for UiPath to latch onto; underneath, it is still typing at screen positions. A change to the host screens breaks UiPath exactly as it would break the macros.</w:t>
      </w:r>
    </w:p>
    <w:p>
      <w:pPr>
        <w:spacing w:after="160" w:line="320"/>
        <w:jc w:val="both"/>
      </w:pPr>
      <w:r>
        <w:rPr>
          <w:rFonts w:ascii="Calibri" w:cs="Calibri" w:eastAsia="Calibri" w:hAnsi="Calibri"/>
          <w:color w:val="2B3440"/>
          <w:sz w:val="22"/>
          <w:szCs w:val="22"/>
        </w:rPr>
        <w:t xml:space="preserve">In short: UiPath can be made to work, but the deployment is fragile at the edges, expensive to keep running, and heavier than the problem deserves.</w:t>
      </w:r>
    </w:p>
    <w:p>
      <w:pPr>
        <w:pStyle w:val="Heading1"/>
        <w:spacing w:after="140" w:before="320"/>
      </w:pPr>
      <w:r>
        <w:rPr>
          <w:rFonts w:ascii="Calibri" w:cs="Calibri" w:eastAsia="Calibri" w:hAnsi="Calibri"/>
          <w:b/>
          <w:bCs/>
          <w:color w:val="13294B"/>
          <w:sz w:val="30"/>
          <w:szCs w:val="30"/>
        </w:rPr>
        <w:t xml:space="preserve">4. Option B — Python with a Direct Terminal Connection (Recommended)</w:t>
      </w:r>
    </w:p>
    <w:p>
      <w:pPr>
        <w:spacing w:after="160" w:line="320"/>
        <w:jc w:val="both"/>
      </w:pPr>
      <w:r>
        <w:rPr>
          <w:rFonts w:ascii="Calibri" w:cs="Calibri" w:eastAsia="Calibri" w:hAnsi="Calibri"/>
          <w:color w:val="2B3440"/>
          <w:sz w:val="22"/>
          <w:szCs w:val="22"/>
        </w:rPr>
        <w:t xml:space="preserve">The cleaner route is to rebuild the same logic in Python and connect to the mainframe directly over the standard terminal protocol — the same channel BlueZone itself uses — rather than driving the BlueZone window from the outside. This changes the picture completely:</w:t>
      </w:r>
    </w:p>
    <w:p>
      <w:pPr>
        <w:pStyle w:val="ListParagraph"/>
        <w:numPr>
          <w:ilvl w:val="0"/>
          <w:numId w:val="2"/>
        </w:numPr>
        <w:spacing w:after="120" w:line="320"/>
      </w:pPr>
      <w:r>
        <w:rPr>
          <w:rFonts w:ascii="Calibri" w:cs="Calibri" w:eastAsia="Calibri" w:hAnsi="Calibri"/>
          <w:b/>
          <w:bCs/>
          <w:color w:val="2B3440"/>
          <w:sz w:val="22"/>
          <w:szCs w:val="22"/>
        </w:rPr>
        <w:t xml:space="preserve">The 32-bit problem disappears. </w:t>
      </w:r>
      <w:r>
        <w:rPr>
          <w:rFonts w:ascii="Calibri" w:cs="Calibri" w:eastAsia="Calibri" w:hAnsi="Calibri"/>
          <w:color w:val="2B3440"/>
          <w:sz w:val="22"/>
          <w:szCs w:val="22"/>
        </w:rPr>
        <w:t xml:space="preserve">The direct terminal connection is architecture-independent, so the solution runs on the standard 64-bit Nissan build with no BlueZone dependency at runtime and nothing legacy to keep alive.</w:t>
      </w:r>
    </w:p>
    <w:p>
      <w:pPr>
        <w:pStyle w:val="ListParagraph"/>
        <w:numPr>
          <w:ilvl w:val="0"/>
          <w:numId w:val="2"/>
        </w:numPr>
        <w:spacing w:after="120" w:line="320"/>
      </w:pPr>
      <w:r>
        <w:rPr>
          <w:rFonts w:ascii="Calibri" w:cs="Calibri" w:eastAsia="Calibri" w:hAnsi="Calibri"/>
          <w:b/>
          <w:bCs/>
          <w:color w:val="2B3440"/>
          <w:sz w:val="22"/>
          <w:szCs w:val="22"/>
        </w:rPr>
        <w:t xml:space="preserve">Python is needed only on the ops team's machines. </w:t>
      </w:r>
      <w:r>
        <w:rPr>
          <w:rFonts w:ascii="Calibri" w:cs="Calibri" w:eastAsia="Calibri" w:hAnsi="Calibri"/>
          <w:color w:val="2B3440"/>
          <w:sz w:val="22"/>
          <w:szCs w:val="22"/>
        </w:rPr>
        <w:t xml:space="preserve">This is the key deployment advantage. The tool ships as a small self-contained package installed for the handful of operators who run these processes — no VM, no robot licences, no orchestration platform, no company-wide software rollout. End users elsewhere are untouched; they simply keep providing their input files as they do today.</w:t>
      </w:r>
    </w:p>
    <w:p>
      <w:pPr>
        <w:pStyle w:val="ListParagraph"/>
        <w:numPr>
          <w:ilvl w:val="0"/>
          <w:numId w:val="2"/>
        </w:numPr>
        <w:spacing w:after="120" w:line="320"/>
      </w:pPr>
      <w:r>
        <w:rPr>
          <w:rFonts w:ascii="Calibri" w:cs="Calibri" w:eastAsia="Calibri" w:hAnsi="Calibri"/>
          <w:b/>
          <w:bCs/>
          <w:color w:val="2B3440"/>
          <w:sz w:val="22"/>
          <w:szCs w:val="22"/>
        </w:rPr>
        <w:t xml:space="preserve">It behaves better, not just the same. </w:t>
      </w:r>
      <w:r>
        <w:rPr>
          <w:rFonts w:ascii="Calibri" w:cs="Calibri" w:eastAsia="Calibri" w:hAnsi="Calibri"/>
          <w:color w:val="2B3440"/>
          <w:sz w:val="22"/>
          <w:szCs w:val="22"/>
        </w:rPr>
        <w:t xml:space="preserve">Instead of typing blindly and pausing for fixed half-second delays as the macros do, the Python tool waits until the host has actually presented the expected screen before acting, retries sensibly, logs every row, and can log itself back in if the session expires — the exact weaknesses of the current macros, solved rather than carried over.</w:t>
      </w:r>
    </w:p>
    <w:p>
      <w:pPr>
        <w:pStyle w:val="ListParagraph"/>
        <w:numPr>
          <w:ilvl w:val="0"/>
          <w:numId w:val="2"/>
        </w:numPr>
        <w:spacing w:after="120" w:line="320"/>
      </w:pPr>
      <w:r>
        <w:rPr>
          <w:rFonts w:ascii="Calibri" w:cs="Calibri" w:eastAsia="Calibri" w:hAnsi="Calibri"/>
          <w:b/>
          <w:bCs/>
          <w:color w:val="2B3440"/>
          <w:sz w:val="22"/>
          <w:szCs w:val="22"/>
        </w:rPr>
        <w:t xml:space="preserve">Same business logic, familiar behaviour. </w:t>
      </w:r>
      <w:r>
        <w:rPr>
          <w:rFonts w:ascii="Calibri" w:cs="Calibri" w:eastAsia="Calibri" w:hAnsi="Calibri"/>
          <w:color w:val="2B3440"/>
          <w:sz w:val="22"/>
          <w:szCs w:val="22"/>
        </w:rPr>
        <w:t xml:space="preserve">The row-by-row processing, the ETD date rules, and the green/red status write-back into Excel all carry over, so the operator experience stays recognisable while the plumbing underneath becomes supportable.</w:t>
      </w:r>
    </w:p>
    <w:p>
      <w:pPr>
        <w:spacing w:after="160" w:line="320"/>
        <w:jc w:val="both"/>
      </w:pPr>
      <w:r>
        <w:rPr>
          <w:rFonts w:ascii="Calibri" w:cs="Calibri" w:eastAsia="Calibri" w:hAnsi="Calibri"/>
          <w:color w:val="2B3440"/>
          <w:sz w:val="22"/>
          <w:szCs w:val="22"/>
        </w:rPr>
        <w:t xml:space="preserve">The only prerequisites are one-time: IS approval for the network route from the ops machines to the mainframe's terminal endpoint, and a standard security sign-off for the packaged tool. After that there is no recurring licence or infrastructure cost at all.</w:t>
      </w:r>
    </w:p>
    <w:p>
      <w:pPr>
        <w:pStyle w:val="Heading1"/>
        <w:spacing w:after="140" w:before="320"/>
      </w:pPr>
      <w:r>
        <w:rPr>
          <w:rFonts w:ascii="Calibri" w:cs="Calibri" w:eastAsia="Calibri" w:hAnsi="Calibri"/>
          <w:b/>
          <w:bCs/>
          <w:color w:val="13294B"/>
          <w:sz w:val="30"/>
          <w:szCs w:val="30"/>
        </w:rPr>
        <w:t xml:space="preserve">5. Option C — Evolving It Into a Web-Based Application (Recommended End-State)</w:t>
      </w:r>
    </w:p>
    <w:p>
      <w:pPr>
        <w:spacing w:after="160" w:line="320"/>
        <w:jc w:val="both"/>
      </w:pPr>
      <w:r>
        <w:rPr>
          <w:rFonts w:ascii="Calibri" w:cs="Calibri" w:eastAsia="Calibri" w:hAnsi="Calibri"/>
          <w:color w:val="2B3440"/>
          <w:sz w:val="22"/>
          <w:szCs w:val="22"/>
        </w:rPr>
        <w:t xml:space="preserve">There is a natural next step beyond installing the tool on individual laptops: converting the whole BlueZone-replacement into a web-based application. In this model the terminal connection and all processing run on one small central service, and the ops team simply opens a page in the browser — uploads or picks the input file, presses run, watches progress live, and downloads the results and the log. Nothing is installed on any machine at all, not even for the ops team.</w:t>
      </w:r>
    </w:p>
    <w:p>
      <w:pPr>
        <w:spacing w:after="160" w:line="320"/>
        <w:jc w:val="both"/>
      </w:pPr>
      <w:r>
        <w:rPr>
          <w:rFonts w:ascii="Calibri" w:cs="Calibri" w:eastAsia="Calibri" w:hAnsi="Calibri"/>
          <w:color w:val="2B3440"/>
          <w:sz w:val="22"/>
          <w:szCs w:val="22"/>
        </w:rPr>
        <w:t xml:space="preserve">This carries several advantages worth putting in front of leadership:</w:t>
      </w:r>
    </w:p>
    <w:p>
      <w:pPr>
        <w:pStyle w:val="ListParagraph"/>
        <w:numPr>
          <w:ilvl w:val="0"/>
          <w:numId w:val="2"/>
        </w:numPr>
        <w:spacing w:after="120" w:line="320"/>
      </w:pPr>
      <w:r>
        <w:rPr>
          <w:rFonts w:ascii="Calibri" w:cs="Calibri" w:eastAsia="Calibri" w:hAnsi="Calibri"/>
          <w:b/>
          <w:bCs/>
          <w:color w:val="2B3440"/>
          <w:sz w:val="22"/>
          <w:szCs w:val="22"/>
        </w:rPr>
        <w:t xml:space="preserve">Zero footprint on user machines. </w:t>
      </w:r>
      <w:r>
        <w:rPr>
          <w:rFonts w:ascii="Calibri" w:cs="Calibri" w:eastAsia="Calibri" w:hAnsi="Calibri"/>
          <w:color w:val="2B3440"/>
          <w:sz w:val="22"/>
          <w:szCs w:val="22"/>
        </w:rPr>
        <w:t xml:space="preserve">No Python, no packages, no BlueZone — access is a URL. New team members are onboarded by sharing a link, and updates are deployed once, centrally, instead of touching every laptop.</w:t>
      </w:r>
    </w:p>
    <w:p>
      <w:pPr>
        <w:pStyle w:val="ListParagraph"/>
        <w:numPr>
          <w:ilvl w:val="0"/>
          <w:numId w:val="2"/>
        </w:numPr>
        <w:spacing w:after="120" w:line="320"/>
      </w:pPr>
      <w:r>
        <w:rPr>
          <w:rFonts w:ascii="Calibri" w:cs="Calibri" w:eastAsia="Calibri" w:hAnsi="Calibri"/>
          <w:b/>
          <w:bCs/>
          <w:color w:val="2B3440"/>
          <w:sz w:val="22"/>
          <w:szCs w:val="22"/>
        </w:rPr>
        <w:t xml:space="preserve">One connection to secure instead of many. </w:t>
      </w:r>
      <w:r>
        <w:rPr>
          <w:rFonts w:ascii="Calibri" w:cs="Calibri" w:eastAsia="Calibri" w:hAnsi="Calibri"/>
          <w:color w:val="2B3440"/>
          <w:sz w:val="22"/>
          <w:szCs w:val="22"/>
        </w:rPr>
        <w:t xml:space="preserve">The firewall route to the mainframe is opened for a single server rather than for every ops machine, which is an easier and cleaner request for Nissan IS to approve and audit. Credentials sit in one controlled place, and every run is logged centrally with who ran what and when.</w:t>
      </w:r>
    </w:p>
    <w:p>
      <w:pPr>
        <w:pStyle w:val="ListParagraph"/>
        <w:numPr>
          <w:ilvl w:val="0"/>
          <w:numId w:val="2"/>
        </w:numPr>
        <w:spacing w:after="120" w:line="320"/>
      </w:pPr>
      <w:r>
        <w:rPr>
          <w:rFonts w:ascii="Calibri" w:cs="Calibri" w:eastAsia="Calibri" w:hAnsi="Calibri"/>
          <w:b/>
          <w:bCs/>
          <w:color w:val="2B3440"/>
          <w:sz w:val="22"/>
          <w:szCs w:val="22"/>
        </w:rPr>
        <w:t xml:space="preserve">Room to grow. </w:t>
      </w:r>
      <w:r>
        <w:rPr>
          <w:rFonts w:ascii="Calibri" w:cs="Calibri" w:eastAsia="Calibri" w:hAnsi="Calibri"/>
          <w:color w:val="2B3440"/>
          <w:sz w:val="22"/>
          <w:szCs w:val="22"/>
        </w:rPr>
        <w:t xml:space="preserve">Once the ETD, VIN, PSTS and ST11 processes live behind a web page, adding a new process is adding a screen — and features like scheduling, run history, and email summaries come almost for free. It also aligns with where the emulator vendor itself is heading, as BlueZone's own product line is moving toward browser-based access.</w:t>
      </w:r>
    </w:p>
    <w:p>
      <w:pPr>
        <w:spacing w:after="160" w:line="320"/>
        <w:jc w:val="both"/>
      </w:pPr>
      <w:r>
        <w:rPr>
          <w:rFonts w:ascii="Calibri" w:cs="Calibri" w:eastAsia="Calibri" w:hAnsi="Calibri"/>
          <w:color w:val="2B3440"/>
          <w:sz w:val="22"/>
          <w:szCs w:val="22"/>
        </w:rPr>
        <w:t xml:space="preserve">The honest trade-off: it needs a small server (or an approved internal hosting slot) and a little more initial build effort than the laptop tool. The sensible path is therefore phased — build the Python engine first, prove it on the ops machines, then lift the same engine behind a web front end once IS approves the hosting. The engine is written once; only the way people reach it changes.</w:t>
      </w:r>
    </w:p>
    <w:p>
      <w:pPr>
        <w:pStyle w:val="Heading1"/>
        <w:spacing w:after="140" w:before="320"/>
      </w:pPr>
      <w:r>
        <w:rPr>
          <w:rFonts w:ascii="Calibri" w:cs="Calibri" w:eastAsia="Calibri" w:hAnsi="Calibri"/>
          <w:b/>
          <w:bCs/>
          <w:color w:val="13294B"/>
          <w:sz w:val="30"/>
          <w:szCs w:val="30"/>
        </w:rPr>
        <w:t xml:space="preserve">6. What Deployment Looks Like in Practice</w:t>
      </w:r>
    </w:p>
    <w:p>
      <w:pPr>
        <w:spacing w:after="160" w:line="320"/>
        <w:jc w:val="both"/>
      </w:pPr>
      <w:r>
        <w:rPr>
          <w:rFonts w:ascii="Calibri" w:cs="Calibri" w:eastAsia="Calibri" w:hAnsi="Calibri"/>
          <w:color w:val="2B3440"/>
          <w:sz w:val="22"/>
          <w:szCs w:val="22"/>
        </w:rPr>
        <w:t xml:space="preserve">Under the Python approach, day-to-day operation barely changes for anyone outside the ops team. The teams that prepare backorder extracts or VIN lists keep doing exactly what they do now — dropping their files in the usual location. An operator on the ops team opens the tool, points it at the input file, and starts the run. The tool connects to the mainframe, processes the rows, and writes the results and statuses back into the spreadsheet, along with a run log that shows what was updated, what failed and why.</w:t>
      </w:r>
    </w:p>
    <w:p>
      <w:pPr>
        <w:spacing w:after="160" w:line="320"/>
        <w:jc w:val="both"/>
      </w:pPr>
      <w:r>
        <w:rPr>
          <w:rFonts w:ascii="Calibri" w:cs="Calibri" w:eastAsia="Calibri" w:hAnsi="Calibri"/>
          <w:color w:val="2B3440"/>
          <w:sz w:val="22"/>
          <w:szCs w:val="22"/>
        </w:rPr>
        <w:t xml:space="preserve">Rolling it out means installing one small package on the ops team's laptops — nothing more. There is no server to stand up, no virtual machine to request, no licence renewal to budget, and no dependency on BlueZone being installed or upgraded. If the team grows or a machine is replaced, deployment is a five-minute install. Support stays simple for the same reason: everything runs where the operator can see it, and the log tells the whole story of every run.</w:t>
      </w:r>
    </w:p>
    <w:p>
      <w:pPr>
        <w:spacing w:after="160" w:line="320"/>
        <w:jc w:val="both"/>
      </w:pPr>
      <w:r>
        <w:rPr>
          <w:rFonts w:ascii="Calibri" w:cs="Calibri" w:eastAsia="Calibri" w:hAnsi="Calibri"/>
          <w:color w:val="2B3440"/>
          <w:sz w:val="22"/>
          <w:szCs w:val="22"/>
        </w:rPr>
        <w:t xml:space="preserve">The contrast with the UiPath model is worth stating plainly. There, the automation lives on infrastructure the ops team does not own — a VM, a robot, an orchestration console — so every hiccup becomes a ticket to another team, and every credential change or Windows patch on that VM is a potential outage. With the Python approach, the automation lives with the people who run the process, sized exactly to the problem.</w:t>
      </w:r>
    </w:p>
    <w:p>
      <w:pPr>
        <w:pStyle w:val="Heading1"/>
        <w:spacing w:after="140" w:before="320"/>
      </w:pPr>
      <w:r>
        <w:rPr>
          <w:rFonts w:ascii="Calibri" w:cs="Calibri" w:eastAsia="Calibri" w:hAnsi="Calibri"/>
          <w:b/>
          <w:bCs/>
          <w:color w:val="13294B"/>
          <w:sz w:val="30"/>
          <w:szCs w:val="30"/>
        </w:rPr>
        <w:t xml:space="preserve">7. Risks and How They Are Handled</w:t>
      </w:r>
    </w:p>
    <w:p>
      <w:pPr>
        <w:spacing w:after="160" w:line="320"/>
        <w:jc w:val="both"/>
      </w:pPr>
      <w:r>
        <w:rPr>
          <w:rFonts w:ascii="Calibri" w:cs="Calibri" w:eastAsia="Calibri" w:hAnsi="Calibri"/>
          <w:b/>
          <w:bCs/>
          <w:color w:val="2B3440"/>
          <w:sz w:val="22"/>
          <w:szCs w:val="22"/>
        </w:rPr>
        <w:t xml:space="preserve">Firewall and network access — the key dependency on Nissan IS. </w:t>
      </w:r>
      <w:r>
        <w:rPr>
          <w:rFonts w:ascii="Calibri" w:cs="Calibri" w:eastAsia="Calibri" w:hAnsi="Calibri"/>
          <w:color w:val="2B3440"/>
          <w:sz w:val="22"/>
          <w:szCs w:val="22"/>
        </w:rPr>
        <w:t xml:space="preserve">The direct terminal approach requires the ops team's machines to reach the mainframe's terminal endpoint over the network. Today that traffic flows only from the BlueZone installation, and it is likely that firewall rules currently permit nothing else — so a connection attempt from the new tool may simply be blocked. This is the single most probable blocker for the whole approach, and it cannot be resolved on our side: it needs Nissan IS to review and open the route (and confirm any encryption requirements on it) for the ops machines. The request should therefore be raised with IS at the very start of the project, before any build effort, so that approval runs in parallel and a refusal — or a requirement to route through a specific network zone — is known early enough to adjust the plan.</w:t>
      </w:r>
    </w:p>
    <w:p>
      <w:pPr>
        <w:spacing w:after="160" w:line="320"/>
        <w:jc w:val="both"/>
      </w:pPr>
      <w:r>
        <w:rPr>
          <w:rFonts w:ascii="Calibri" w:cs="Calibri" w:eastAsia="Calibri" w:hAnsi="Calibri"/>
          <w:b/>
          <w:bCs/>
          <w:color w:val="2B3440"/>
          <w:sz w:val="22"/>
          <w:szCs w:val="22"/>
        </w:rPr>
        <w:t xml:space="preserve">Access to the input and output folders — a second, smaller network dependency. </w:t>
      </w:r>
      <w:r>
        <w:rPr>
          <w:rFonts w:ascii="Calibri" w:cs="Calibri" w:eastAsia="Calibri" w:hAnsi="Calibri"/>
          <w:color w:val="2B3440"/>
          <w:sz w:val="22"/>
          <w:szCs w:val="22"/>
        </w:rPr>
        <w:t xml:space="preserve">The processes read from and write to shared folders on the on-premises server (the network drives the macros point at today). Connecting to these from the ops team's machines is straightforward — they are ordinary file shares, and in most cases the operators already have them mapped for daily work — but the connection does need to exist and stay authorised. If the ops machines sit in a different network zone, or the shares are permissioned per user rather than per team, that access also needs Nissan IS to confirm or extend it. It is a much lighter ask than the mainframe route above, and the two requests should simply travel together in the same submission to IS.</w:t>
      </w:r>
    </w:p>
    <w:p>
      <w:pPr>
        <w:spacing w:after="160" w:line="320"/>
        <w:jc w:val="both"/>
      </w:pPr>
      <w:r>
        <w:rPr>
          <w:rFonts w:ascii="Calibri" w:cs="Calibri" w:eastAsia="Calibri" w:hAnsi="Calibri"/>
          <w:color w:val="2B3440"/>
          <w:sz w:val="22"/>
          <w:szCs w:val="22"/>
        </w:rPr>
        <w:t xml:space="preserve">Beyond that, no route eliminates dependence on the mainframe screens themselves — if Nissan changes a screen layout, any automation keying into it must be updated. The Python design reduces the pain by keeping the screen positions in a small configuration file, so an adjustment is an edit, not a redevelopment. Session expiry, the biggest headache in the VM model, is handled directly: the tool detects a dropped session and logs back in before continuing. Security clearance for the packaged tool is a standard IS request and can travel together with the firewall request above. Finally, the existing macros are kept untouched during the transition, so there is a working fallback at every point until the new tool has proven itself in parallel running.</w:t>
      </w:r>
    </w:p>
    <w:p>
      <w:pPr>
        <w:pStyle w:val="Heading1"/>
        <w:spacing w:after="140" w:before="320"/>
      </w:pPr>
      <w:r>
        <w:rPr>
          <w:rFonts w:ascii="Calibri" w:cs="Calibri" w:eastAsia="Calibri" w:hAnsi="Calibri"/>
          <w:b/>
          <w:bCs/>
          <w:color w:val="13294B"/>
          <w:sz w:val="30"/>
          <w:szCs w:val="30"/>
        </w:rPr>
        <w:t xml:space="preserve">8. Recommendation</w:t>
      </w:r>
    </w:p>
    <w:p>
      <w:pPr>
        <w:spacing w:after="160" w:line="320"/>
        <w:jc w:val="both"/>
      </w:pPr>
      <w:r>
        <w:rPr>
          <w:rFonts w:ascii="Calibri" w:cs="Calibri" w:eastAsia="Calibri" w:hAnsi="Calibri"/>
          <w:b/>
          <w:bCs/>
          <w:color w:val="2B3440"/>
          <w:sz w:val="22"/>
          <w:szCs w:val="22"/>
        </w:rPr>
        <w:t xml:space="preserve">Rebuild in Python with the direct terminal approach — first on the ops team's systems, then evolved into a web-based application as the end-state. </w:t>
      </w:r>
      <w:r>
        <w:rPr>
          <w:rFonts w:ascii="Calibri" w:cs="Calibri" w:eastAsia="Calibri" w:hAnsi="Calibri"/>
          <w:color w:val="2B3440"/>
          <w:sz w:val="22"/>
          <w:szCs w:val="22"/>
        </w:rPr>
        <w:t xml:space="preserve">This removes the 32-bit dependency permanently, needs no virtual machine and no RPA licensing, keeps the initial footprint limited to the few people who actually run these processes, and ends up more reliable than what runs today — while the web phase then removes even that footprint, centralises security and logging, and gives the solution room to grow. UiPath remains a valid fallback if IS prefers a centrally managed RPA estate, but for this workload it adds cost and fragility without adding capability. The sensible first step is a pilot on the ETD assignment process — it has the clearest success confirmation from the host — run in parallel with the existing macro until the results reconcile, then extended to the VIN, PSTS and ST11 processes and lifted behind the web front end.</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4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2026-08-13T09:49:09.853Z</dcterms:created>
  <dcterms:modified xsi:type="dcterms:W3CDTF">2026-08-13T09:49:09.869Z</dcterms:modified>
</cp:coreProperties>
</file>

<file path=docProps/custom.xml><?xml version="1.0" encoding="utf-8"?>
<Properties xmlns="http://schemas.openxmlformats.org/officeDocument/2006/custom-properties" xmlns:vt="http://schemas.openxmlformats.org/officeDocument/2006/docPropsVTypes"/>
</file>