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before="40"/>
      </w:pPr>
      <w:r>
        <w:rPr>
          <w:rFonts w:ascii="Arial" w:cs="Arial" w:eastAsia="Arial" w:hAnsi="Arial"/>
          <w:b/>
          <w:bCs/>
          <w:color w:val="2E5C4A"/>
          <w:spacing w:val="80"/>
          <w:sz w:val="20"/>
          <w:szCs w:val="20"/>
        </w:rPr>
        <w:t xml:space="preserve">EXPOSÉ · VERKAUF</w:t>
      </w:r>
    </w:p>
    <w:p>
      <w:pPr>
        <w:spacing w:after="80"/>
      </w:pPr>
      <w:r>
        <w:t xml:space="preserve"/>
      </w:r>
    </w:p>
    <w:p>
      <w:pPr>
        <w:spacing w:after="120"/>
      </w:pPr>
      <w:r>
        <w:rPr>
          <w:rFonts w:ascii="Arial" w:cs="Arial" w:eastAsia="Arial" w:hAnsi="Arial"/>
          <w:b/>
          <w:bCs/>
          <w:color w:val="1A1A1A"/>
          <w:sz w:val="72"/>
          <w:szCs w:val="72"/>
        </w:rPr>
        <w:t xml:space="preserve">Marxstraße 12</w:t>
      </w:r>
    </w:p>
    <w:p>
      <w:pPr>
        <w:spacing w:after="200"/>
      </w:pPr>
      <w:r>
        <w:rPr>
          <w:rFonts w:ascii="Arial" w:cs="Arial" w:eastAsia="Arial" w:hAnsi="Arial"/>
          <w:color w:val="6B6B6B"/>
          <w:sz w:val="40"/>
          <w:szCs w:val="40"/>
        </w:rPr>
        <w:t xml:space="preserve">76571 Gaggenau</w:t>
      </w:r>
    </w:p>
    <w:p>
      <w:pPr>
        <w:spacing w:after="360"/>
      </w:pPr>
      <w:r>
        <w:rPr>
          <w:rFonts w:ascii="Arial" w:cs="Arial" w:eastAsia="Arial" w:hAnsi="Arial"/>
          <w:i/>
          <w:iCs/>
          <w:color w:val="2E5C4A"/>
          <w:sz w:val="28"/>
          <w:szCs w:val="28"/>
        </w:rPr>
        <w:t xml:space="preserve">Drei vollständig kernsanierte Wohnungen im Erdgeschoss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8"/>
                <w:szCs w:val="28"/>
              </w:rPr>
              <w:t xml:space="preserve">Coveransicht</w:t>
            </w:r>
          </w:p>
          <w:p>
            <w:pPr>
              <w:spacing w:after="60"/>
              <w:jc w:val="center"/>
            </w:pPr>
            <w:r>
              <w:rPr>
                <w:rFonts w:ascii="Arial" w:cs="Arial" w:eastAsia="Arial" w:hAnsi="Arial"/>
                <w:i/>
                <w:iCs/>
                <w:color w:val="6B6B6B"/>
                <w:sz w:val="18"/>
                <w:szCs w:val="18"/>
              </w:rPr>
              <w:t xml:space="preserve">Hero-Visualisierung — z. B. Küche-Wohnen WE 01bb, sanierter Endzustand</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4A" w:sz="8"/>
              <w:left w:val="single" w:color="2E5C4A" w:sz="8"/>
              <w:bottom w:val="single" w:color="2E5C4A" w:sz="8"/>
              <w:right w:val="single" w:color="2E5C4A" w:sz="8"/>
            </w:tcBorders>
            <w:shd w:fill="F0F4F0" w:val="clear"/>
            <w:tcMar>
              <w:top w:type="dxa" w:w="240"/>
              <w:left w:type="dxa" w:w="280"/>
              <w:bottom w:type="dxa" w:w="240"/>
              <w:right w:type="dxa" w:w="280"/>
            </w:tcMar>
          </w:tcPr>
          <w:p>
            <w:pPr>
              <w:spacing w:after="100"/>
            </w:pPr>
            <w:r>
              <w:rPr>
                <w:rFonts w:ascii="Arial" w:cs="Arial" w:eastAsia="Arial" w:hAnsi="Arial"/>
                <w:b/>
                <w:bCs/>
                <w:color w:val="2E5C4A"/>
                <w:spacing w:val="80"/>
                <w:sz w:val="20"/>
                <w:szCs w:val="20"/>
              </w:rPr>
              <w:t xml:space="preserve">BESTAND AUSSEN, NEUBAU INNEN</w:t>
            </w:r>
          </w:p>
          <w:p>
            <w:pPr>
              <w:spacing w:after="0" w:line="320"/>
            </w:pPr>
            <w:r>
              <w:rPr>
                <w:rFonts w:ascii="Arial" w:cs="Arial" w:eastAsia="Arial" w:hAnsi="Arial"/>
                <w:i/>
                <w:iCs/>
                <w:color w:val="1A1A1A"/>
                <w:sz w:val="24"/>
                <w:szCs w:val="24"/>
              </w:rPr>
              <w:t xml:space="preserve">Ein 25 Jahre altes Mehrfamilienhaus mit Energieklasse B als robustes Fundament — und drei vollständig kernsanierte, neu zugeschnittene Erdgeschoss-Einheiten mit moderner Haustechnik, Fußbodenheizung in allen Räumen und einem Ausstattungsstandard, den man sonst nur im Neubau findet.</w:t>
            </w:r>
          </w:p>
        </w:tc>
      </w:tr>
    </w:tbl>
    <w:p>
      <w:pPr>
        <w:spacing w:after="240"/>
      </w:pPr>
      <w:r>
        <w:t xml:space="preserve"/>
      </w:r>
    </w:p>
    <w:p>
      <w:pPr>
        <w:pBdr>
          <w:bottom w:val="single" w:color="2E5C4A"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Objektart</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Mehrfamilienhaus, Erdgeschoss-Einheiten</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Anzahl Einheiten</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 Wohnungen (WE 01bb · WE 02bb · WE 03bb)</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Gesamtwohnfläche</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237,85 m² (94,0 + 95,4 + 48,5 m²)</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Baujahr Gebäude</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1999 / 2000</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Sanierungsstand</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Kernsanierung 2025/2026 — Grundriss neu, Haustechnik neu</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Energieeffizienzklasse</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 (Verbrauchsausweis Gesamtgebäude)</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Verkaufsoption</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Einzeln oder als Paket</w:t>
            </w:r>
          </w:p>
        </w:tc>
      </w:tr>
    </w:tbl>
    <w:p>
      <w:r>
        <w:br w:type="page"/>
      </w:r>
    </w:p>
    <w:p>
      <w:pPr>
        <w:pStyle w:val="Heading1"/>
        <w:spacing w:after="200" w:before="360"/>
      </w:pPr>
      <w:r>
        <w:rPr>
          <w:rFonts w:ascii="Arial" w:cs="Arial" w:eastAsia="Arial" w:hAnsi="Arial"/>
          <w:b/>
          <w:bCs/>
          <w:color w:val="1A1A1A"/>
          <w:sz w:val="40"/>
          <w:szCs w:val="40"/>
        </w:rPr>
        <w:t xml:space="preserve">Inhalt</w:t>
      </w:r>
    </w:p>
    <w:p>
      <w:pPr>
        <w:spacing w:after="100" w:line="320"/>
      </w:pPr>
      <w:r>
        <w:rPr>
          <w:rFonts w:ascii="Arial" w:cs="Arial" w:eastAsia="Arial" w:hAnsi="Arial"/>
          <w:b/>
          <w:bCs/>
          <w:color w:val="2E5C4A"/>
          <w:sz w:val="24"/>
          <w:szCs w:val="24"/>
        </w:rPr>
        <w:t xml:space="preserve">1.</w:t>
      </w:r>
      <w:r>
        <w:rPr>
          <w:rFonts w:ascii="Arial" w:cs="Arial" w:eastAsia="Arial" w:hAnsi="Arial"/>
          <w:sz w:val="24"/>
          <w:szCs w:val="24"/>
        </w:rPr>
        <w:t xml:space="preserve">    </w:t>
      </w:r>
      <w:r>
        <w:rPr>
          <w:rFonts w:ascii="Arial" w:cs="Arial" w:eastAsia="Arial" w:hAnsi="Arial"/>
          <w:color w:val="1A1A1A"/>
          <w:sz w:val="24"/>
          <w:szCs w:val="24"/>
        </w:rPr>
        <w:t xml:space="preserve">Auf einen Blick</w:t>
      </w:r>
    </w:p>
    <w:p>
      <w:pPr>
        <w:spacing w:after="100" w:line="320"/>
      </w:pPr>
      <w:r>
        <w:rPr>
          <w:rFonts w:ascii="Arial" w:cs="Arial" w:eastAsia="Arial" w:hAnsi="Arial"/>
          <w:b/>
          <w:bCs/>
          <w:color w:val="2E5C4A"/>
          <w:sz w:val="24"/>
          <w:szCs w:val="24"/>
        </w:rPr>
        <w:t xml:space="preserve">2.</w:t>
      </w:r>
      <w:r>
        <w:rPr>
          <w:rFonts w:ascii="Arial" w:cs="Arial" w:eastAsia="Arial" w:hAnsi="Arial"/>
          <w:sz w:val="24"/>
          <w:szCs w:val="24"/>
        </w:rPr>
        <w:t xml:space="preserve">    </w:t>
      </w:r>
      <w:r>
        <w:rPr>
          <w:rFonts w:ascii="Arial" w:cs="Arial" w:eastAsia="Arial" w:hAnsi="Arial"/>
          <w:color w:val="1A1A1A"/>
          <w:sz w:val="24"/>
          <w:szCs w:val="24"/>
        </w:rPr>
        <w:t xml:space="preserve">Die Lage — Gaggenau, Marxstraße</w:t>
      </w:r>
    </w:p>
    <w:p>
      <w:pPr>
        <w:spacing w:after="100" w:line="320"/>
      </w:pPr>
      <w:r>
        <w:rPr>
          <w:rFonts w:ascii="Arial" w:cs="Arial" w:eastAsia="Arial" w:hAnsi="Arial"/>
          <w:b/>
          <w:bCs/>
          <w:color w:val="2E5C4A"/>
          <w:sz w:val="24"/>
          <w:szCs w:val="24"/>
        </w:rPr>
        <w:t xml:space="preserve">3.</w:t>
      </w:r>
      <w:r>
        <w:rPr>
          <w:rFonts w:ascii="Arial" w:cs="Arial" w:eastAsia="Arial" w:hAnsi="Arial"/>
          <w:sz w:val="24"/>
          <w:szCs w:val="24"/>
        </w:rPr>
        <w:t xml:space="preserve">    </w:t>
      </w:r>
      <w:r>
        <w:rPr>
          <w:rFonts w:ascii="Arial" w:cs="Arial" w:eastAsia="Arial" w:hAnsi="Arial"/>
          <w:color w:val="1A1A1A"/>
          <w:sz w:val="24"/>
          <w:szCs w:val="24"/>
        </w:rPr>
        <w:t xml:space="preserve">Das Gebäude</w:t>
      </w:r>
    </w:p>
    <w:p>
      <w:pPr>
        <w:spacing w:after="100" w:line="320"/>
      </w:pPr>
      <w:r>
        <w:rPr>
          <w:rFonts w:ascii="Arial" w:cs="Arial" w:eastAsia="Arial" w:hAnsi="Arial"/>
          <w:b/>
          <w:bCs/>
          <w:color w:val="2E5C4A"/>
          <w:sz w:val="24"/>
          <w:szCs w:val="24"/>
        </w:rPr>
        <w:t xml:space="preserve">4.</w:t>
      </w:r>
      <w:r>
        <w:rPr>
          <w:rFonts w:ascii="Arial" w:cs="Arial" w:eastAsia="Arial" w:hAnsi="Arial"/>
          <w:sz w:val="24"/>
          <w:szCs w:val="24"/>
        </w:rPr>
        <w:t xml:space="preserve">    </w:t>
      </w:r>
      <w:r>
        <w:rPr>
          <w:rFonts w:ascii="Arial" w:cs="Arial" w:eastAsia="Arial" w:hAnsi="Arial"/>
          <w:color w:val="1A1A1A"/>
          <w:sz w:val="24"/>
          <w:szCs w:val="24"/>
        </w:rPr>
        <w:t xml:space="preserve">Sanierungsumfang &amp; Ausstattung</w:t>
      </w:r>
    </w:p>
    <w:p>
      <w:pPr>
        <w:spacing w:after="100" w:line="320"/>
      </w:pPr>
      <w:r>
        <w:rPr>
          <w:rFonts w:ascii="Arial" w:cs="Arial" w:eastAsia="Arial" w:hAnsi="Arial"/>
          <w:b/>
          <w:bCs/>
          <w:color w:val="2E5C4A"/>
          <w:sz w:val="24"/>
          <w:szCs w:val="24"/>
        </w:rPr>
        <w:t xml:space="preserve">5.</w:t>
      </w:r>
      <w:r>
        <w:rPr>
          <w:rFonts w:ascii="Arial" w:cs="Arial" w:eastAsia="Arial" w:hAnsi="Arial"/>
          <w:sz w:val="24"/>
          <w:szCs w:val="24"/>
        </w:rPr>
        <w:t xml:space="preserve">    </w:t>
      </w:r>
      <w:r>
        <w:rPr>
          <w:rFonts w:ascii="Arial" w:cs="Arial" w:eastAsia="Arial" w:hAnsi="Arial"/>
          <w:color w:val="1A1A1A"/>
          <w:sz w:val="24"/>
          <w:szCs w:val="24"/>
        </w:rPr>
        <w:t xml:space="preserve">Wohneinheit 01bb — 94 m²</w:t>
      </w:r>
    </w:p>
    <w:p>
      <w:pPr>
        <w:spacing w:after="100" w:line="320"/>
      </w:pPr>
      <w:r>
        <w:rPr>
          <w:rFonts w:ascii="Arial" w:cs="Arial" w:eastAsia="Arial" w:hAnsi="Arial"/>
          <w:b/>
          <w:bCs/>
          <w:color w:val="2E5C4A"/>
          <w:sz w:val="24"/>
          <w:szCs w:val="24"/>
        </w:rPr>
        <w:t xml:space="preserve">6.</w:t>
      </w:r>
      <w:r>
        <w:rPr>
          <w:rFonts w:ascii="Arial" w:cs="Arial" w:eastAsia="Arial" w:hAnsi="Arial"/>
          <w:sz w:val="24"/>
          <w:szCs w:val="24"/>
        </w:rPr>
        <w:t xml:space="preserve">    </w:t>
      </w:r>
      <w:r>
        <w:rPr>
          <w:rFonts w:ascii="Arial" w:cs="Arial" w:eastAsia="Arial" w:hAnsi="Arial"/>
          <w:color w:val="1A1A1A"/>
          <w:sz w:val="24"/>
          <w:szCs w:val="24"/>
        </w:rPr>
        <w:t xml:space="preserve">Wohneinheit 02bb — 95 m²</w:t>
      </w:r>
    </w:p>
    <w:p>
      <w:pPr>
        <w:spacing w:after="100" w:line="320"/>
      </w:pPr>
      <w:r>
        <w:rPr>
          <w:rFonts w:ascii="Arial" w:cs="Arial" w:eastAsia="Arial" w:hAnsi="Arial"/>
          <w:b/>
          <w:bCs/>
          <w:color w:val="2E5C4A"/>
          <w:sz w:val="24"/>
          <w:szCs w:val="24"/>
        </w:rPr>
        <w:t xml:space="preserve">7.</w:t>
      </w:r>
      <w:r>
        <w:rPr>
          <w:rFonts w:ascii="Arial" w:cs="Arial" w:eastAsia="Arial" w:hAnsi="Arial"/>
          <w:sz w:val="24"/>
          <w:szCs w:val="24"/>
        </w:rPr>
        <w:t xml:space="preserve">    </w:t>
      </w:r>
      <w:r>
        <w:rPr>
          <w:rFonts w:ascii="Arial" w:cs="Arial" w:eastAsia="Arial" w:hAnsi="Arial"/>
          <w:color w:val="1A1A1A"/>
          <w:sz w:val="24"/>
          <w:szCs w:val="24"/>
        </w:rPr>
        <w:t xml:space="preserve">Wohneinheit 03bb — 49 m²</w:t>
      </w:r>
    </w:p>
    <w:p>
      <w:pPr>
        <w:spacing w:after="100" w:line="320"/>
      </w:pPr>
      <w:r>
        <w:rPr>
          <w:rFonts w:ascii="Arial" w:cs="Arial" w:eastAsia="Arial" w:hAnsi="Arial"/>
          <w:b/>
          <w:bCs/>
          <w:color w:val="2E5C4A"/>
          <w:sz w:val="24"/>
          <w:szCs w:val="24"/>
        </w:rPr>
        <w:t xml:space="preserve">8.</w:t>
      </w:r>
      <w:r>
        <w:rPr>
          <w:rFonts w:ascii="Arial" w:cs="Arial" w:eastAsia="Arial" w:hAnsi="Arial"/>
          <w:sz w:val="24"/>
          <w:szCs w:val="24"/>
        </w:rPr>
        <w:t xml:space="preserve">    </w:t>
      </w:r>
      <w:r>
        <w:rPr>
          <w:rFonts w:ascii="Arial" w:cs="Arial" w:eastAsia="Arial" w:hAnsi="Arial"/>
          <w:color w:val="1A1A1A"/>
          <w:sz w:val="24"/>
          <w:szCs w:val="24"/>
        </w:rPr>
        <w:t xml:space="preserve">Verkaufsoptionen — einzeln oder als Paket</w:t>
      </w:r>
    </w:p>
    <w:p>
      <w:pPr>
        <w:spacing w:after="100" w:line="320"/>
      </w:pPr>
      <w:r>
        <w:rPr>
          <w:rFonts w:ascii="Arial" w:cs="Arial" w:eastAsia="Arial" w:hAnsi="Arial"/>
          <w:b/>
          <w:bCs/>
          <w:color w:val="2E5C4A"/>
          <w:sz w:val="24"/>
          <w:szCs w:val="24"/>
        </w:rPr>
        <w:t xml:space="preserve">9.</w:t>
      </w:r>
      <w:r>
        <w:rPr>
          <w:rFonts w:ascii="Arial" w:cs="Arial" w:eastAsia="Arial" w:hAnsi="Arial"/>
          <w:sz w:val="24"/>
          <w:szCs w:val="24"/>
        </w:rPr>
        <w:t xml:space="preserve">    </w:t>
      </w:r>
      <w:r>
        <w:rPr>
          <w:rFonts w:ascii="Arial" w:cs="Arial" w:eastAsia="Arial" w:hAnsi="Arial"/>
          <w:color w:val="1A1A1A"/>
          <w:sz w:val="24"/>
          <w:szCs w:val="24"/>
        </w:rPr>
        <w:t xml:space="preserve">Energie &amp; Technik</w:t>
      </w:r>
    </w:p>
    <w:p>
      <w:pPr>
        <w:spacing w:after="100" w:line="320"/>
      </w:pPr>
      <w:r>
        <w:rPr>
          <w:rFonts w:ascii="Arial" w:cs="Arial" w:eastAsia="Arial" w:hAnsi="Arial"/>
          <w:b/>
          <w:bCs/>
          <w:color w:val="2E5C4A"/>
          <w:sz w:val="24"/>
          <w:szCs w:val="24"/>
        </w:rPr>
        <w:t xml:space="preserve">10.</w:t>
      </w:r>
      <w:r>
        <w:rPr>
          <w:rFonts w:ascii="Arial" w:cs="Arial" w:eastAsia="Arial" w:hAnsi="Arial"/>
          <w:sz w:val="24"/>
          <w:szCs w:val="24"/>
        </w:rPr>
        <w:t xml:space="preserve">    </w:t>
      </w:r>
      <w:r>
        <w:rPr>
          <w:rFonts w:ascii="Arial" w:cs="Arial" w:eastAsia="Arial" w:hAnsi="Arial"/>
          <w:color w:val="1A1A1A"/>
          <w:sz w:val="24"/>
          <w:szCs w:val="24"/>
        </w:rPr>
        <w:t xml:space="preserve">Datenanhang</w:t>
      </w:r>
    </w:p>
    <w:p>
      <w:pPr>
        <w:spacing w:after="100" w:line="320"/>
      </w:pPr>
      <w:r>
        <w:rPr>
          <w:rFonts w:ascii="Arial" w:cs="Arial" w:eastAsia="Arial" w:hAnsi="Arial"/>
          <w:b/>
          <w:bCs/>
          <w:color w:val="2E5C4A"/>
          <w:sz w:val="24"/>
          <w:szCs w:val="24"/>
        </w:rPr>
        <w:t xml:space="preserve">11.</w:t>
      </w:r>
      <w:r>
        <w:rPr>
          <w:rFonts w:ascii="Arial" w:cs="Arial" w:eastAsia="Arial" w:hAnsi="Arial"/>
          <w:sz w:val="24"/>
          <w:szCs w:val="24"/>
        </w:rPr>
        <w:t xml:space="preserve">    </w:t>
      </w:r>
      <w:r>
        <w:rPr>
          <w:rFonts w:ascii="Arial" w:cs="Arial" w:eastAsia="Arial" w:hAnsi="Arial"/>
          <w:color w:val="1A1A1A"/>
          <w:sz w:val="24"/>
          <w:szCs w:val="24"/>
        </w:rPr>
        <w:t xml:space="preserve">Kontakt</w:t>
      </w:r>
    </w:p>
    <w:p>
      <w:r>
        <w:br w:type="page"/>
      </w:r>
    </w:p>
    <w:p>
      <w:pPr>
        <w:pStyle w:val="Heading1"/>
        <w:spacing w:after="200" w:before="360"/>
      </w:pPr>
      <w:r>
        <w:rPr>
          <w:rFonts w:ascii="Arial" w:cs="Arial" w:eastAsia="Arial" w:hAnsi="Arial"/>
          <w:b/>
          <w:bCs/>
          <w:color w:val="1A1A1A"/>
          <w:sz w:val="40"/>
          <w:szCs w:val="40"/>
        </w:rPr>
        <w:t xml:space="preserve">1. Auf einen Blick</w:t>
      </w:r>
    </w:p>
    <w:p>
      <w:pPr>
        <w:spacing w:after="240" w:before="0" w:line="340"/>
        <w:jc w:val="left"/>
      </w:pPr>
      <w:r>
        <w:rPr>
          <w:rFonts w:ascii="Arial" w:cs="Arial" w:eastAsia="Arial" w:hAnsi="Arial"/>
          <w:b w:val="false"/>
          <w:bCs w:val="false"/>
          <w:i w:val="false"/>
          <w:iCs w:val="false"/>
          <w:color w:val="1A1A1A"/>
          <w:sz w:val="24"/>
          <w:szCs w:val="24"/>
        </w:rPr>
        <w:t xml:space="preserve">Drei vollständig kernsanierte Wohnungen im Erdgeschoss eines Mehrfamilienhauses in Gaggenau. Das Gebäude (Bj. 1999/2000) bleibt in seiner Hülle erhalten — innen wird das Erdgeschoss auf den Rohbau zurückgeführt und mit modernster Haustechnik, Fußbodenheizung in allen Räumen, Eichenparkett, neuen Bädern und solider Marken-Ausstattung neu aufgebaut.</w:t>
      </w:r>
    </w:p>
    <w:p>
      <w:pPr>
        <w:spacing w:after="240" w:before="0" w:line="340"/>
        <w:jc w:val="left"/>
      </w:pPr>
      <w:r>
        <w:rPr>
          <w:rFonts w:ascii="Arial" w:cs="Arial" w:eastAsia="Arial" w:hAnsi="Arial"/>
          <w:b w:val="false"/>
          <w:bCs w:val="false"/>
          <w:i w:val="false"/>
          <w:iCs w:val="false"/>
          <w:color w:val="1A1A1A"/>
          <w:sz w:val="24"/>
          <w:szCs w:val="24"/>
        </w:rPr>
        <w:t xml:space="preserve">Die Neukonfiguration des Grundrisses schafft drei klar zugeschnittene Einheiten für drei Lebenssituationen: das anspruchsvolle Paar (94 m² mit Ankleide), die junge Familie (95 m² mit Kinderzimmer), den urbanen Single oder Kapitalanleger (49 m² Komplett-Apartment).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4A" w:sz="8"/>
              <w:left w:val="single" w:color="2E5C4A" w:sz="8"/>
              <w:bottom w:val="single" w:color="2E5C4A" w:sz="8"/>
              <w:right w:val="single" w:color="2E5C4A" w:sz="8"/>
            </w:tcBorders>
            <w:shd w:fill="F0F4F0" w:val="clear"/>
            <w:tcMar>
              <w:top w:type="dxa" w:w="240"/>
              <w:left w:type="dxa" w:w="280"/>
              <w:bottom w:type="dxa" w:w="240"/>
              <w:right w:type="dxa" w:w="280"/>
            </w:tcMar>
          </w:tcPr>
          <w:p>
            <w:pPr>
              <w:spacing w:after="100"/>
            </w:pPr>
            <w:r>
              <w:rPr>
                <w:rFonts w:ascii="Arial" w:cs="Arial" w:eastAsia="Arial" w:hAnsi="Arial"/>
                <w:b/>
                <w:bCs/>
                <w:color w:val="2E5C4A"/>
                <w:spacing w:val="80"/>
                <w:sz w:val="20"/>
                <w:szCs w:val="20"/>
              </w:rPr>
              <w:t xml:space="preserve">WAS SIE BEKOMMEN</w:t>
            </w:r>
          </w:p>
          <w:p>
            <w:pPr>
              <w:spacing w:after="0" w:line="320"/>
            </w:pPr>
            <w:r>
              <w:rPr>
                <w:rFonts w:ascii="Arial" w:cs="Arial" w:eastAsia="Arial" w:hAnsi="Arial"/>
                <w:i/>
                <w:iCs/>
                <w:color w:val="1A1A1A"/>
                <w:sz w:val="24"/>
                <w:szCs w:val="24"/>
              </w:rPr>
              <w:t xml:space="preserve">Die Substanzqualität eines Hauses, das seit 25 Jahren steht und sich bewährt hat — kombiniert mit dem Innenausbau-Standard eines Neubaus 2026. Ohne Neubaupreis, ohne Neubau-Wartezeit, ohne ungetestete Substanz.</w:t>
            </w:r>
          </w:p>
        </w:tc>
      </w:tr>
    </w:tbl>
    <w:p>
      <w:pPr>
        <w:spacing w:after="200"/>
      </w:pPr>
      <w:r>
        <w:t xml:space="preserve"/>
      </w:r>
    </w:p>
    <w:p>
      <w:pPr>
        <w:pStyle w:val="Heading2"/>
        <w:spacing w:after="160" w:before="280"/>
      </w:pPr>
      <w:r>
        <w:rPr>
          <w:rFonts w:ascii="Arial" w:cs="Arial" w:eastAsia="Arial" w:hAnsi="Arial"/>
          <w:b/>
          <w:bCs/>
          <w:color w:val="2E5C4A"/>
          <w:sz w:val="28"/>
          <w:szCs w:val="28"/>
        </w:rPr>
        <w:t xml:space="preserve">Die drei Einheiten im Überblick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900"/>
        <w:gridCol w:w="3160"/>
      </w:tblGrid>
      <w:tr>
        <w:trPr>
          <w:tblHeader/>
        </w:trPr>
        <w:tc>
          <w:tcPr>
            <w:tcW w:type="dxa" w:w="18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Einheit</w:t>
            </w:r>
          </w:p>
        </w:tc>
        <w:tc>
          <w:tcPr>
            <w:tcW w:type="dxa" w:w="15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Größe</w:t>
            </w:r>
          </w:p>
        </w:tc>
        <w:tc>
          <w:tcPr>
            <w:tcW w:type="dxa" w:w="29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Aufteilung</w:t>
            </w:r>
          </w:p>
        </w:tc>
        <w:tc>
          <w:tcPr>
            <w:tcW w:type="dxa" w:w="31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Zielgruppe</w:t>
            </w:r>
          </w:p>
        </w:tc>
      </w:tr>
      <w:tr>
        <w:tc>
          <w:tcPr>
            <w:tcW w:type="dxa" w:w="1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01bb</w:t>
            </w:r>
          </w:p>
        </w:tc>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93,99 m²</w:t>
            </w:r>
          </w:p>
        </w:tc>
        <w:tc>
          <w:tcPr>
            <w:tcW w:type="dxa" w:w="29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 Zimmer + Ankleide</w:t>
            </w:r>
          </w:p>
        </w:tc>
        <w:tc>
          <w:tcPr>
            <w:tcW w:type="dxa" w:w="31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Paare, Best Ager, Zweitwohnsitz</w:t>
            </w:r>
          </w:p>
        </w:tc>
      </w:tr>
      <w:tr>
        <w:tc>
          <w:tcPr>
            <w:tcW w:type="dxa" w:w="1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02bb</w:t>
            </w:r>
          </w:p>
        </w:tc>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95,36 m²</w:t>
            </w:r>
          </w:p>
        </w:tc>
        <w:tc>
          <w:tcPr>
            <w:tcW w:type="dxa" w:w="29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 Zimmer (Familie)</w:t>
            </w:r>
          </w:p>
        </w:tc>
        <w:tc>
          <w:tcPr>
            <w:tcW w:type="dxa" w:w="31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Junge Familien</w:t>
            </w:r>
          </w:p>
        </w:tc>
      </w:tr>
      <w:tr>
        <w:tc>
          <w:tcPr>
            <w:tcW w:type="dxa" w:w="1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03bb</w:t>
            </w:r>
          </w:p>
        </w:tc>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48,50 m²</w:t>
            </w:r>
          </w:p>
        </w:tc>
        <w:tc>
          <w:tcPr>
            <w:tcW w:type="dxa" w:w="29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1,5 Zimmer</w:t>
            </w:r>
          </w:p>
        </w:tc>
        <w:tc>
          <w:tcPr>
            <w:tcW w:type="dxa" w:w="31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Singles, Pendler, Kapitalanlage</w:t>
            </w:r>
          </w:p>
        </w:tc>
      </w:tr>
    </w:tbl>
    <w:p>
      <w:pPr>
        <w:spacing w:after="240"/>
      </w:pPr>
      <w:r>
        <w:t xml:space="preserve"/>
      </w:r>
    </w:p>
    <w:p>
      <w:pPr>
        <w:spacing w:after="120" w:before="0" w:line="300"/>
        <w:jc w:val="left"/>
      </w:pPr>
      <w:r>
        <w:rPr>
          <w:rFonts w:ascii="Arial" w:cs="Arial" w:eastAsia="Arial" w:hAnsi="Arial"/>
          <w:b w:val="false"/>
          <w:bCs w:val="false"/>
          <w:i/>
          <w:iCs/>
          <w:color w:val="6B6B6B"/>
          <w:sz w:val="22"/>
          <w:szCs w:val="22"/>
        </w:rPr>
        <w:t xml:space="preserve">Erwerb einzeln je Einheit oder als Gesamtpaket möglich. Konditionen auf Anfrage.</w:t>
      </w:r>
    </w:p>
    <w:p>
      <w:r>
        <w:br w:type="page"/>
      </w:r>
    </w:p>
    <w:p>
      <w:pPr>
        <w:pStyle w:val="Heading1"/>
        <w:spacing w:after="200" w:before="360"/>
      </w:pPr>
      <w:r>
        <w:rPr>
          <w:rFonts w:ascii="Arial" w:cs="Arial" w:eastAsia="Arial" w:hAnsi="Arial"/>
          <w:b/>
          <w:bCs/>
          <w:color w:val="1A1A1A"/>
          <w:sz w:val="40"/>
          <w:szCs w:val="40"/>
        </w:rPr>
        <w:t xml:space="preserve">2. Die Lage</w:t>
      </w:r>
    </w:p>
    <w:p>
      <w:pPr>
        <w:spacing w:after="80" w:before="40"/>
      </w:pPr>
      <w:r>
        <w:rPr>
          <w:rFonts w:ascii="Arial" w:cs="Arial" w:eastAsia="Arial" w:hAnsi="Arial"/>
          <w:b/>
          <w:bCs/>
          <w:color w:val="2E5C4A"/>
          <w:spacing w:val="80"/>
          <w:sz w:val="20"/>
          <w:szCs w:val="20"/>
        </w:rPr>
        <w:t xml:space="preserve">GAGGENAU · MARXSTRASSE</w:t>
      </w:r>
    </w:p>
    <w:p>
      <w:pPr>
        <w:spacing w:after="200" w:before="0" w:line="340"/>
        <w:jc w:val="left"/>
      </w:pPr>
      <w:r>
        <w:rPr>
          <w:rFonts w:ascii="Arial" w:cs="Arial" w:eastAsia="Arial" w:hAnsi="Arial"/>
          <w:b w:val="false"/>
          <w:bCs w:val="false"/>
          <w:i w:val="false"/>
          <w:iCs w:val="false"/>
          <w:color w:val="1A1A1A"/>
          <w:sz w:val="22"/>
          <w:szCs w:val="22"/>
        </w:rPr>
        <w:t xml:space="preserve">Gaggenau liegt im Murgtal am Rande des Schwarzwalds, eingebunden in die Wirtschaftsregion Karlsruhe–Baden-Baden–Rastatt. Die Stadt ist Standort namhafter Industrie (Daimler/Mercedes-Benz Werk Gaggenau, Premium-Hausgeräte) und Wohnort einer wirtschaftlich stabilen Bevölkerung mit überdurchschnittlicher Eigentumsquote.</w:t>
      </w:r>
    </w:p>
    <w:p>
      <w:pPr>
        <w:pStyle w:val="Heading2"/>
        <w:spacing w:after="160" w:before="280"/>
      </w:pPr>
      <w:r>
        <w:rPr>
          <w:rFonts w:ascii="Arial" w:cs="Arial" w:eastAsia="Arial" w:hAnsi="Arial"/>
          <w:b/>
          <w:bCs/>
          <w:color w:val="2E5C4A"/>
          <w:sz w:val="28"/>
          <w:szCs w:val="28"/>
        </w:rPr>
        <w:t xml:space="preserve">Mikrolage</w:t>
      </w:r>
    </w:p>
    <w:p>
      <w:pPr>
        <w:pStyle w:val="ListParagraph"/>
        <w:numPr>
          <w:ilvl w:val="0"/>
          <w:numId w:val="2"/>
        </w:numPr>
        <w:spacing w:after="80" w:line="280"/>
      </w:pPr>
      <w:r>
        <w:rPr>
          <w:rFonts w:ascii="Arial" w:cs="Arial" w:eastAsia="Arial" w:hAnsi="Arial"/>
          <w:color w:val="1A1A1A"/>
          <w:sz w:val="22"/>
          <w:szCs w:val="22"/>
        </w:rPr>
        <w:t xml:space="preserve">Marxstraße — gewachsene Wohnlage mit ruhigem Charakter</w:t>
      </w:r>
    </w:p>
    <w:p>
      <w:pPr>
        <w:pStyle w:val="ListParagraph"/>
        <w:numPr>
          <w:ilvl w:val="0"/>
          <w:numId w:val="2"/>
        </w:numPr>
        <w:spacing w:after="80" w:line="280"/>
      </w:pPr>
      <w:r>
        <w:rPr>
          <w:rFonts w:ascii="Arial" w:cs="Arial" w:eastAsia="Arial" w:hAnsi="Arial"/>
          <w:color w:val="1A1A1A"/>
          <w:sz w:val="22"/>
          <w:szCs w:val="22"/>
        </w:rPr>
        <w:t xml:space="preserve">Fußläufige Versorgung mit Lebensmitteln, Apotheke, Café</w:t>
      </w:r>
    </w:p>
    <w:p>
      <w:pPr>
        <w:pStyle w:val="ListParagraph"/>
        <w:numPr>
          <w:ilvl w:val="0"/>
          <w:numId w:val="2"/>
        </w:numPr>
        <w:spacing w:after="80" w:line="280"/>
      </w:pPr>
      <w:r>
        <w:rPr>
          <w:rFonts w:ascii="Arial" w:cs="Arial" w:eastAsia="Arial" w:hAnsi="Arial"/>
          <w:color w:val="1A1A1A"/>
          <w:sz w:val="22"/>
          <w:szCs w:val="22"/>
        </w:rPr>
        <w:t xml:space="preserve">Anbindung an die Innenstadt Gaggenau in wenigen Minuten</w:t>
      </w:r>
    </w:p>
    <w:p>
      <w:pPr>
        <w:pStyle w:val="ListParagraph"/>
        <w:numPr>
          <w:ilvl w:val="0"/>
          <w:numId w:val="2"/>
        </w:numPr>
        <w:spacing w:after="80" w:line="280"/>
      </w:pPr>
      <w:r>
        <w:rPr>
          <w:rFonts w:ascii="Arial" w:cs="Arial" w:eastAsia="Arial" w:hAnsi="Arial"/>
          <w:color w:val="1A1A1A"/>
          <w:sz w:val="22"/>
          <w:szCs w:val="22"/>
        </w:rPr>
        <w:t xml:space="preserve">Gute Infrastruktur für Familien — Kindergärten, Schulen im Umfeld</w:t>
      </w:r>
    </w:p>
    <w:p>
      <w:pPr>
        <w:pStyle w:val="Heading2"/>
        <w:spacing w:after="160" w:before="280"/>
      </w:pPr>
      <w:r>
        <w:rPr>
          <w:rFonts w:ascii="Arial" w:cs="Arial" w:eastAsia="Arial" w:hAnsi="Arial"/>
          <w:b/>
          <w:bCs/>
          <w:color w:val="2E5C4A"/>
          <w:sz w:val="28"/>
          <w:szCs w:val="28"/>
        </w:rPr>
        <w:t xml:space="preserve">Erreichbarkeit</w:t>
      </w:r>
    </w:p>
    <w:p>
      <w:pPr>
        <w:pStyle w:val="ListParagraph"/>
        <w:numPr>
          <w:ilvl w:val="0"/>
          <w:numId w:val="2"/>
        </w:numPr>
        <w:spacing w:after="80" w:line="280"/>
      </w:pPr>
      <w:r>
        <w:rPr>
          <w:rFonts w:ascii="Arial" w:cs="Arial" w:eastAsia="Arial" w:hAnsi="Arial"/>
          <w:color w:val="1A1A1A"/>
          <w:sz w:val="22"/>
          <w:szCs w:val="22"/>
        </w:rPr>
        <w:t xml:space="preserve">Bahnanschluss Gaggenau: direkte Verbindung Karlsruhe — Baden-Baden — Freudenstadt</w:t>
      </w:r>
    </w:p>
    <w:p>
      <w:pPr>
        <w:pStyle w:val="ListParagraph"/>
        <w:numPr>
          <w:ilvl w:val="0"/>
          <w:numId w:val="2"/>
        </w:numPr>
        <w:spacing w:after="80" w:line="280"/>
      </w:pPr>
      <w:r>
        <w:rPr>
          <w:rFonts w:ascii="Arial" w:cs="Arial" w:eastAsia="Arial" w:hAnsi="Arial"/>
          <w:color w:val="1A1A1A"/>
          <w:sz w:val="22"/>
          <w:szCs w:val="22"/>
        </w:rPr>
        <w:t xml:space="preserve">B462 als zentrale Verkehrsachse (Anschluss A5 über Rastatt)</w:t>
      </w:r>
    </w:p>
    <w:p>
      <w:pPr>
        <w:pStyle w:val="ListParagraph"/>
        <w:numPr>
          <w:ilvl w:val="0"/>
          <w:numId w:val="2"/>
        </w:numPr>
        <w:spacing w:after="80" w:line="280"/>
      </w:pPr>
      <w:r>
        <w:rPr>
          <w:rFonts w:ascii="Arial" w:cs="Arial" w:eastAsia="Arial" w:hAnsi="Arial"/>
          <w:color w:val="1A1A1A"/>
          <w:sz w:val="22"/>
          <w:szCs w:val="22"/>
        </w:rPr>
        <w:t xml:space="preserve">Flughäfen: Karlsruhe/Baden-Baden ca. 30 Min., Stuttgart ca. 90 Min.</w:t>
      </w:r>
    </w:p>
    <w:p>
      <w:pPr>
        <w:pStyle w:val="Heading2"/>
        <w:spacing w:after="160" w:before="280"/>
      </w:pPr>
      <w:r>
        <w:rPr>
          <w:rFonts w:ascii="Arial" w:cs="Arial" w:eastAsia="Arial" w:hAnsi="Arial"/>
          <w:b/>
          <w:bCs/>
          <w:color w:val="2E5C4A"/>
          <w:sz w:val="28"/>
          <w:szCs w:val="28"/>
        </w:rPr>
        <w:t xml:space="preserve">Lage-Karte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Lageplan / Mikrolage</w:t>
            </w:r>
          </w:p>
          <w:p>
            <w:pPr>
              <w:spacing w:after="60"/>
              <w:jc w:val="center"/>
            </w:pPr>
            <w:r>
              <w:rPr>
                <w:rFonts w:ascii="Arial" w:cs="Arial" w:eastAsia="Arial" w:hAnsi="Arial"/>
                <w:i/>
                <w:iCs/>
                <w:color w:val="6B6B6B"/>
                <w:sz w:val="18"/>
                <w:szCs w:val="18"/>
              </w:rPr>
              <w:t xml:space="preserve">Optional: Kartenausschnitt Marxstraße 12 mit POIs</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r>
        <w:br w:type="page"/>
      </w:r>
    </w:p>
    <w:p>
      <w:pPr>
        <w:pStyle w:val="Heading1"/>
        <w:spacing w:after="200" w:before="360"/>
      </w:pPr>
      <w:r>
        <w:rPr>
          <w:rFonts w:ascii="Arial" w:cs="Arial" w:eastAsia="Arial" w:hAnsi="Arial"/>
          <w:b/>
          <w:bCs/>
          <w:color w:val="1A1A1A"/>
          <w:sz w:val="40"/>
          <w:szCs w:val="40"/>
        </w:rPr>
        <w:t xml:space="preserve">3. Das Gebäude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Gebäudeansicht</w:t>
            </w:r>
          </w:p>
          <w:p>
            <w:pPr>
              <w:spacing w:after="60"/>
              <w:jc w:val="center"/>
            </w:pPr>
            <w:r>
              <w:rPr>
                <w:rFonts w:ascii="Arial" w:cs="Arial" w:eastAsia="Arial" w:hAnsi="Arial"/>
                <w:i/>
                <w:iCs/>
                <w:color w:val="6B6B6B"/>
                <w:sz w:val="18"/>
                <w:szCs w:val="18"/>
              </w:rPr>
              <w:t xml:space="preserve">Außenansicht Marxstraße 12 — Bestand bleibt erhalten</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40"/>
      </w:pPr>
      <w:r>
        <w:t xml:space="preserve"/>
      </w:r>
    </w:p>
    <w:p>
      <w:pPr>
        <w:spacing w:after="240" w:before="0" w:line="340"/>
        <w:jc w:val="left"/>
      </w:pPr>
      <w:r>
        <w:rPr>
          <w:rFonts w:ascii="Arial" w:cs="Arial" w:eastAsia="Arial" w:hAnsi="Arial"/>
          <w:b w:val="false"/>
          <w:bCs w:val="false"/>
          <w:i w:val="false"/>
          <w:iCs w:val="false"/>
          <w:color w:val="1A1A1A"/>
          <w:sz w:val="22"/>
          <w:szCs w:val="22"/>
        </w:rPr>
        <w:t xml:space="preserve">Mehrfamilienhaus, Baujahr 1999/2000 — eine Generation Gebäudesubstanz, die handwerklich solide gebaut wurde und mit Energieklasse B bereits oberhalb des Bestandsdurchschnitts liegt. Die Hülle (Tragwerk, Fassade, Dach) wird im Zuge der Sanierung erhalten und nicht angetastet — das ist der Punkt, an dem das Gebäude seit 25 Jahren bewiesen hat, dass es funktioniert.</w:t>
      </w:r>
    </w:p>
    <w:p>
      <w:pPr>
        <w:pStyle w:val="Heading2"/>
        <w:spacing w:after="160" w:before="280"/>
      </w:pPr>
      <w:r>
        <w:rPr>
          <w:rFonts w:ascii="Arial" w:cs="Arial" w:eastAsia="Arial" w:hAnsi="Arial"/>
          <w:b/>
          <w:bCs/>
          <w:color w:val="2E5C4A"/>
          <w:sz w:val="28"/>
          <w:szCs w:val="28"/>
        </w:rPr>
        <w:t xml:space="preserve">Eckdaten Gebäude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Merkmal</w:t>
            </w:r>
          </w:p>
        </w:tc>
        <w:tc>
          <w:tcPr>
            <w:tcW w:type="dxa" w:w="58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Wert</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Gebäudetyp</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Mehrfamilienhaus</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Adresse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Marxstraße 12, 76571 Gaggenau</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Baujahr Gebäude</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1999 / 2000</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Baujahr Wärmeerzeuger</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2000</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Anzahl Wohneinheiten gesamt (Haus)</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5</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Gebäudenutzfläche AN</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885,6 m²</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Wesentlicher Energieträger</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Erdgas H</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Lüftung</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Fensterlüftung</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Energieausweis-Typ</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Verbrauchsausweis</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Endenergieverbrauch (Gesamtgebäude)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70,7 kWh/(m²·a)</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Effizienzklasse (Gesamtgebäude)</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w:t>
            </w:r>
          </w:p>
        </w:tc>
      </w:tr>
    </w:tbl>
    <w:p>
      <w:r>
        <w:br w:type="page"/>
      </w:r>
    </w:p>
    <w:p>
      <w:pPr>
        <w:pStyle w:val="Heading1"/>
        <w:spacing w:after="200" w:before="360"/>
      </w:pPr>
      <w:r>
        <w:rPr>
          <w:rFonts w:ascii="Arial" w:cs="Arial" w:eastAsia="Arial" w:hAnsi="Arial"/>
          <w:b/>
          <w:bCs/>
          <w:color w:val="1A1A1A"/>
          <w:sz w:val="40"/>
          <w:szCs w:val="40"/>
        </w:rPr>
        <w:t xml:space="preserve">4. Sanierungsumfang &amp; Ausstattung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4A" w:sz="8"/>
              <w:left w:val="single" w:color="2E5C4A" w:sz="8"/>
              <w:bottom w:val="single" w:color="2E5C4A" w:sz="8"/>
              <w:right w:val="single" w:color="2E5C4A" w:sz="8"/>
            </w:tcBorders>
            <w:shd w:fill="F0F4F0" w:val="clear"/>
            <w:tcMar>
              <w:top w:type="dxa" w:w="240"/>
              <w:left w:type="dxa" w:w="280"/>
              <w:bottom w:type="dxa" w:w="240"/>
              <w:right w:type="dxa" w:w="280"/>
            </w:tcMar>
          </w:tcPr>
          <w:p>
            <w:pPr>
              <w:spacing w:after="100"/>
            </w:pPr>
            <w:r>
              <w:rPr>
                <w:rFonts w:ascii="Arial" w:cs="Arial" w:eastAsia="Arial" w:hAnsi="Arial"/>
                <w:b/>
                <w:bCs/>
                <w:color w:val="2E5C4A"/>
                <w:spacing w:val="80"/>
                <w:sz w:val="20"/>
                <w:szCs w:val="20"/>
              </w:rPr>
              <w:t xml:space="preserve">DIE LOGIK DER SANIERUNG</w:t>
            </w:r>
          </w:p>
          <w:p>
            <w:pPr>
              <w:spacing w:after="0" w:line="320"/>
            </w:pPr>
            <w:r>
              <w:rPr>
                <w:rFonts w:ascii="Arial" w:cs="Arial" w:eastAsia="Arial" w:hAnsi="Arial"/>
                <w:i/>
                <w:iCs/>
                <w:color w:val="1A1A1A"/>
                <w:sz w:val="24"/>
                <w:szCs w:val="24"/>
              </w:rPr>
              <w:t xml:space="preserve">Die Außenhülle des Gebäudes (Tragwerk, Fassade, Dach) bleibt unverändert — sie funktioniert seit 25 Jahren und ist energetisch in Klasse B. Die drei Erdgeschoss-Einheiten dagegen werden vollständig auf den Rohbau zurückgeführt und mit komplett neuer Haustechnik, neuer Aufteilung und solider Markenausstattung neu aufgebaut. Käufer erhalten Innenausbau-Standard 2026 in einer bewährten Bestandshülle.</w:t>
            </w:r>
          </w:p>
        </w:tc>
      </w:tr>
    </w:tbl>
    <w:p>
      <w:pPr>
        <w:spacing w:after="240"/>
      </w:pPr>
      <w:r>
        <w:t xml:space="preserve"/>
      </w:r>
    </w:p>
    <w:p>
      <w:pPr>
        <w:pStyle w:val="Heading2"/>
        <w:spacing w:after="160" w:before="280"/>
      </w:pPr>
      <w:r>
        <w:rPr>
          <w:rFonts w:ascii="Arial" w:cs="Arial" w:eastAsia="Arial" w:hAnsi="Arial"/>
          <w:b/>
          <w:bCs/>
          <w:color w:val="2E5C4A"/>
          <w:sz w:val="28"/>
          <w:szCs w:val="28"/>
        </w:rPr>
        <w:t xml:space="preserve">4.1 Was wird gemacht — der Sanierungsumfang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Bereich</w:t>
            </w:r>
          </w:p>
        </w:tc>
        <w:tc>
          <w:tcPr>
            <w:tcW w:type="dxa" w:w="65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Maßnahme</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Grundriss</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Komplette Neukonfiguration des EG: drei eigenständige Einheiten mit jeweils eigenem Wohnungseingang, neue Trennwände nach aktuellem Schallschutz</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Estrich &amp; Fußbodenaufbau</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Vollständiger Rückbau und Neuaufbau inkl. Trittschalldämmung gemäß DIN 4109</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Heizung in den Einheiten</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NEU: Fußbodenheizung in allen Räumen jeder Einheit, raumweise regelbar</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Wärmeerzeugung</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Bestehende zentrale Gas-Heizungsanlage des Gesamtgebäudes (Bj. 2000, Klasse B) bleibt — bewährte Technik mit guter Effizienz</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Warmwasser</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Zentral aus der bestehenden Anlage, neue Verteilung in den EG-Einheiten</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Elektroinstallation</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Komplette Neuverkabelung nach aktueller VDE, neue Verteiler, ausreichende Steckdosendichte, Smart-Home-Vorbereitung mit CAT-Verkabelung in den Wohn-/Arbeitsbereichen</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Sanitärinstallation</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Komplett neu: neue Wasser- und Abwasserleitungen in den Einheiten, Vorwand-Installationen für WC, Anschlüsse für bodengleiche Dusche, Waschtisch, Badewanne (WE 02)</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Wandflächen innen</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Neuer Putz wo erforderlich (Q3-Qualität), Neuanstrich aller Wohnflächen</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Decken</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Glatte Putzdecken Q3, weiß gestrichen, vorbereitet für deckenbündige LED-Spots in Bädern und Küchen</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Innentüren</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Komplett neu: glatte weiße Türblätter, stumpf einschlagend, Höhe 2,11 m, hochwertige Beschläge</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Fenster</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Bestand mit Wärmeschutzverglasung; einzelne Tauschmaßnahmen wo zur Erfüllung aktueller Anforderungen erforderlich</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Wohnungseingänge</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Sicherheitstüren Klasse RC2 mit hochwertigem Schloss</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Briefkasten / Klingel</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Neue, einheitliche Außenanlage für alle drei Einheiten</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Schallschutz</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Aufbau erfüllt erhöhte Anforderungen DIN 4109 Beiblatt 2</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Barrierearmut</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Alle Einheiten ebenerdig zugänglich (EG), bodengleiche Duschen, schwellenlose Übergänge innerhalb der Wohnungen</w:t>
            </w:r>
          </w:p>
        </w:tc>
      </w:tr>
    </w:tbl>
    <w:p>
      <w:r>
        <w:br w:type="page"/>
      </w:r>
    </w:p>
    <w:p>
      <w:pPr>
        <w:pStyle w:val="Heading2"/>
        <w:spacing w:after="160" w:before="280"/>
      </w:pPr>
      <w:r>
        <w:rPr>
          <w:rFonts w:ascii="Arial" w:cs="Arial" w:eastAsia="Arial" w:hAnsi="Arial"/>
          <w:b/>
          <w:bCs/>
          <w:color w:val="2E5C4A"/>
          <w:sz w:val="28"/>
          <w:szCs w:val="28"/>
        </w:rPr>
        <w:t xml:space="preserve">4.2 Was Sie übernehmen — die Ausstattung</w:t>
      </w:r>
    </w:p>
    <w:p>
      <w:pPr>
        <w:spacing w:after="200" w:before="0" w:line="300"/>
        <w:jc w:val="left"/>
      </w:pPr>
      <w:r>
        <w:rPr>
          <w:rFonts w:ascii="Arial" w:cs="Arial" w:eastAsia="Arial" w:hAnsi="Arial"/>
          <w:b w:val="false"/>
          <w:bCs w:val="false"/>
          <w:i/>
          <w:iCs/>
          <w:color w:val="6B6B6B"/>
          <w:sz w:val="22"/>
          <w:szCs w:val="22"/>
        </w:rPr>
        <w:t xml:space="preserve">Die folgende Ausstattung ist Bestandteil der Sanierung und im Kaufpreis enthalten. Niveau: gehobener Standard mit etablierten Marken — solide gut, nicht überteuert.</w:t>
      </w:r>
    </w:p>
    <w:p>
      <w:pPr>
        <w:pStyle w:val="Heading3"/>
        <w:spacing w:after="120" w:before="200"/>
      </w:pPr>
      <w:r>
        <w:rPr>
          <w:rFonts w:ascii="Arial" w:cs="Arial" w:eastAsia="Arial" w:hAnsi="Arial"/>
          <w:b/>
          <w:bCs/>
          <w:color w:val="1A1A1A"/>
          <w:sz w:val="24"/>
          <w:szCs w:val="24"/>
        </w:rPr>
        <w:t xml:space="preserve">Boden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Bereich</w:t>
            </w:r>
          </w:p>
        </w:tc>
        <w:tc>
          <w:tcPr>
            <w:tcW w:type="dxa" w:w="58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Belag</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 Schlafen, Kinderzimmer, Flur, Ankleide</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Eichen-Mehrschichtparkett, gebürstet, matt geölt, ca. 14 mm Aufbau</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Küche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Eichenparkett (durchgehende Verlegung wie Wohnen)</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Bäder</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Großformat-Feinsteinzeug 60×120 cm, warmer Sandton, R10, mit Sockel</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Abstellräume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Feinsteinzeug oder pflegeleichter Belag</w:t>
            </w:r>
          </w:p>
        </w:tc>
      </w:tr>
    </w:tbl>
    <w:p>
      <w:pPr>
        <w:spacing w:after="160"/>
      </w:pPr>
      <w:r>
        <w:t xml:space="preserve"/>
      </w:r>
    </w:p>
    <w:p>
      <w:pPr>
        <w:pStyle w:val="Heading3"/>
        <w:spacing w:after="120" w:before="200"/>
      </w:pPr>
      <w:r>
        <w:rPr>
          <w:rFonts w:ascii="Arial" w:cs="Arial" w:eastAsia="Arial" w:hAnsi="Arial"/>
          <w:b/>
          <w:bCs/>
          <w:color w:val="1A1A1A"/>
          <w:sz w:val="24"/>
          <w:szCs w:val="24"/>
        </w:rPr>
        <w:t xml:space="preserve">Wand &amp; Decke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Bereich</w:t>
            </w:r>
          </w:p>
        </w:tc>
        <w:tc>
          <w:tcPr>
            <w:tcW w:type="dxa" w:w="58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Ausführung</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Wände allgemein</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Q3-Putz, Anstrich Reinweiß / warmes Weiß</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Bäder Wandfliesen</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Großformat-Feinsteinzeug, raumhoch in der Duschnische, sonst halbhoch oder Wandanstrich (je nach Bad-Konzept)</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Decken</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Glatte Putzdecke Q3, weiß</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Fensterbänke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Naturstein hell (Jura oder vergleichbar)</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Sockelleisten</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Flach / bündig, weiß lackiert</w:t>
            </w:r>
          </w:p>
        </w:tc>
      </w:tr>
    </w:tbl>
    <w:p>
      <w:pPr>
        <w:spacing w:after="160"/>
      </w:pPr>
      <w:r>
        <w:t xml:space="preserve"/>
      </w:r>
    </w:p>
    <w:p>
      <w:pPr>
        <w:pStyle w:val="Heading3"/>
        <w:spacing w:after="120" w:before="200"/>
      </w:pPr>
      <w:r>
        <w:rPr>
          <w:rFonts w:ascii="Arial" w:cs="Arial" w:eastAsia="Arial" w:hAnsi="Arial"/>
          <w:b/>
          <w:bCs/>
          <w:color w:val="1A1A1A"/>
          <w:sz w:val="24"/>
          <w:szCs w:val="24"/>
        </w:rPr>
        <w:t xml:space="preserve">Sanitär (Bäder)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Element</w:t>
            </w:r>
          </w:p>
        </w:tc>
        <w:tc>
          <w:tcPr>
            <w:tcW w:type="dxa" w:w="65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Ausführung</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WC</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Wandhängend, mit Geberit-Vorwand und verdecktem Spülkasten</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Dusche</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Bodengleiche Walk-in-Dusche mit Linienentwässerung, Echtglas-Trennwand</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Waschtisch</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Wandhängend, Marken-Keramik (z. B. Villeroy &amp; Boch, Duravit oder vergleichbar)</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Armaturen</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Hansgrohe oder Grohe — mittlere bis gehobene Linie, verchromt</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Badewanne (nur WE 02)</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Stahlbadewanne in Wandeinbau, ca. 170×75 cm</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Spiegel</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Spiegelschrank oder Wandspiegel mit LED-Beleuchtung</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Handtuchheizkörper</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Wandgerät, weiß oder verchromt</w:t>
            </w:r>
          </w:p>
        </w:tc>
      </w:tr>
    </w:tbl>
    <w:p>
      <w:pPr>
        <w:spacing w:after="160"/>
      </w:pPr>
      <w:r>
        <w:t xml:space="preserve"/>
      </w:r>
    </w:p>
    <w:p>
      <w:pPr>
        <w:pStyle w:val="Heading3"/>
        <w:spacing w:after="120" w:before="200"/>
      </w:pPr>
      <w:r>
        <w:rPr>
          <w:rFonts w:ascii="Arial" w:cs="Arial" w:eastAsia="Arial" w:hAnsi="Arial"/>
          <w:b/>
          <w:bCs/>
          <w:color w:val="1A1A1A"/>
          <w:sz w:val="24"/>
          <w:szCs w:val="24"/>
        </w:rPr>
        <w:t xml:space="preserve">Elektro &amp; Beleuchtung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Element</w:t>
            </w:r>
          </w:p>
        </w:tc>
        <w:tc>
          <w:tcPr>
            <w:tcW w:type="dxa" w:w="65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Ausführung</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Schalter / Steckdosen</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Marken-Programm (z. B. Gira, Jung, Busch-Jaeger), weiß oder cremeweiß</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Steckdosendichte</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Großzügig, gemäß DIN 18015 — über Mindestanforderung</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LED-Spots</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Deckenbündig in Bädern und Küchen</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Smart-Home-Vorbereitung</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CAT-7-Verkabelung zu Wohn- und Arbeitsbereichen, vorbereitete Anschlüsse</w:t>
            </w:r>
          </w:p>
        </w:tc>
      </w:tr>
      <w:tr>
        <w:tc>
          <w:tcPr>
            <w:tcW w:type="dxa" w:w="28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Türsprechanlage</w:t>
            </w:r>
          </w:p>
        </w:tc>
        <w:tc>
          <w:tcPr>
            <w:tcW w:type="dxa" w:w="65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Mit Video, am Wohnungseingang</w:t>
            </w:r>
          </w:p>
        </w:tc>
      </w:tr>
      <w:tr>
        <w:tc>
          <w:tcPr>
            <w:tcW w:type="dxa" w:w="28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Internet / TV</w:t>
            </w:r>
          </w:p>
        </w:tc>
        <w:tc>
          <w:tcPr>
            <w:tcW w:type="dxa" w:w="65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Anschluss in Wohnzimmer und Schlafzimmer</w:t>
            </w:r>
          </w:p>
        </w:tc>
      </w:tr>
    </w:tbl>
    <w:p>
      <w:pPr>
        <w:spacing w:after="160"/>
      </w:pPr>
      <w:r>
        <w:t xml:space="preserve"/>
      </w:r>
    </w:p>
    <w:p>
      <w:pPr>
        <w:pStyle w:val="Heading3"/>
        <w:spacing w:after="120" w:before="200"/>
      </w:pPr>
      <w:r>
        <w:rPr>
          <w:rFonts w:ascii="Arial" w:cs="Arial" w:eastAsia="Arial" w:hAnsi="Arial"/>
          <w:b/>
          <w:bCs/>
          <w:color w:val="1A1A1A"/>
          <w:sz w:val="24"/>
          <w:szCs w:val="24"/>
        </w:rPr>
        <w:t xml:space="preserve">Küche</w:t>
      </w:r>
    </w:p>
    <w:p>
      <w:pPr>
        <w:spacing w:after="160" w:before="0" w:line="320"/>
        <w:jc w:val="left"/>
      </w:pPr>
      <w:r>
        <w:rPr>
          <w:rFonts w:ascii="Arial" w:cs="Arial" w:eastAsia="Arial" w:hAnsi="Arial"/>
          <w:b w:val="false"/>
          <w:bCs w:val="false"/>
          <w:i w:val="false"/>
          <w:iCs w:val="false"/>
          <w:color w:val="1A1A1A"/>
          <w:sz w:val="22"/>
          <w:szCs w:val="22"/>
        </w:rPr>
        <w:t xml:space="preserve">Wichtig: Die Küchenmöbel und Elektrogeräte sind NICHT Bestandteil der Sanierung. Käufer wählen ihre Küche selbst — die Marxstraße 12 liefert die vollständig vorbereitete Wand mit allen Anschlüssen:</w:t>
      </w:r>
    </w:p>
    <w:p>
      <w:pPr>
        <w:pStyle w:val="ListParagraph"/>
        <w:numPr>
          <w:ilvl w:val="0"/>
          <w:numId w:val="2"/>
        </w:numPr>
        <w:spacing w:after="80" w:line="280"/>
      </w:pPr>
      <w:r>
        <w:rPr>
          <w:rFonts w:ascii="Arial" w:cs="Arial" w:eastAsia="Arial" w:hAnsi="Arial"/>
          <w:color w:val="1A1A1A"/>
          <w:sz w:val="22"/>
          <w:szCs w:val="22"/>
        </w:rPr>
        <w:t xml:space="preserve">Wasser- und Abwasseranschluss</w:t>
      </w:r>
    </w:p>
    <w:p>
      <w:pPr>
        <w:pStyle w:val="ListParagraph"/>
        <w:numPr>
          <w:ilvl w:val="0"/>
          <w:numId w:val="2"/>
        </w:numPr>
        <w:spacing w:after="80" w:line="280"/>
      </w:pPr>
      <w:r>
        <w:rPr>
          <w:rFonts w:ascii="Arial" w:cs="Arial" w:eastAsia="Arial" w:hAnsi="Arial"/>
          <w:color w:val="1A1A1A"/>
          <w:sz w:val="22"/>
          <w:szCs w:val="22"/>
        </w:rPr>
        <w:t xml:space="preserve">Starkstrom-Anschluss für Backofen / Herd</w:t>
      </w:r>
    </w:p>
    <w:p>
      <w:pPr>
        <w:pStyle w:val="ListParagraph"/>
        <w:numPr>
          <w:ilvl w:val="0"/>
          <w:numId w:val="2"/>
        </w:numPr>
        <w:spacing w:after="80" w:line="280"/>
      </w:pPr>
      <w:r>
        <w:rPr>
          <w:rFonts w:ascii="Arial" w:cs="Arial" w:eastAsia="Arial" w:hAnsi="Arial"/>
          <w:color w:val="1A1A1A"/>
          <w:sz w:val="22"/>
          <w:szCs w:val="22"/>
        </w:rPr>
        <w:t xml:space="preserve">Steckdosen für Geschirrspüler, Mikrowelle, weitere Geräte</w:t>
      </w:r>
    </w:p>
    <w:p>
      <w:pPr>
        <w:pStyle w:val="ListParagraph"/>
        <w:numPr>
          <w:ilvl w:val="0"/>
          <w:numId w:val="2"/>
        </w:numPr>
        <w:spacing w:after="80" w:line="280"/>
      </w:pPr>
      <w:r>
        <w:rPr>
          <w:rFonts w:ascii="Arial" w:cs="Arial" w:eastAsia="Arial" w:hAnsi="Arial"/>
          <w:color w:val="1A1A1A"/>
          <w:sz w:val="22"/>
          <w:szCs w:val="22"/>
        </w:rPr>
        <w:t xml:space="preserve">Anschluss für Dunstabzug (Abluft oder Umluft)</w:t>
      </w:r>
    </w:p>
    <w:p>
      <w:pPr>
        <w:pStyle w:val="ListParagraph"/>
        <w:numPr>
          <w:ilvl w:val="0"/>
          <w:numId w:val="2"/>
        </w:numPr>
        <w:spacing w:after="80" w:line="280"/>
      </w:pPr>
      <w:r>
        <w:rPr>
          <w:rFonts w:ascii="Arial" w:cs="Arial" w:eastAsia="Arial" w:hAnsi="Arial"/>
          <w:color w:val="1A1A1A"/>
          <w:sz w:val="22"/>
          <w:szCs w:val="22"/>
        </w:rPr>
        <w:t xml:space="preserve">Eichenparkett durchgehend bis zur Küchenwand — Käufer kann freistehende oder eingebaute Küche planen</w:t>
      </w:r>
    </w:p>
    <w:p>
      <w:pPr>
        <w:spacing w:after="160"/>
      </w:pPr>
      <w:r>
        <w:t xml:space="preserve"/>
      </w:r>
    </w:p>
    <w:p>
      <w:pPr>
        <w:spacing w:after="200" w:before="0" w:line="300"/>
        <w:jc w:val="left"/>
      </w:pPr>
      <w:r>
        <w:rPr>
          <w:rFonts w:ascii="Arial" w:cs="Arial" w:eastAsia="Arial" w:hAnsi="Arial"/>
          <w:b w:val="false"/>
          <w:bCs w:val="false"/>
          <w:i/>
          <w:iCs/>
          <w:color w:val="6B6B6B"/>
          <w:sz w:val="20"/>
          <w:szCs w:val="20"/>
        </w:rPr>
        <w:t xml:space="preserve">Die Visualisierungen in diesem Exposé zeigen die Küchenwände bewusst leer mit Anschluss-Markierungen — der Käufer plant seine Küche frei.</w:t>
      </w:r>
    </w:p>
    <w:p>
      <w:r>
        <w:br w:type="page"/>
      </w:r>
    </w:p>
    <w:p>
      <w:pPr>
        <w:pStyle w:val="Heading2"/>
        <w:spacing w:after="160" w:before="280"/>
      </w:pPr>
      <w:r>
        <w:rPr>
          <w:rFonts w:ascii="Arial" w:cs="Arial" w:eastAsia="Arial" w:hAnsi="Arial"/>
          <w:b/>
          <w:bCs/>
          <w:color w:val="2E5C4A"/>
          <w:sz w:val="28"/>
          <w:szCs w:val="28"/>
        </w:rPr>
        <w:t xml:space="preserve">4.3 Was bleibt vom Bestand</w:t>
      </w:r>
    </w:p>
    <w:p>
      <w:pPr>
        <w:spacing w:after="120" w:before="0" w:line="320"/>
        <w:jc w:val="left"/>
      </w:pPr>
      <w:r>
        <w:rPr>
          <w:rFonts w:ascii="Arial" w:cs="Arial" w:eastAsia="Arial" w:hAnsi="Arial"/>
          <w:b w:val="false"/>
          <w:bCs w:val="false"/>
          <w:i w:val="false"/>
          <w:iCs w:val="false"/>
          <w:color w:val="1A1A1A"/>
          <w:sz w:val="22"/>
          <w:szCs w:val="22"/>
        </w:rPr>
        <w:t xml:space="preserve">Bewusst erhalten — weil bewährt:</w:t>
      </w:r>
    </w:p>
    <w:p>
      <w:pPr>
        <w:pStyle w:val="ListParagraph"/>
        <w:numPr>
          <w:ilvl w:val="0"/>
          <w:numId w:val="2"/>
        </w:numPr>
        <w:spacing w:after="80" w:line="280"/>
      </w:pPr>
      <w:r>
        <w:rPr>
          <w:rFonts w:ascii="Arial" w:cs="Arial" w:eastAsia="Arial" w:hAnsi="Arial"/>
          <w:color w:val="1A1A1A"/>
          <w:sz w:val="22"/>
          <w:szCs w:val="22"/>
        </w:rPr>
        <w:t xml:space="preserve">Tragwerk (Wände, Decken, Fundamente)</w:t>
      </w:r>
    </w:p>
    <w:p>
      <w:pPr>
        <w:pStyle w:val="ListParagraph"/>
        <w:numPr>
          <w:ilvl w:val="0"/>
          <w:numId w:val="2"/>
        </w:numPr>
        <w:spacing w:after="80" w:line="280"/>
      </w:pPr>
      <w:r>
        <w:rPr>
          <w:rFonts w:ascii="Arial" w:cs="Arial" w:eastAsia="Arial" w:hAnsi="Arial"/>
          <w:color w:val="1A1A1A"/>
          <w:sz w:val="22"/>
          <w:szCs w:val="22"/>
        </w:rPr>
        <w:t xml:space="preserve">Außenwände und Fassade</w:t>
      </w:r>
    </w:p>
    <w:p>
      <w:pPr>
        <w:pStyle w:val="ListParagraph"/>
        <w:numPr>
          <w:ilvl w:val="0"/>
          <w:numId w:val="2"/>
        </w:numPr>
        <w:spacing w:after="80" w:line="280"/>
      </w:pPr>
      <w:r>
        <w:rPr>
          <w:rFonts w:ascii="Arial" w:cs="Arial" w:eastAsia="Arial" w:hAnsi="Arial"/>
          <w:color w:val="1A1A1A"/>
          <w:sz w:val="22"/>
          <w:szCs w:val="22"/>
        </w:rPr>
        <w:t xml:space="preserve">Dach</w:t>
      </w:r>
    </w:p>
    <w:p>
      <w:pPr>
        <w:pStyle w:val="ListParagraph"/>
        <w:numPr>
          <w:ilvl w:val="0"/>
          <w:numId w:val="2"/>
        </w:numPr>
        <w:spacing w:after="80" w:line="280"/>
      </w:pPr>
      <w:r>
        <w:rPr>
          <w:rFonts w:ascii="Arial" w:cs="Arial" w:eastAsia="Arial" w:hAnsi="Arial"/>
          <w:color w:val="1A1A1A"/>
          <w:sz w:val="22"/>
          <w:szCs w:val="22"/>
        </w:rPr>
        <w:t xml:space="preserve">Zentrale Heizungsanlage des Gebäudes (Bj. 2000, Klasse B) — funktionierende Technik mit Reserven</w:t>
      </w:r>
    </w:p>
    <w:p>
      <w:pPr>
        <w:pStyle w:val="ListParagraph"/>
        <w:numPr>
          <w:ilvl w:val="0"/>
          <w:numId w:val="2"/>
        </w:numPr>
        <w:spacing w:after="80" w:line="280"/>
      </w:pPr>
      <w:r>
        <w:rPr>
          <w:rFonts w:ascii="Arial" w:cs="Arial" w:eastAsia="Arial" w:hAnsi="Arial"/>
          <w:color w:val="1A1A1A"/>
          <w:sz w:val="22"/>
          <w:szCs w:val="22"/>
        </w:rPr>
        <w:t xml:space="preserve">Gemeinschaftsflächen Treppenhaus / Eingangsbereich</w:t>
      </w:r>
    </w:p>
    <w:p>
      <w:pPr>
        <w:pStyle w:val="ListParagraph"/>
        <w:numPr>
          <w:ilvl w:val="0"/>
          <w:numId w:val="2"/>
        </w:numPr>
        <w:spacing w:after="80" w:line="280"/>
      </w:pPr>
      <w:r>
        <w:rPr>
          <w:rFonts w:ascii="Arial" w:cs="Arial" w:eastAsia="Arial" w:hAnsi="Arial"/>
          <w:color w:val="1A1A1A"/>
          <w:sz w:val="22"/>
          <w:szCs w:val="22"/>
        </w:rPr>
        <w:t xml:space="preserve">Energetische Hülle (Klasse B als Ausgangsbasis)</w:t>
      </w:r>
    </w:p>
    <w:p>
      <w:pPr>
        <w:spacing w:after="280"/>
      </w:pPr>
      <w:r>
        <w:t xml:space="preserve"/>
      </w:r>
    </w:p>
    <w:p>
      <w:pPr>
        <w:pStyle w:val="Heading2"/>
        <w:spacing w:after="160" w:before="280"/>
      </w:pPr>
      <w:r>
        <w:rPr>
          <w:rFonts w:ascii="Arial" w:cs="Arial" w:eastAsia="Arial" w:hAnsi="Arial"/>
          <w:b/>
          <w:bCs/>
          <w:color w:val="2E5C4A"/>
          <w:sz w:val="28"/>
          <w:szCs w:val="28"/>
        </w:rPr>
        <w:t xml:space="preserve">4.4 Die Sanierung in einem Bild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Bereich</w:t>
            </w:r>
          </w:p>
        </w:tc>
        <w:tc>
          <w:tcPr>
            <w:tcW w:type="dxa" w:w="24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Bestand bleibt</w:t>
            </w:r>
          </w:p>
        </w:tc>
        <w:tc>
          <w:tcPr>
            <w:tcW w:type="dxa" w:w="36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Wird neu gemacht</w:t>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Tragwerk / Statik</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t>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r>
      <w:tr>
        <w:tc>
          <w:tcPr>
            <w:tcW w:type="dxa" w:w="33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Fassade / Dach</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t>
            </w:r>
          </w:p>
        </w:tc>
        <w:tc>
          <w:tcPr>
            <w:tcW w:type="dxa" w:w="36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Energetische Hülle</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(Klasse B)</w:t>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r>
      <w:tr>
        <w:tc>
          <w:tcPr>
            <w:tcW w:type="dxa" w:w="33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Heizungs-Wärmeerzeuger</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(Bj. 2000)</w:t>
            </w:r>
          </w:p>
        </w:tc>
        <w:tc>
          <w:tcPr>
            <w:tcW w:type="dxa" w:w="36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Grundriss EG</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drei neue WEs</w:t>
            </w:r>
          </w:p>
        </w:tc>
      </w:tr>
      <w:tr>
        <w:tc>
          <w:tcPr>
            <w:tcW w:type="dxa" w:w="33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Estrich + Fußbodenaufbau</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Fußbodenheizung in den WEs</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Elektroinstallation in den WEs</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Sanitärinstallation in den WEs</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Bäder</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Innentüren, Beschläge, Drücker</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Bodenbelag, Wand- &amp; Deckenoberflächen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komplett neu</w:t>
            </w:r>
          </w:p>
        </w:tc>
      </w:tr>
      <w:tr>
        <w:tc>
          <w:tcPr>
            <w:tcW w:type="dxa" w:w="33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Wohnungseingangstüren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36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 neu, Sicherheitsklasse RC2</w:t>
            </w:r>
          </w:p>
        </w:tc>
      </w:tr>
    </w:tbl>
    <w:p>
      <w:pPr>
        <w:spacing w:after="240"/>
      </w:pPr>
      <w:r>
        <w:t xml:space="preserve"/>
      </w:r>
    </w:p>
    <w:p>
      <w:pPr>
        <w:spacing w:after="120" w:before="0" w:line="300"/>
        <w:jc w:val="left"/>
      </w:pPr>
      <w:r>
        <w:rPr>
          <w:rFonts w:ascii="Arial" w:cs="Arial" w:eastAsia="Arial" w:hAnsi="Arial"/>
          <w:b w:val="false"/>
          <w:bCs w:val="false"/>
          <w:i/>
          <w:iCs/>
          <w:color w:val="6B6B6B"/>
          <w:sz w:val="20"/>
          <w:szCs w:val="20"/>
        </w:rPr>
        <w:t xml:space="preserve">Wichtige Information: Diese Übersicht beschreibt den geplanten Sanierungsstandard. Konkrete Marken, Modelle und Bauteile werden in der Bemusterungs- bzw. Baubeschreibung zum Kaufvertrag verbindlich festgelegt.</w:t>
      </w:r>
    </w:p>
    <w:p>
      <w:r>
        <w:br w:type="page"/>
      </w:r>
    </w:p>
    <w:p>
      <w:pPr>
        <w:pStyle w:val="Heading1"/>
        <w:spacing w:after="200" w:before="360"/>
      </w:pPr>
      <w:r>
        <w:rPr>
          <w:rFonts w:ascii="Arial" w:cs="Arial" w:eastAsia="Arial" w:hAnsi="Arial"/>
          <w:b/>
          <w:bCs/>
          <w:color w:val="1A1A1A"/>
          <w:sz w:val="40"/>
          <w:szCs w:val="40"/>
        </w:rPr>
        <w:t xml:space="preserve">5. Wohneinheit 01bb</w:t>
      </w:r>
    </w:p>
    <w:p>
      <w:pPr>
        <w:spacing w:after="80" w:before="40"/>
      </w:pPr>
      <w:r>
        <w:rPr>
          <w:rFonts w:ascii="Arial" w:cs="Arial" w:eastAsia="Arial" w:hAnsi="Arial"/>
          <w:b/>
          <w:bCs/>
          <w:color w:val="2E5C4A"/>
          <w:spacing w:val="80"/>
          <w:sz w:val="20"/>
          <w:szCs w:val="20"/>
        </w:rPr>
        <w:t xml:space="preserve">GROSSZÜGIGE KÜCHE-WOHN-LANDSCHAFT MIT SEPARATER ANKLEIDE AM SCHLAFZIMMER</w:t>
      </w:r>
    </w:p>
    <w:p>
      <w:r>
        <w:br w:type="page"/>
      </w:r>
    </w:p>
    <w:p>
      <w:pPr>
        <w:spacing w:after="80" w:before="40"/>
      </w:pPr>
      <w:r>
        <w:rPr>
          <w:rFonts w:ascii="Arial" w:cs="Arial" w:eastAsia="Arial" w:hAnsi="Arial"/>
          <w:b/>
          <w:bCs/>
          <w:color w:val="2E5C4A"/>
          <w:spacing w:val="80"/>
          <w:sz w:val="20"/>
          <w:szCs w:val="20"/>
        </w:rPr>
        <w:t xml:space="preserve">WOHNEINHEIT 1 VON 3</w:t>
      </w:r>
    </w:p>
    <w:p>
      <w:pPr>
        <w:spacing w:after="80"/>
      </w:pPr>
      <w:r>
        <w:rPr>
          <w:rFonts w:ascii="Arial" w:cs="Arial" w:eastAsia="Arial" w:hAnsi="Arial"/>
          <w:b/>
          <w:bCs/>
          <w:color w:val="1A1A1A"/>
          <w:sz w:val="56"/>
          <w:szCs w:val="56"/>
        </w:rPr>
        <w:t xml:space="preserve">WE 01bb</w:t>
      </w:r>
    </w:p>
    <w:p>
      <w:pPr>
        <w:spacing w:after="200"/>
      </w:pPr>
      <w:r>
        <w:rPr>
          <w:rFonts w:ascii="Arial" w:cs="Arial" w:eastAsia="Arial" w:hAnsi="Arial"/>
          <w:i/>
          <w:iCs/>
          <w:color w:val="6B6B6B"/>
          <w:sz w:val="28"/>
          <w:szCs w:val="28"/>
        </w:rPr>
        <w:t xml:space="preserve">93,99 m² · 3-Zimmer-Wohnung mit Ankleide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8"/>
                <w:szCs w:val="28"/>
              </w:rPr>
              <w:t xml:space="preserve">Küche &amp; Essbereich</w:t>
            </w:r>
          </w:p>
          <w:p>
            <w:pPr>
              <w:spacing w:after="60"/>
              <w:jc w:val="center"/>
            </w:pPr>
            <w:r>
              <w:rPr>
                <w:rFonts w:ascii="Arial" w:cs="Arial" w:eastAsia="Arial" w:hAnsi="Arial"/>
                <w:i/>
                <w:iCs/>
                <w:color w:val="6B6B6B"/>
                <w:sz w:val="18"/>
                <w:szCs w:val="18"/>
              </w:rPr>
              <w:t xml:space="preserve">Abb. 1: Küche-Ess-Landschaft, 32,54 m² · Architektur-Visualisierung sanierter Endzustand</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40"/>
      </w:pPr>
      <w:r>
        <w:t xml:space="preserve"/>
      </w:r>
    </w:p>
    <w:p>
      <w:pPr>
        <w:spacing w:after="240" w:before="0" w:line="320"/>
        <w:jc w:val="left"/>
      </w:pPr>
      <w:r>
        <w:rPr>
          <w:rFonts w:ascii="Arial" w:cs="Arial" w:eastAsia="Arial" w:hAnsi="Arial"/>
          <w:b w:val="false"/>
          <w:bCs w:val="false"/>
          <w:i w:val="false"/>
          <w:iCs w:val="false"/>
          <w:color w:val="1A1A1A"/>
          <w:sz w:val="24"/>
          <w:szCs w:val="24"/>
        </w:rPr>
        <w:t xml:space="preserve">Klare Hierarchie der Räume: Die offene Küche-Wohn-Landschaft empfängt, das Schlafzimmer mit Ankleide bildet einen privaten Rückzug. 94 m² ebenerdig, ohne Treppen, im Erdgeschoss eines vollständig kernsanierten Hauses.</w:t>
      </w:r>
    </w:p>
    <w:p>
      <w:pPr>
        <w:pStyle w:val="Heading3"/>
        <w:spacing w:after="120" w:before="200"/>
      </w:pPr>
      <w:r>
        <w:rPr>
          <w:rFonts w:ascii="Arial" w:cs="Arial" w:eastAsia="Arial" w:hAnsi="Arial"/>
          <w:b/>
          <w:bCs/>
          <w:color w:val="1A1A1A"/>
          <w:sz w:val="24"/>
          <w:szCs w:val="24"/>
        </w:rPr>
        <w:t xml:space="preserve">Auf einen Blick</w:t>
      </w:r>
    </w:p>
    <w:p>
      <w:pPr>
        <w:pStyle w:val="ListParagraph"/>
        <w:numPr>
          <w:ilvl w:val="0"/>
          <w:numId w:val="2"/>
        </w:numPr>
        <w:spacing w:after="80" w:line="280"/>
      </w:pPr>
      <w:r>
        <w:rPr>
          <w:rFonts w:ascii="Arial" w:cs="Arial" w:eastAsia="Arial" w:hAnsi="Arial"/>
          <w:color w:val="1A1A1A"/>
          <w:sz w:val="22"/>
          <w:szCs w:val="22"/>
        </w:rPr>
        <w:t xml:space="preserve">32,5 m² Kochen/Essen — die Bühne der Wohnung</w:t>
      </w:r>
    </w:p>
    <w:p>
      <w:pPr>
        <w:pStyle w:val="ListParagraph"/>
        <w:numPr>
          <w:ilvl w:val="0"/>
          <w:numId w:val="2"/>
        </w:numPr>
        <w:spacing w:after="80" w:line="280"/>
      </w:pPr>
      <w:r>
        <w:rPr>
          <w:rFonts w:ascii="Arial" w:cs="Arial" w:eastAsia="Arial" w:hAnsi="Arial"/>
          <w:color w:val="1A1A1A"/>
          <w:sz w:val="22"/>
          <w:szCs w:val="22"/>
        </w:rPr>
        <w:t xml:space="preserve">19,2 m² Wohnzimmer mit großzügiger Belichtung</w:t>
      </w:r>
    </w:p>
    <w:p>
      <w:pPr>
        <w:pStyle w:val="ListParagraph"/>
        <w:numPr>
          <w:ilvl w:val="0"/>
          <w:numId w:val="2"/>
        </w:numPr>
        <w:spacing w:after="80" w:line="280"/>
      </w:pPr>
      <w:r>
        <w:rPr>
          <w:rFonts w:ascii="Arial" w:cs="Arial" w:eastAsia="Arial" w:hAnsi="Arial"/>
          <w:color w:val="1A1A1A"/>
          <w:sz w:val="22"/>
          <w:szCs w:val="22"/>
        </w:rPr>
        <w:t xml:space="preserve">Schlafzimmer mit angeschlossener 6,7 m² Ankleide</w:t>
      </w:r>
    </w:p>
    <w:p>
      <w:pPr>
        <w:pStyle w:val="ListParagraph"/>
        <w:numPr>
          <w:ilvl w:val="0"/>
          <w:numId w:val="2"/>
        </w:numPr>
        <w:spacing w:after="80" w:line="280"/>
      </w:pPr>
      <w:r>
        <w:rPr>
          <w:rFonts w:ascii="Arial" w:cs="Arial" w:eastAsia="Arial" w:hAnsi="Arial"/>
          <w:color w:val="1A1A1A"/>
          <w:sz w:val="22"/>
          <w:szCs w:val="22"/>
        </w:rPr>
        <w:t xml:space="preserve">Großzügiges Tageslicht-Bad (7,6 m²) mit bodengleicher Dusche</w:t>
      </w:r>
    </w:p>
    <w:p>
      <w:pPr>
        <w:pStyle w:val="ListParagraph"/>
        <w:numPr>
          <w:ilvl w:val="0"/>
          <w:numId w:val="2"/>
        </w:numPr>
        <w:spacing w:after="80" w:line="280"/>
      </w:pPr>
      <w:r>
        <w:rPr>
          <w:rFonts w:ascii="Arial" w:cs="Arial" w:eastAsia="Arial" w:hAnsi="Arial"/>
          <w:color w:val="1A1A1A"/>
          <w:sz w:val="22"/>
          <w:szCs w:val="22"/>
        </w:rPr>
        <w:t xml:space="preserve">Eingangsgarderobe / Flur mit 13,2 m² als Empfangszone</w:t>
      </w:r>
    </w:p>
    <w:p>
      <w:pPr>
        <w:pStyle w:val="ListParagraph"/>
        <w:numPr>
          <w:ilvl w:val="0"/>
          <w:numId w:val="2"/>
        </w:numPr>
        <w:spacing w:after="80" w:line="280"/>
      </w:pPr>
      <w:r>
        <w:rPr>
          <w:rFonts w:ascii="Arial" w:cs="Arial" w:eastAsia="Arial" w:hAnsi="Arial"/>
          <w:color w:val="1A1A1A"/>
          <w:sz w:val="22"/>
          <w:szCs w:val="22"/>
        </w:rPr>
        <w:t xml:space="preserve">Fußbodenheizung in allen Räumen, Eichenparkett durchgehend</w:t>
      </w:r>
    </w:p>
    <w:p>
      <w:pPr>
        <w:spacing w:after="160"/>
      </w:pPr>
      <w:r>
        <w:t xml:space="preserve"/>
      </w:r>
    </w:p>
    <w:p>
      <w:pPr>
        <w:spacing w:after="200" w:before="0" w:line="300"/>
        <w:jc w:val="left"/>
      </w:pPr>
      <w:r>
        <w:rPr>
          <w:rFonts w:ascii="Arial" w:cs="Arial" w:eastAsia="Arial" w:hAnsi="Arial"/>
          <w:b/>
          <w:bCs/>
          <w:color w:val="2E5C4A"/>
          <w:sz w:val="22"/>
          <w:szCs w:val="22"/>
        </w:rPr>
        <w:t xml:space="preserve">Zielgruppe: </w:t>
      </w:r>
      <w:r>
        <w:rPr>
          <w:rFonts w:ascii="Arial" w:cs="Arial" w:eastAsia="Arial" w:hAnsi="Arial"/>
          <w:color w:val="1A1A1A"/>
          <w:sz w:val="22"/>
          <w:szCs w:val="22"/>
        </w:rPr>
        <w:t xml:space="preserve">Anspruchsvolle Paare ohne Kinder, Best Ager, urbanes Zweitdomizil</w:t>
      </w:r>
    </w:p>
    <w:p>
      <w:r>
        <w:br w:type="page"/>
      </w:r>
    </w:p>
    <w:p>
      <w:pPr>
        <w:pStyle w:val="Heading2"/>
        <w:spacing w:after="160" w:before="280"/>
      </w:pPr>
      <w:r>
        <w:rPr>
          <w:rFonts w:ascii="Arial" w:cs="Arial" w:eastAsia="Arial" w:hAnsi="Arial"/>
          <w:b/>
          <w:bCs/>
          <w:color w:val="2E5C4A"/>
          <w:sz w:val="28"/>
          <w:szCs w:val="28"/>
        </w:rPr>
        <w:t xml:space="preserve">WE 01bb — Eindrücke</w:t>
      </w:r>
    </w:p>
    <w:p>
      <w:pPr>
        <w:spacing w:after="200" w:before="0" w:line="300"/>
        <w:jc w:val="left"/>
      </w:pPr>
      <w:r>
        <w:rPr>
          <w:rFonts w:ascii="Arial" w:cs="Arial" w:eastAsia="Arial" w:hAnsi="Arial"/>
          <w:b w:val="false"/>
          <w:bCs w:val="false"/>
          <w:i/>
          <w:iCs/>
          <w:color w:val="6B6B6B"/>
          <w:sz w:val="20"/>
          <w:szCs w:val="20"/>
        </w:rPr>
        <w:t xml:space="preserve">Die folgenden Visualisierungen zeigen den geplanten Übergabezustand nach Abschluss der Sanierung — unmöbliert, mit allen baulichen Leistungen, die im Kaufpreis enthalten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Wohnzimmer</w:t>
            </w:r>
          </w:p>
          <w:p>
            <w:pPr>
              <w:spacing w:after="60"/>
              <w:jc w:val="center"/>
            </w:pPr>
            <w:r>
              <w:rPr>
                <w:rFonts w:ascii="Arial" w:cs="Arial" w:eastAsia="Arial" w:hAnsi="Arial"/>
                <w:i/>
                <w:iCs/>
                <w:color w:val="6B6B6B"/>
                <w:sz w:val="18"/>
                <w:szCs w:val="18"/>
              </w:rPr>
              <w:t xml:space="preserve">Abb. 2: Wohnzimmer, 19,24 m² · sanierter Endzustand, unmöbliert</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Tageslicht-Bad</w:t>
            </w:r>
          </w:p>
          <w:p>
            <w:pPr>
              <w:spacing w:after="60"/>
              <w:jc w:val="center"/>
            </w:pPr>
            <w:r>
              <w:rPr>
                <w:rFonts w:ascii="Arial" w:cs="Arial" w:eastAsia="Arial" w:hAnsi="Arial"/>
                <w:i/>
                <w:iCs/>
                <w:color w:val="6B6B6B"/>
                <w:sz w:val="18"/>
                <w:szCs w:val="18"/>
              </w:rPr>
              <w:t xml:space="preserve">Abb. 3: Bad, 7,59 m² · vorinstalliert für bodengleiche Dusche</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Schlafzimmer mit Ankleide</w:t>
            </w:r>
          </w:p>
          <w:p>
            <w:pPr>
              <w:spacing w:after="60"/>
              <w:jc w:val="center"/>
            </w:pPr>
            <w:r>
              <w:rPr>
                <w:rFonts w:ascii="Arial" w:cs="Arial" w:eastAsia="Arial" w:hAnsi="Arial"/>
                <w:i/>
                <w:iCs/>
                <w:color w:val="6B6B6B"/>
                <w:sz w:val="18"/>
                <w:szCs w:val="18"/>
              </w:rPr>
              <w:t xml:space="preserve">Abb. 4: Schlafzimmer + Ankleide, 12,03 + 6,72 m²</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p>
      <w:r>
        <w:br w:type="page"/>
      </w:r>
    </w:p>
    <w:p>
      <w:pPr>
        <w:pStyle w:val="Heading2"/>
        <w:spacing w:after="160" w:before="280"/>
      </w:pPr>
      <w:r>
        <w:rPr>
          <w:rFonts w:ascii="Arial" w:cs="Arial" w:eastAsia="Arial" w:hAnsi="Arial"/>
          <w:b/>
          <w:bCs/>
          <w:color w:val="2E5C4A"/>
          <w:sz w:val="28"/>
          <w:szCs w:val="28"/>
        </w:rPr>
        <w:t xml:space="preserve">WE 01bb — Raumprogramm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Raum</w:t>
            </w:r>
          </w:p>
        </w:tc>
        <w:tc>
          <w:tcPr>
            <w:tcW w:type="dxa" w:w="24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Fläche</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Kochen / Essen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32,54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19,24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Schlafen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12,03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Ankleide</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6,72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7,59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WF / Flur</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13,24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2,63 m²</w:t>
            </w:r>
          </w:p>
        </w:tc>
      </w:tr>
    </w:tbl>
    <w:p>
      <w:pPr>
        <w:spacing w:after="160"/>
      </w:pPr>
      <w:r>
        <w:t xml:space="preserve"/>
      </w:r>
    </w:p>
    <w:p>
      <w:pPr>
        <w:spacing w:after="240" w:before="0" w:line="300"/>
        <w:jc w:val="left"/>
      </w:pPr>
      <w:r>
        <w:rPr>
          <w:rFonts w:ascii="Arial" w:cs="Arial" w:eastAsia="Arial" w:hAnsi="Arial"/>
          <w:b/>
          <w:bCs/>
          <w:color w:val="1A1A1A"/>
          <w:sz w:val="24"/>
          <w:szCs w:val="24"/>
        </w:rPr>
        <w:t xml:space="preserve">Wohnfläche gesamt: </w:t>
      </w:r>
      <w:r>
        <w:rPr>
          <w:rFonts w:ascii="Arial" w:cs="Arial" w:eastAsia="Arial" w:hAnsi="Arial"/>
          <w:b/>
          <w:bCs/>
          <w:color w:val="2E5C4A"/>
          <w:sz w:val="24"/>
          <w:szCs w:val="24"/>
        </w:rPr>
        <w:t xml:space="preserve">93,99 m²</w:t>
      </w:r>
    </w:p>
    <w:p>
      <w:pPr>
        <w:pStyle w:val="Heading3"/>
        <w:spacing w:after="120" w:before="200"/>
      </w:pPr>
      <w:r>
        <w:rPr>
          <w:rFonts w:ascii="Arial" w:cs="Arial" w:eastAsia="Arial" w:hAnsi="Arial"/>
          <w:b/>
          <w:bCs/>
          <w:color w:val="1A1A1A"/>
          <w:sz w:val="24"/>
          <w:szCs w:val="24"/>
        </w:rPr>
        <w:t xml:space="preserve">Grundriss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Grundriss WE 01bb</w:t>
            </w:r>
          </w:p>
          <w:p>
            <w:pPr>
              <w:spacing w:after="60"/>
              <w:jc w:val="center"/>
            </w:pPr>
            <w:r>
              <w:rPr>
                <w:rFonts w:ascii="Arial" w:cs="Arial" w:eastAsia="Arial" w:hAnsi="Arial"/>
                <w:i/>
                <w:iCs/>
                <w:color w:val="6B6B6B"/>
                <w:sz w:val="18"/>
                <w:szCs w:val="18"/>
              </w:rPr>
              <w:t xml:space="preserve">Grundriss-Auszug aus EG_VAR_03_Endzustand, M 1:100, Architekt M. Rekett</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r>
        <w:br w:type="page"/>
      </w:r>
    </w:p>
    <w:p>
      <w:pPr>
        <w:pStyle w:val="Heading1"/>
        <w:spacing w:after="200" w:before="360"/>
      </w:pPr>
      <w:r>
        <w:rPr>
          <w:rFonts w:ascii="Arial" w:cs="Arial" w:eastAsia="Arial" w:hAnsi="Arial"/>
          <w:b/>
          <w:bCs/>
          <w:color w:val="1A1A1A"/>
          <w:sz w:val="40"/>
          <w:szCs w:val="40"/>
        </w:rPr>
        <w:t xml:space="preserve">6. Wohneinheit 02bb</w:t>
      </w:r>
    </w:p>
    <w:p>
      <w:pPr>
        <w:spacing w:after="80" w:before="40"/>
      </w:pPr>
      <w:r>
        <w:rPr>
          <w:rFonts w:ascii="Arial" w:cs="Arial" w:eastAsia="Arial" w:hAnsi="Arial"/>
          <w:b/>
          <w:bCs/>
          <w:color w:val="2E5C4A"/>
          <w:spacing w:val="80"/>
          <w:sz w:val="20"/>
          <w:szCs w:val="20"/>
        </w:rPr>
        <w:t xml:space="preserve">FAMILIENGERECHTE 3-ZIMMER-WOHNUNG MIT GETRENNTEN SCHLAFBEREICHEN</w:t>
      </w:r>
    </w:p>
    <w:p>
      <w:r>
        <w:br w:type="page"/>
      </w:r>
    </w:p>
    <w:p>
      <w:pPr>
        <w:spacing w:after="80" w:before="40"/>
      </w:pPr>
      <w:r>
        <w:rPr>
          <w:rFonts w:ascii="Arial" w:cs="Arial" w:eastAsia="Arial" w:hAnsi="Arial"/>
          <w:b/>
          <w:bCs/>
          <w:color w:val="2E5C4A"/>
          <w:spacing w:val="80"/>
          <w:sz w:val="20"/>
          <w:szCs w:val="20"/>
        </w:rPr>
        <w:t xml:space="preserve">WOHNEINHEIT 2 VON 3</w:t>
      </w:r>
    </w:p>
    <w:p>
      <w:pPr>
        <w:spacing w:after="80"/>
      </w:pPr>
      <w:r>
        <w:rPr>
          <w:rFonts w:ascii="Arial" w:cs="Arial" w:eastAsia="Arial" w:hAnsi="Arial"/>
          <w:b/>
          <w:bCs/>
          <w:color w:val="1A1A1A"/>
          <w:sz w:val="56"/>
          <w:szCs w:val="56"/>
        </w:rPr>
        <w:t xml:space="preserve">WE 02bb</w:t>
      </w:r>
    </w:p>
    <w:p>
      <w:pPr>
        <w:spacing w:after="200"/>
      </w:pPr>
      <w:r>
        <w:rPr>
          <w:rFonts w:ascii="Arial" w:cs="Arial" w:eastAsia="Arial" w:hAnsi="Arial"/>
          <w:i/>
          <w:iCs/>
          <w:color w:val="6B6B6B"/>
          <w:sz w:val="28"/>
          <w:szCs w:val="28"/>
        </w:rPr>
        <w:t xml:space="preserve">95,36 m² · 3-Zimmer-Familienwohnung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8"/>
                <w:szCs w:val="28"/>
              </w:rPr>
              <w:t xml:space="preserve">Wohn-Essbereich</w:t>
            </w:r>
          </w:p>
          <w:p>
            <w:pPr>
              <w:spacing w:after="60"/>
              <w:jc w:val="center"/>
            </w:pPr>
            <w:r>
              <w:rPr>
                <w:rFonts w:ascii="Arial" w:cs="Arial" w:eastAsia="Arial" w:hAnsi="Arial"/>
                <w:i/>
                <w:iCs/>
                <w:color w:val="6B6B6B"/>
                <w:sz w:val="18"/>
                <w:szCs w:val="18"/>
              </w:rPr>
              <w:t xml:space="preserve">Abb. 1: Wohn-Essbereich, 30,89 m² · sanierter Endzustand</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40"/>
      </w:pPr>
      <w:r>
        <w:t xml:space="preserve"/>
      </w:r>
    </w:p>
    <w:p>
      <w:pPr>
        <w:spacing w:after="240" w:before="0" w:line="320"/>
        <w:jc w:val="left"/>
      </w:pPr>
      <w:r>
        <w:rPr>
          <w:rFonts w:ascii="Arial" w:cs="Arial" w:eastAsia="Arial" w:hAnsi="Arial"/>
          <w:b w:val="false"/>
          <w:bCs w:val="false"/>
          <w:i w:val="false"/>
          <w:iCs w:val="false"/>
          <w:color w:val="1A1A1A"/>
          <w:sz w:val="24"/>
          <w:szCs w:val="24"/>
        </w:rPr>
        <w:t xml:space="preserve">Die Wohnung für die Lebensphase, in der Stadtwohnen und Familiengründung sich nicht ausschließen. Klare räumliche Trennung zwischen Eltern- und Kindbereich, vollwertiges Familienbad, Wohnzimmer mit echter Großzügigkeit.</w:t>
      </w:r>
    </w:p>
    <w:p>
      <w:pPr>
        <w:pStyle w:val="Heading3"/>
        <w:spacing w:after="120" w:before="200"/>
      </w:pPr>
      <w:r>
        <w:rPr>
          <w:rFonts w:ascii="Arial" w:cs="Arial" w:eastAsia="Arial" w:hAnsi="Arial"/>
          <w:b/>
          <w:bCs/>
          <w:color w:val="1A1A1A"/>
          <w:sz w:val="24"/>
          <w:szCs w:val="24"/>
        </w:rPr>
        <w:t xml:space="preserve">Auf einen Blick</w:t>
      </w:r>
    </w:p>
    <w:p>
      <w:pPr>
        <w:pStyle w:val="ListParagraph"/>
        <w:numPr>
          <w:ilvl w:val="0"/>
          <w:numId w:val="2"/>
        </w:numPr>
        <w:spacing w:after="80" w:line="280"/>
      </w:pPr>
      <w:r>
        <w:rPr>
          <w:rFonts w:ascii="Arial" w:cs="Arial" w:eastAsia="Arial" w:hAnsi="Arial"/>
          <w:color w:val="1A1A1A"/>
          <w:sz w:val="22"/>
          <w:szCs w:val="22"/>
        </w:rPr>
        <w:t xml:space="preserve">30,9 m² Wohn-Essbereich — der Familientreffpunkt</w:t>
      </w:r>
    </w:p>
    <w:p>
      <w:pPr>
        <w:pStyle w:val="ListParagraph"/>
        <w:numPr>
          <w:ilvl w:val="0"/>
          <w:numId w:val="2"/>
        </w:numPr>
        <w:spacing w:after="80" w:line="280"/>
      </w:pPr>
      <w:r>
        <w:rPr>
          <w:rFonts w:ascii="Arial" w:cs="Arial" w:eastAsia="Arial" w:hAnsi="Arial"/>
          <w:color w:val="1A1A1A"/>
          <w:sz w:val="22"/>
          <w:szCs w:val="22"/>
        </w:rPr>
        <w:t xml:space="preserve">13,1 m² separate Küche</w:t>
      </w:r>
    </w:p>
    <w:p>
      <w:pPr>
        <w:pStyle w:val="ListParagraph"/>
        <w:numPr>
          <w:ilvl w:val="0"/>
          <w:numId w:val="2"/>
        </w:numPr>
        <w:spacing w:after="80" w:line="280"/>
      </w:pPr>
      <w:r>
        <w:rPr>
          <w:rFonts w:ascii="Arial" w:cs="Arial" w:eastAsia="Arial" w:hAnsi="Arial"/>
          <w:color w:val="1A1A1A"/>
          <w:sz w:val="22"/>
          <w:szCs w:val="22"/>
        </w:rPr>
        <w:t xml:space="preserve">Kinderzimmer mit 11,9 m² — vollwertig</w:t>
      </w:r>
    </w:p>
    <w:p>
      <w:pPr>
        <w:pStyle w:val="ListParagraph"/>
        <w:numPr>
          <w:ilvl w:val="0"/>
          <w:numId w:val="2"/>
        </w:numPr>
        <w:spacing w:after="80" w:line="280"/>
      </w:pPr>
      <w:r>
        <w:rPr>
          <w:rFonts w:ascii="Arial" w:cs="Arial" w:eastAsia="Arial" w:hAnsi="Arial"/>
          <w:color w:val="1A1A1A"/>
          <w:sz w:val="22"/>
          <w:szCs w:val="22"/>
        </w:rPr>
        <w:t xml:space="preserve">Elternschlafzimmer 13,6 m², räumlich vom Kinderzimmer getrennt</w:t>
      </w:r>
    </w:p>
    <w:p>
      <w:pPr>
        <w:pStyle w:val="ListParagraph"/>
        <w:numPr>
          <w:ilvl w:val="0"/>
          <w:numId w:val="2"/>
        </w:numPr>
        <w:spacing w:after="80" w:line="280"/>
      </w:pPr>
      <w:r>
        <w:rPr>
          <w:rFonts w:ascii="Arial" w:cs="Arial" w:eastAsia="Arial" w:hAnsi="Arial"/>
          <w:color w:val="1A1A1A"/>
          <w:sz w:val="22"/>
          <w:szCs w:val="22"/>
        </w:rPr>
        <w:t xml:space="preserve">Familienbad 7,6 m² mit Dusche und Wanne</w:t>
      </w:r>
    </w:p>
    <w:p>
      <w:pPr>
        <w:pStyle w:val="ListParagraph"/>
        <w:numPr>
          <w:ilvl w:val="0"/>
          <w:numId w:val="2"/>
        </w:numPr>
        <w:spacing w:after="80" w:line="280"/>
      </w:pPr>
      <w:r>
        <w:rPr>
          <w:rFonts w:ascii="Arial" w:cs="Arial" w:eastAsia="Arial" w:hAnsi="Arial"/>
          <w:color w:val="1A1A1A"/>
          <w:sz w:val="22"/>
          <w:szCs w:val="22"/>
        </w:rPr>
        <w:t xml:space="preserve">Großzügiger Flur (15,6 m²) mit Stauraum-Potenzial</w:t>
      </w:r>
    </w:p>
    <w:p>
      <w:pPr>
        <w:pStyle w:val="ListParagraph"/>
        <w:numPr>
          <w:ilvl w:val="0"/>
          <w:numId w:val="2"/>
        </w:numPr>
        <w:spacing w:after="80" w:line="280"/>
      </w:pPr>
      <w:r>
        <w:rPr>
          <w:rFonts w:ascii="Arial" w:cs="Arial" w:eastAsia="Arial" w:hAnsi="Arial"/>
          <w:color w:val="1A1A1A"/>
          <w:sz w:val="22"/>
          <w:szCs w:val="22"/>
        </w:rPr>
        <w:t xml:space="preserve">Fußbodenheizung in allen Räumen, Eichenparkett durchgehend</w:t>
      </w:r>
    </w:p>
    <w:p>
      <w:pPr>
        <w:spacing w:after="160"/>
      </w:pPr>
      <w:r>
        <w:t xml:space="preserve"/>
      </w:r>
    </w:p>
    <w:p>
      <w:pPr>
        <w:spacing w:after="200" w:before="0" w:line="300"/>
        <w:jc w:val="left"/>
      </w:pPr>
      <w:r>
        <w:rPr>
          <w:rFonts w:ascii="Arial" w:cs="Arial" w:eastAsia="Arial" w:hAnsi="Arial"/>
          <w:b/>
          <w:bCs/>
          <w:color w:val="2E5C4A"/>
          <w:sz w:val="22"/>
          <w:szCs w:val="22"/>
        </w:rPr>
        <w:t xml:space="preserve">Zielgruppe: </w:t>
      </w:r>
      <w:r>
        <w:rPr>
          <w:rFonts w:ascii="Arial" w:cs="Arial" w:eastAsia="Arial" w:hAnsi="Arial"/>
          <w:color w:val="1A1A1A"/>
          <w:sz w:val="22"/>
          <w:szCs w:val="22"/>
        </w:rPr>
        <w:t xml:space="preserve">Junge Familien, Paare mit Kinderwunsch</w:t>
      </w:r>
    </w:p>
    <w:p>
      <w:r>
        <w:br w:type="page"/>
      </w:r>
    </w:p>
    <w:p>
      <w:pPr>
        <w:pStyle w:val="Heading2"/>
        <w:spacing w:after="160" w:before="280"/>
      </w:pPr>
      <w:r>
        <w:rPr>
          <w:rFonts w:ascii="Arial" w:cs="Arial" w:eastAsia="Arial" w:hAnsi="Arial"/>
          <w:b/>
          <w:bCs/>
          <w:color w:val="2E5C4A"/>
          <w:sz w:val="28"/>
          <w:szCs w:val="28"/>
        </w:rPr>
        <w:t xml:space="preserve">WE 02bb — Eindrücke</w:t>
      </w:r>
    </w:p>
    <w:p>
      <w:pPr>
        <w:spacing w:after="200" w:before="0" w:line="300"/>
        <w:jc w:val="left"/>
      </w:pPr>
      <w:r>
        <w:rPr>
          <w:rFonts w:ascii="Arial" w:cs="Arial" w:eastAsia="Arial" w:hAnsi="Arial"/>
          <w:b w:val="false"/>
          <w:bCs w:val="false"/>
          <w:i/>
          <w:iCs/>
          <w:color w:val="6B6B6B"/>
          <w:sz w:val="20"/>
          <w:szCs w:val="20"/>
        </w:rPr>
        <w:t xml:space="preserve">Die folgenden Visualisierungen zeigen den geplanten Übergabezustand nach Abschluss der Sanierung — unmöbliert, mit allen baulichen Leistungen, die im Kaufpreis enthalten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Küche</w:t>
            </w:r>
          </w:p>
          <w:p>
            <w:pPr>
              <w:spacing w:after="60"/>
              <w:jc w:val="center"/>
            </w:pPr>
            <w:r>
              <w:rPr>
                <w:rFonts w:ascii="Arial" w:cs="Arial" w:eastAsia="Arial" w:hAnsi="Arial"/>
                <w:i/>
                <w:iCs/>
                <w:color w:val="6B6B6B"/>
                <w:sz w:val="18"/>
                <w:szCs w:val="18"/>
              </w:rPr>
              <w:t xml:space="preserve">Abb. 2: Separate Küche, 13,09 m² · Anschlüsse vorhanden</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Familienbad</w:t>
            </w:r>
          </w:p>
          <w:p>
            <w:pPr>
              <w:spacing w:after="60"/>
              <w:jc w:val="center"/>
            </w:pPr>
            <w:r>
              <w:rPr>
                <w:rFonts w:ascii="Arial" w:cs="Arial" w:eastAsia="Arial" w:hAnsi="Arial"/>
                <w:i/>
                <w:iCs/>
                <w:color w:val="6B6B6B"/>
                <w:sz w:val="18"/>
                <w:szCs w:val="18"/>
              </w:rPr>
              <w:t xml:space="preserve">Abb. 3: Familienbad, 7,59 m² · für Wanne und Dusche vorinstalliert</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Kinderzimmer</w:t>
            </w:r>
          </w:p>
          <w:p>
            <w:pPr>
              <w:spacing w:after="60"/>
              <w:jc w:val="center"/>
            </w:pPr>
            <w:r>
              <w:rPr>
                <w:rFonts w:ascii="Arial" w:cs="Arial" w:eastAsia="Arial" w:hAnsi="Arial"/>
                <w:i/>
                <w:iCs/>
                <w:color w:val="6B6B6B"/>
                <w:sz w:val="18"/>
                <w:szCs w:val="18"/>
              </w:rPr>
              <w:t xml:space="preserve">Abb. 4: Kinderzimmer, 11,88 m² · sanierter Endzustand</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p>
      <w:r>
        <w:br w:type="page"/>
      </w:r>
    </w:p>
    <w:p>
      <w:pPr>
        <w:pStyle w:val="Heading2"/>
        <w:spacing w:after="160" w:before="280"/>
      </w:pPr>
      <w:r>
        <w:rPr>
          <w:rFonts w:ascii="Arial" w:cs="Arial" w:eastAsia="Arial" w:hAnsi="Arial"/>
          <w:b/>
          <w:bCs/>
          <w:color w:val="2E5C4A"/>
          <w:sz w:val="28"/>
          <w:szCs w:val="28"/>
        </w:rPr>
        <w:t xml:space="preserve">WE 02bb — Raumprogramm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Raum</w:t>
            </w:r>
          </w:p>
        </w:tc>
        <w:tc>
          <w:tcPr>
            <w:tcW w:type="dxa" w:w="24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Fläche</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 / Essen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30,89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Kochen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13,09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Schlafen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13,61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Kind 1</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11,88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7,59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WF / Flur</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15,60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2,70 m²</w:t>
            </w:r>
          </w:p>
        </w:tc>
      </w:tr>
    </w:tbl>
    <w:p>
      <w:pPr>
        <w:spacing w:after="160"/>
      </w:pPr>
      <w:r>
        <w:t xml:space="preserve"/>
      </w:r>
    </w:p>
    <w:p>
      <w:pPr>
        <w:spacing w:after="240" w:before="0" w:line="300"/>
        <w:jc w:val="left"/>
      </w:pPr>
      <w:r>
        <w:rPr>
          <w:rFonts w:ascii="Arial" w:cs="Arial" w:eastAsia="Arial" w:hAnsi="Arial"/>
          <w:b/>
          <w:bCs/>
          <w:color w:val="1A1A1A"/>
          <w:sz w:val="24"/>
          <w:szCs w:val="24"/>
        </w:rPr>
        <w:t xml:space="preserve">Wohnfläche gesamt: </w:t>
      </w:r>
      <w:r>
        <w:rPr>
          <w:rFonts w:ascii="Arial" w:cs="Arial" w:eastAsia="Arial" w:hAnsi="Arial"/>
          <w:b/>
          <w:bCs/>
          <w:color w:val="2E5C4A"/>
          <w:sz w:val="24"/>
          <w:szCs w:val="24"/>
        </w:rPr>
        <w:t xml:space="preserve">95,36 m²</w:t>
      </w:r>
    </w:p>
    <w:p>
      <w:pPr>
        <w:pStyle w:val="Heading3"/>
        <w:spacing w:after="120" w:before="200"/>
      </w:pPr>
      <w:r>
        <w:rPr>
          <w:rFonts w:ascii="Arial" w:cs="Arial" w:eastAsia="Arial" w:hAnsi="Arial"/>
          <w:b/>
          <w:bCs/>
          <w:color w:val="1A1A1A"/>
          <w:sz w:val="24"/>
          <w:szCs w:val="24"/>
        </w:rPr>
        <w:t xml:space="preserve">Grundriss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Grundriss WE 02bb</w:t>
            </w:r>
          </w:p>
          <w:p>
            <w:pPr>
              <w:spacing w:after="60"/>
              <w:jc w:val="center"/>
            </w:pPr>
            <w:r>
              <w:rPr>
                <w:rFonts w:ascii="Arial" w:cs="Arial" w:eastAsia="Arial" w:hAnsi="Arial"/>
                <w:i/>
                <w:iCs/>
                <w:color w:val="6B6B6B"/>
                <w:sz w:val="18"/>
                <w:szCs w:val="18"/>
              </w:rPr>
              <w:t xml:space="preserve">Grundriss-Auszug aus EG_VAR_03_Endzustand, M 1:100, Architekt M. Rekett</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r>
        <w:br w:type="page"/>
      </w:r>
    </w:p>
    <w:p>
      <w:pPr>
        <w:pStyle w:val="Heading1"/>
        <w:spacing w:after="200" w:before="360"/>
      </w:pPr>
      <w:r>
        <w:rPr>
          <w:rFonts w:ascii="Arial" w:cs="Arial" w:eastAsia="Arial" w:hAnsi="Arial"/>
          <w:b/>
          <w:bCs/>
          <w:color w:val="1A1A1A"/>
          <w:sz w:val="40"/>
          <w:szCs w:val="40"/>
        </w:rPr>
        <w:t xml:space="preserve">7. Wohneinheit 03bb</w:t>
      </w:r>
    </w:p>
    <w:p>
      <w:pPr>
        <w:spacing w:after="80" w:before="40"/>
      </w:pPr>
      <w:r>
        <w:rPr>
          <w:rFonts w:ascii="Arial" w:cs="Arial" w:eastAsia="Arial" w:hAnsi="Arial"/>
          <w:b/>
          <w:bCs/>
          <w:color w:val="2E5C4A"/>
          <w:spacing w:val="80"/>
          <w:sz w:val="20"/>
          <w:szCs w:val="20"/>
        </w:rPr>
        <w:t xml:space="preserve">KOMPAKTES APARTMENT MIT EIGENEM EINGANG UND DURCHDACHTER AUFTEILUNG</w:t>
      </w:r>
    </w:p>
    <w:p>
      <w:r>
        <w:br w:type="page"/>
      </w:r>
    </w:p>
    <w:p>
      <w:pPr>
        <w:spacing w:after="80" w:before="40"/>
      </w:pPr>
      <w:r>
        <w:rPr>
          <w:rFonts w:ascii="Arial" w:cs="Arial" w:eastAsia="Arial" w:hAnsi="Arial"/>
          <w:b/>
          <w:bCs/>
          <w:color w:val="2E5C4A"/>
          <w:spacing w:val="80"/>
          <w:sz w:val="20"/>
          <w:szCs w:val="20"/>
        </w:rPr>
        <w:t xml:space="preserve">WOHNEINHEIT 3 VON 3</w:t>
      </w:r>
    </w:p>
    <w:p>
      <w:pPr>
        <w:spacing w:after="80"/>
      </w:pPr>
      <w:r>
        <w:rPr>
          <w:rFonts w:ascii="Arial" w:cs="Arial" w:eastAsia="Arial" w:hAnsi="Arial"/>
          <w:b/>
          <w:bCs/>
          <w:color w:val="1A1A1A"/>
          <w:sz w:val="56"/>
          <w:szCs w:val="56"/>
        </w:rPr>
        <w:t xml:space="preserve">WE 03bb</w:t>
      </w:r>
    </w:p>
    <w:p>
      <w:pPr>
        <w:spacing w:after="200"/>
      </w:pPr>
      <w:r>
        <w:rPr>
          <w:rFonts w:ascii="Arial" w:cs="Arial" w:eastAsia="Arial" w:hAnsi="Arial"/>
          <w:i/>
          <w:iCs/>
          <w:color w:val="6B6B6B"/>
          <w:sz w:val="28"/>
          <w:szCs w:val="28"/>
        </w:rPr>
        <w:t xml:space="preserve">48,5 m² · 1,5-Zimmer-Apartment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8"/>
                <w:szCs w:val="28"/>
              </w:rPr>
              <w:t xml:space="preserve">Wohn-Essbereich</w:t>
            </w:r>
          </w:p>
          <w:p>
            <w:pPr>
              <w:spacing w:after="60"/>
              <w:jc w:val="center"/>
            </w:pPr>
            <w:r>
              <w:rPr>
                <w:rFonts w:ascii="Arial" w:cs="Arial" w:eastAsia="Arial" w:hAnsi="Arial"/>
                <w:i/>
                <w:iCs/>
                <w:color w:val="6B6B6B"/>
                <w:sz w:val="18"/>
                <w:szCs w:val="18"/>
              </w:rPr>
              <w:t xml:space="preserve">Abb. 1: Wohn-Essbereich, 19,16 m² · sanierter Endzustand</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40"/>
      </w:pPr>
      <w:r>
        <w:t xml:space="preserve"/>
      </w:r>
    </w:p>
    <w:p>
      <w:pPr>
        <w:spacing w:after="240" w:before="0" w:line="320"/>
        <w:jc w:val="left"/>
      </w:pPr>
      <w:r>
        <w:rPr>
          <w:rFonts w:ascii="Arial" w:cs="Arial" w:eastAsia="Arial" w:hAnsi="Arial"/>
          <w:b w:val="false"/>
          <w:bCs w:val="false"/>
          <w:i w:val="false"/>
          <w:iCs w:val="false"/>
          <w:color w:val="1A1A1A"/>
          <w:sz w:val="24"/>
          <w:szCs w:val="24"/>
        </w:rPr>
        <w:t xml:space="preserve">Auf 48,5 m² ein vollwertiges Zuhause — kein Studio, kein Provisorium. Mit eigenem Eingang besonders interessant als Pied-à-terre für Wochenpendler oder als renditestarke Kapitalanlage.</w:t>
      </w:r>
    </w:p>
    <w:p>
      <w:pPr>
        <w:pStyle w:val="Heading3"/>
        <w:spacing w:after="120" w:before="200"/>
      </w:pPr>
      <w:r>
        <w:rPr>
          <w:rFonts w:ascii="Arial" w:cs="Arial" w:eastAsia="Arial" w:hAnsi="Arial"/>
          <w:b/>
          <w:bCs/>
          <w:color w:val="1A1A1A"/>
          <w:sz w:val="24"/>
          <w:szCs w:val="24"/>
        </w:rPr>
        <w:t xml:space="preserve">Auf einen Blick</w:t>
      </w:r>
    </w:p>
    <w:p>
      <w:pPr>
        <w:pStyle w:val="ListParagraph"/>
        <w:numPr>
          <w:ilvl w:val="0"/>
          <w:numId w:val="2"/>
        </w:numPr>
        <w:spacing w:after="80" w:line="280"/>
      </w:pPr>
      <w:r>
        <w:rPr>
          <w:rFonts w:ascii="Arial" w:cs="Arial" w:eastAsia="Arial" w:hAnsi="Arial"/>
          <w:color w:val="1A1A1A"/>
          <w:sz w:val="22"/>
          <w:szCs w:val="22"/>
        </w:rPr>
        <w:t xml:space="preserve">Eigener Wohnungseingang</w:t>
      </w:r>
    </w:p>
    <w:p>
      <w:pPr>
        <w:pStyle w:val="ListParagraph"/>
        <w:numPr>
          <w:ilvl w:val="0"/>
          <w:numId w:val="2"/>
        </w:numPr>
        <w:spacing w:after="80" w:line="280"/>
      </w:pPr>
      <w:r>
        <w:rPr>
          <w:rFonts w:ascii="Arial" w:cs="Arial" w:eastAsia="Arial" w:hAnsi="Arial"/>
          <w:color w:val="1A1A1A"/>
          <w:sz w:val="22"/>
          <w:szCs w:val="22"/>
        </w:rPr>
        <w:t xml:space="preserve">19,2 m² Wohn-Essbereich — überdurchschnittlich für die Wohnungsgröße</w:t>
      </w:r>
    </w:p>
    <w:p>
      <w:pPr>
        <w:pStyle w:val="ListParagraph"/>
        <w:numPr>
          <w:ilvl w:val="0"/>
          <w:numId w:val="2"/>
        </w:numPr>
        <w:spacing w:after="80" w:line="280"/>
      </w:pPr>
      <w:r>
        <w:rPr>
          <w:rFonts w:ascii="Arial" w:cs="Arial" w:eastAsia="Arial" w:hAnsi="Arial"/>
          <w:color w:val="1A1A1A"/>
          <w:sz w:val="22"/>
          <w:szCs w:val="22"/>
        </w:rPr>
        <w:t xml:space="preserve">Vollwertiges Schlafzimmer 13,6 m² — kein Schlaf-Alkoven</w:t>
      </w:r>
    </w:p>
    <w:p>
      <w:pPr>
        <w:pStyle w:val="ListParagraph"/>
        <w:numPr>
          <w:ilvl w:val="0"/>
          <w:numId w:val="2"/>
        </w:numPr>
        <w:spacing w:after="80" w:line="280"/>
      </w:pPr>
      <w:r>
        <w:rPr>
          <w:rFonts w:ascii="Arial" w:cs="Arial" w:eastAsia="Arial" w:hAnsi="Arial"/>
          <w:color w:val="1A1A1A"/>
          <w:sz w:val="22"/>
          <w:szCs w:val="22"/>
        </w:rPr>
        <w:t xml:space="preserve">Effiziente Küche (6,1 m²)</w:t>
      </w:r>
    </w:p>
    <w:p>
      <w:pPr>
        <w:pStyle w:val="ListParagraph"/>
        <w:numPr>
          <w:ilvl w:val="0"/>
          <w:numId w:val="2"/>
        </w:numPr>
        <w:spacing w:after="80" w:line="280"/>
      </w:pPr>
      <w:r>
        <w:rPr>
          <w:rFonts w:ascii="Arial" w:cs="Arial" w:eastAsia="Arial" w:hAnsi="Arial"/>
          <w:color w:val="1A1A1A"/>
          <w:sz w:val="22"/>
          <w:szCs w:val="22"/>
        </w:rPr>
        <w:t xml:space="preserve">Tageslicht-Bad mit bodengleicher Dusche</w:t>
      </w:r>
    </w:p>
    <w:p>
      <w:pPr>
        <w:pStyle w:val="ListParagraph"/>
        <w:numPr>
          <w:ilvl w:val="0"/>
          <w:numId w:val="2"/>
        </w:numPr>
        <w:spacing w:after="80" w:line="280"/>
      </w:pPr>
      <w:r>
        <w:rPr>
          <w:rFonts w:ascii="Arial" w:cs="Arial" w:eastAsia="Arial" w:hAnsi="Arial"/>
          <w:color w:val="1A1A1A"/>
          <w:sz w:val="22"/>
          <w:szCs w:val="22"/>
        </w:rPr>
        <w:t xml:space="preserve">Fußbodenheizung in allen Räumen, Eichenparkett durchgehend</w:t>
      </w:r>
    </w:p>
    <w:p>
      <w:pPr>
        <w:spacing w:after="160"/>
      </w:pPr>
      <w:r>
        <w:t xml:space="preserve"/>
      </w:r>
    </w:p>
    <w:p>
      <w:pPr>
        <w:spacing w:after="200" w:before="0" w:line="300"/>
        <w:jc w:val="left"/>
      </w:pPr>
      <w:r>
        <w:rPr>
          <w:rFonts w:ascii="Arial" w:cs="Arial" w:eastAsia="Arial" w:hAnsi="Arial"/>
          <w:b/>
          <w:bCs/>
          <w:color w:val="2E5C4A"/>
          <w:sz w:val="22"/>
          <w:szCs w:val="22"/>
        </w:rPr>
        <w:t xml:space="preserve">Zielgruppe: </w:t>
      </w:r>
      <w:r>
        <w:rPr>
          <w:rFonts w:ascii="Arial" w:cs="Arial" w:eastAsia="Arial" w:hAnsi="Arial"/>
          <w:color w:val="1A1A1A"/>
          <w:sz w:val="22"/>
          <w:szCs w:val="22"/>
        </w:rPr>
        <w:t xml:space="preserve">Singles, Wochenpendler, Pied-à-terre, Kapitalanleger</w:t>
      </w:r>
    </w:p>
    <w:p>
      <w:r>
        <w:br w:type="page"/>
      </w:r>
    </w:p>
    <w:p>
      <w:pPr>
        <w:pStyle w:val="Heading2"/>
        <w:spacing w:after="160" w:before="280"/>
      </w:pPr>
      <w:r>
        <w:rPr>
          <w:rFonts w:ascii="Arial" w:cs="Arial" w:eastAsia="Arial" w:hAnsi="Arial"/>
          <w:b/>
          <w:bCs/>
          <w:color w:val="2E5C4A"/>
          <w:sz w:val="28"/>
          <w:szCs w:val="28"/>
        </w:rPr>
        <w:t xml:space="preserve">WE 03bb — Eindrücke</w:t>
      </w:r>
    </w:p>
    <w:p>
      <w:pPr>
        <w:spacing w:after="200" w:before="0" w:line="300"/>
        <w:jc w:val="left"/>
      </w:pPr>
      <w:r>
        <w:rPr>
          <w:rFonts w:ascii="Arial" w:cs="Arial" w:eastAsia="Arial" w:hAnsi="Arial"/>
          <w:b w:val="false"/>
          <w:bCs w:val="false"/>
          <w:i/>
          <w:iCs/>
          <w:color w:val="6B6B6B"/>
          <w:sz w:val="20"/>
          <w:szCs w:val="20"/>
        </w:rPr>
        <w:t xml:space="preserve">Die folgenden Visualisierungen zeigen den geplanten Übergabezustand nach Abschluss der Sanierung — unmöbliert, mit allen baulichen Leistungen, die im Kaufpreis enthalten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Küche</w:t>
            </w:r>
          </w:p>
          <w:p>
            <w:pPr>
              <w:spacing w:after="60"/>
              <w:jc w:val="center"/>
            </w:pPr>
            <w:r>
              <w:rPr>
                <w:rFonts w:ascii="Arial" w:cs="Arial" w:eastAsia="Arial" w:hAnsi="Arial"/>
                <w:i/>
                <w:iCs/>
                <w:color w:val="6B6B6B"/>
                <w:sz w:val="18"/>
                <w:szCs w:val="18"/>
              </w:rPr>
              <w:t xml:space="preserve">Abb. 2: Kompakte Küche, 6,10 m² · Anschlüsse vorhanden</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Bad</w:t>
            </w:r>
          </w:p>
          <w:p>
            <w:pPr>
              <w:spacing w:after="60"/>
              <w:jc w:val="center"/>
            </w:pPr>
            <w:r>
              <w:rPr>
                <w:rFonts w:ascii="Arial" w:cs="Arial" w:eastAsia="Arial" w:hAnsi="Arial"/>
                <w:i/>
                <w:iCs/>
                <w:color w:val="6B6B6B"/>
                <w:sz w:val="18"/>
                <w:szCs w:val="18"/>
              </w:rPr>
              <w:t xml:space="preserve">Abb. 3: Bad, 4,70 m² · vorinstalliert für bodengleiche Dusche</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Schlafzimmer</w:t>
            </w:r>
          </w:p>
          <w:p>
            <w:pPr>
              <w:spacing w:after="60"/>
              <w:jc w:val="center"/>
            </w:pPr>
            <w:r>
              <w:rPr>
                <w:rFonts w:ascii="Arial" w:cs="Arial" w:eastAsia="Arial" w:hAnsi="Arial"/>
                <w:i/>
                <w:iCs/>
                <w:color w:val="6B6B6B"/>
                <w:sz w:val="18"/>
                <w:szCs w:val="18"/>
              </w:rPr>
              <w:t xml:space="preserve">Abb. 4: Schlafzimmer, 13,60 m² · sanierter Endzustand</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p>
      <w:r>
        <w:br w:type="page"/>
      </w:r>
    </w:p>
    <w:p>
      <w:pPr>
        <w:pStyle w:val="Heading2"/>
        <w:spacing w:after="160" w:before="280"/>
      </w:pPr>
      <w:r>
        <w:rPr>
          <w:rFonts w:ascii="Arial" w:cs="Arial" w:eastAsia="Arial" w:hAnsi="Arial"/>
          <w:b/>
          <w:bCs/>
          <w:color w:val="2E5C4A"/>
          <w:sz w:val="28"/>
          <w:szCs w:val="28"/>
        </w:rPr>
        <w:t xml:space="preserve">WE 03bb — Raumprogramm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Raum</w:t>
            </w:r>
          </w:p>
        </w:tc>
        <w:tc>
          <w:tcPr>
            <w:tcW w:type="dxa" w:w="24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Fläche</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 / Essen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19,16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Schlafen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13,60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Kochen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6,10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4,70 m²</w:t>
            </w:r>
          </w:p>
        </w:tc>
      </w:tr>
      <w:tr>
        <w:tc>
          <w:tcPr>
            <w:tcW w:type="dxa" w:w="69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WF</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2,73 m²</w:t>
            </w:r>
          </w:p>
        </w:tc>
      </w:tr>
      <w:tr>
        <w:tc>
          <w:tcPr>
            <w:tcW w:type="dxa" w:w="69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2,21 m²</w:t>
            </w:r>
          </w:p>
        </w:tc>
      </w:tr>
    </w:tbl>
    <w:p>
      <w:pPr>
        <w:spacing w:after="160"/>
      </w:pPr>
      <w:r>
        <w:t xml:space="preserve"/>
      </w:r>
    </w:p>
    <w:p>
      <w:pPr>
        <w:spacing w:after="240" w:before="0" w:line="300"/>
        <w:jc w:val="left"/>
      </w:pPr>
      <w:r>
        <w:rPr>
          <w:rFonts w:ascii="Arial" w:cs="Arial" w:eastAsia="Arial" w:hAnsi="Arial"/>
          <w:b/>
          <w:bCs/>
          <w:color w:val="1A1A1A"/>
          <w:sz w:val="24"/>
          <w:szCs w:val="24"/>
        </w:rPr>
        <w:t xml:space="preserve">Wohnfläche gesamt: </w:t>
      </w:r>
      <w:r>
        <w:rPr>
          <w:rFonts w:ascii="Arial" w:cs="Arial" w:eastAsia="Arial" w:hAnsi="Arial"/>
          <w:b/>
          <w:bCs/>
          <w:color w:val="2E5C4A"/>
          <w:sz w:val="24"/>
          <w:szCs w:val="24"/>
        </w:rPr>
        <w:t xml:space="preserve">48,5 m²</w:t>
      </w:r>
    </w:p>
    <w:p>
      <w:pPr>
        <w:pStyle w:val="Heading3"/>
        <w:spacing w:after="120" w:before="200"/>
      </w:pPr>
      <w:r>
        <w:rPr>
          <w:rFonts w:ascii="Arial" w:cs="Arial" w:eastAsia="Arial" w:hAnsi="Arial"/>
          <w:b/>
          <w:bCs/>
          <w:color w:val="1A1A1A"/>
          <w:sz w:val="24"/>
          <w:szCs w:val="24"/>
        </w:rPr>
        <w:t xml:space="preserve">Grundriss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Grundriss WE 03bb</w:t>
            </w:r>
          </w:p>
          <w:p>
            <w:pPr>
              <w:spacing w:after="60"/>
              <w:jc w:val="center"/>
            </w:pPr>
            <w:r>
              <w:rPr>
                <w:rFonts w:ascii="Arial" w:cs="Arial" w:eastAsia="Arial" w:hAnsi="Arial"/>
                <w:i/>
                <w:iCs/>
                <w:color w:val="6B6B6B"/>
                <w:sz w:val="18"/>
                <w:szCs w:val="18"/>
              </w:rPr>
              <w:t xml:space="preserve">Grundriss-Auszug aus EG_VAR_03_Endzustand, M 1:100, Architekt M. Rekett</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r>
        <w:br w:type="page"/>
      </w:r>
    </w:p>
    <w:p>
      <w:pPr>
        <w:pStyle w:val="Heading1"/>
        <w:spacing w:after="200" w:before="360"/>
      </w:pPr>
      <w:r>
        <w:rPr>
          <w:rFonts w:ascii="Arial" w:cs="Arial" w:eastAsia="Arial" w:hAnsi="Arial"/>
          <w:b/>
          <w:bCs/>
          <w:color w:val="1A1A1A"/>
          <w:sz w:val="40"/>
          <w:szCs w:val="40"/>
        </w:rPr>
        <w:t xml:space="preserve">8. Verkaufsoptionen</w:t>
      </w:r>
    </w:p>
    <w:p>
      <w:pPr>
        <w:spacing w:after="240" w:before="0" w:line="340"/>
        <w:jc w:val="left"/>
      </w:pPr>
      <w:r>
        <w:rPr>
          <w:rFonts w:ascii="Arial" w:cs="Arial" w:eastAsia="Arial" w:hAnsi="Arial"/>
          <w:b w:val="false"/>
          <w:bCs w:val="false"/>
          <w:i w:val="false"/>
          <w:iCs w:val="false"/>
          <w:color w:val="1A1A1A"/>
          <w:sz w:val="22"/>
          <w:szCs w:val="22"/>
        </w:rPr>
        <w:t xml:space="preserve">Die drei Wohneinheiten werden flexibel vermarktet: jede Einheit ist einzeln erwerbbar, ebenso steht das Paket aus allen drei Einheiten zum Verkauf.</w:t>
      </w:r>
    </w:p>
    <w:p>
      <w:pPr>
        <w:pStyle w:val="Heading2"/>
        <w:spacing w:after="160" w:before="280"/>
      </w:pPr>
      <w:r>
        <w:rPr>
          <w:rFonts w:ascii="Arial" w:cs="Arial" w:eastAsia="Arial" w:hAnsi="Arial"/>
          <w:b/>
          <w:bCs/>
          <w:color w:val="2E5C4A"/>
          <w:sz w:val="28"/>
          <w:szCs w:val="28"/>
        </w:rPr>
        <w:t xml:space="preserve">Option A — Einzelerwerb</w:t>
      </w:r>
    </w:p>
    <w:p>
      <w:pPr>
        <w:spacing w:after="200" w:before="0" w:line="300"/>
        <w:jc w:val="left"/>
      </w:pPr>
      <w:r>
        <w:rPr>
          <w:rFonts w:ascii="Arial" w:cs="Arial" w:eastAsia="Arial" w:hAnsi="Arial"/>
          <w:b w:val="false"/>
          <w:bCs w:val="false"/>
          <w:i w:val="false"/>
          <w:iCs w:val="false"/>
          <w:color w:val="1A1A1A"/>
          <w:sz w:val="22"/>
          <w:szCs w:val="22"/>
        </w:rPr>
        <w:t xml:space="preserve">Geeignet für Selbstnutzer, die sich für die Wohnung entscheiden, die zu ihrer Lebenssituation passt. Jeder Einzelerwerber profitiert vom gleichen Sanierungsstandard wie ein Paket-Erwerber — keine Abstriche bei Material oder Technik.</w:t>
      </w:r>
    </w:p>
    <w:p>
      <w:pPr>
        <w:pStyle w:val="Heading2"/>
        <w:spacing w:after="160" w:before="280"/>
      </w:pPr>
      <w:r>
        <w:rPr>
          <w:rFonts w:ascii="Arial" w:cs="Arial" w:eastAsia="Arial" w:hAnsi="Arial"/>
          <w:b/>
          <w:bCs/>
          <w:color w:val="2E5C4A"/>
          <w:sz w:val="28"/>
          <w:szCs w:val="28"/>
        </w:rPr>
        <w:t xml:space="preserve">Option B — Paket-Erwerb (alle drei Einheiten)</w:t>
      </w:r>
    </w:p>
    <w:p>
      <w:pPr>
        <w:spacing w:after="120" w:before="0" w:line="300"/>
        <w:jc w:val="left"/>
      </w:pPr>
      <w:r>
        <w:rPr>
          <w:rFonts w:ascii="Arial" w:cs="Arial" w:eastAsia="Arial" w:hAnsi="Arial"/>
          <w:b w:val="false"/>
          <w:bCs w:val="false"/>
          <w:i w:val="false"/>
          <w:iCs w:val="false"/>
          <w:color w:val="1A1A1A"/>
          <w:sz w:val="22"/>
          <w:szCs w:val="22"/>
        </w:rPr>
        <w:t xml:space="preserve">Geeignet für Kapitalanleger, die das gesamte Erdgeschoss erwerben möchten:</w:t>
      </w:r>
    </w:p>
    <w:p>
      <w:pPr>
        <w:pStyle w:val="ListParagraph"/>
        <w:numPr>
          <w:ilvl w:val="0"/>
          <w:numId w:val="2"/>
        </w:numPr>
        <w:spacing w:after="80" w:line="280"/>
      </w:pPr>
      <w:r>
        <w:rPr>
          <w:rFonts w:ascii="Arial" w:cs="Arial" w:eastAsia="Arial" w:hAnsi="Arial"/>
          <w:color w:val="1A1A1A"/>
          <w:sz w:val="22"/>
          <w:szCs w:val="22"/>
        </w:rPr>
        <w:t xml:space="preserve">Drei Einheiten mit unterschiedlichen Mietsegmenten — Diversifizierung im selben Objekt</w:t>
      </w:r>
    </w:p>
    <w:p>
      <w:pPr>
        <w:pStyle w:val="ListParagraph"/>
        <w:numPr>
          <w:ilvl w:val="0"/>
          <w:numId w:val="2"/>
        </w:numPr>
        <w:spacing w:after="80" w:line="280"/>
      </w:pPr>
      <w:r>
        <w:rPr>
          <w:rFonts w:ascii="Arial" w:cs="Arial" w:eastAsia="Arial" w:hAnsi="Arial"/>
          <w:color w:val="1A1A1A"/>
          <w:sz w:val="22"/>
          <w:szCs w:val="22"/>
        </w:rPr>
        <w:t xml:space="preserve">Skalenvorteile bei Verwaltung, Instandhaltung und Vermietung</w:t>
      </w:r>
    </w:p>
    <w:p>
      <w:pPr>
        <w:pStyle w:val="ListParagraph"/>
        <w:numPr>
          <w:ilvl w:val="0"/>
          <w:numId w:val="2"/>
        </w:numPr>
        <w:spacing w:after="80" w:line="280"/>
      </w:pPr>
      <w:r>
        <w:rPr>
          <w:rFonts w:ascii="Arial" w:cs="Arial" w:eastAsia="Arial" w:hAnsi="Arial"/>
          <w:color w:val="1A1A1A"/>
          <w:sz w:val="22"/>
          <w:szCs w:val="22"/>
        </w:rPr>
        <w:t xml:space="preserve">Konditionen für Paket-Erwerb auf Anfrage</w:t>
      </w:r>
    </w:p>
    <w:p>
      <w:pPr>
        <w:pStyle w:val="Heading2"/>
        <w:spacing w:after="160" w:before="280"/>
      </w:pPr>
      <w:r>
        <w:rPr>
          <w:rFonts w:ascii="Arial" w:cs="Arial" w:eastAsia="Arial" w:hAnsi="Arial"/>
          <w:b/>
          <w:bCs/>
          <w:color w:val="2E5C4A"/>
          <w:sz w:val="28"/>
          <w:szCs w:val="28"/>
        </w:rPr>
        <w:t xml:space="preserve">Konditionen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Einheit</w:t>
            </w:r>
          </w:p>
        </w:tc>
        <w:tc>
          <w:tcPr>
            <w:tcW w:type="dxa" w:w="312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Wohnfläche</w:t>
            </w:r>
          </w:p>
        </w:tc>
        <w:tc>
          <w:tcPr>
            <w:tcW w:type="dxa" w:w="312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Kaufpreis</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01bb</w:t>
            </w:r>
          </w:p>
        </w:tc>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93,99 m²</w:t>
            </w:r>
          </w:p>
        </w:tc>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[Kaufpreis auf Anfrage]</w:t>
            </w:r>
          </w:p>
        </w:tc>
      </w:tr>
      <w:tr>
        <w:tc>
          <w:tcPr>
            <w:tcW w:type="dxa" w:w="312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02bb</w:t>
            </w:r>
          </w:p>
        </w:tc>
        <w:tc>
          <w:tcPr>
            <w:tcW w:type="dxa" w:w="312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95,36 m²</w:t>
            </w:r>
          </w:p>
        </w:tc>
        <w:tc>
          <w:tcPr>
            <w:tcW w:type="dxa" w:w="312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[Kaufpreis auf Anfrage]</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03bb</w:t>
            </w:r>
          </w:p>
        </w:tc>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48,50 m²</w:t>
            </w:r>
          </w:p>
        </w:tc>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[Kaufpreis auf Anfrage]</w:t>
            </w:r>
          </w:p>
        </w:tc>
      </w:tr>
      <w:tr>
        <w:tc>
          <w:tcPr>
            <w:tcW w:type="dxa" w:w="312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Paket (alle 3 WE)</w:t>
            </w:r>
          </w:p>
        </w:tc>
        <w:tc>
          <w:tcPr>
            <w:tcW w:type="dxa" w:w="312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237,85 m²</w:t>
            </w:r>
          </w:p>
        </w:tc>
        <w:tc>
          <w:tcPr>
            <w:tcW w:type="dxa" w:w="312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[Paketpreis auf Anfrage]</w:t>
            </w:r>
          </w:p>
        </w:tc>
      </w:tr>
    </w:tbl>
    <w:p>
      <w:pPr>
        <w:spacing w:after="160"/>
      </w:pPr>
      <w:r>
        <w:t xml:space="preserve"/>
      </w:r>
    </w:p>
    <w:p>
      <w:pPr>
        <w:spacing w:after="120" w:before="0" w:line="300"/>
        <w:jc w:val="left"/>
      </w:pPr>
      <w:r>
        <w:rPr>
          <w:rFonts w:ascii="Arial" w:cs="Arial" w:eastAsia="Arial" w:hAnsi="Arial"/>
          <w:b w:val="false"/>
          <w:bCs w:val="false"/>
          <w:i/>
          <w:iCs/>
          <w:color w:val="6B6B6B"/>
          <w:sz w:val="20"/>
          <w:szCs w:val="20"/>
        </w:rPr>
        <w:t xml:space="preserve">Käuferprovision, Notar- und Grundbuchkosten, Grunderwerbsteuer (Baden-Württemberg: 5,0 %) sind separat zu tragen. Die Kaufpreise verstehen sich für den vollständig sanierten Endzustand entsprechend Sektion 4 dieses Exposés.</w:t>
      </w:r>
    </w:p>
    <w:p>
      <w:r>
        <w:br w:type="page"/>
      </w:r>
    </w:p>
    <w:p>
      <w:pPr>
        <w:pStyle w:val="Heading1"/>
        <w:spacing w:after="200" w:before="360"/>
      </w:pPr>
      <w:r>
        <w:rPr>
          <w:rFonts w:ascii="Arial" w:cs="Arial" w:eastAsia="Arial" w:hAnsi="Arial"/>
          <w:b/>
          <w:bCs/>
          <w:color w:val="1A1A1A"/>
          <w:sz w:val="40"/>
          <w:szCs w:val="40"/>
        </w:rPr>
        <w:t xml:space="preserve">9. Energie &amp; Technik</w:t>
      </w:r>
    </w:p>
    <w:p>
      <w:pPr>
        <w:spacing w:after="200" w:before="0" w:line="300"/>
        <w:jc w:val="left"/>
      </w:pPr>
      <w:r>
        <w:rPr>
          <w:rFonts w:ascii="Arial" w:cs="Arial" w:eastAsia="Arial" w:hAnsi="Arial"/>
          <w:b w:val="false"/>
          <w:bCs w:val="false"/>
          <w:i w:val="false"/>
          <w:iCs w:val="false"/>
          <w:color w:val="1A1A1A"/>
          <w:sz w:val="22"/>
          <w:szCs w:val="22"/>
        </w:rPr>
        <w:t xml:space="preserve">Pflichtangaben gemäß Gebäudeenergiegesetz (GEG) — auf Basis des für das Gesamtgebäude vorliegenden Verbrauchsausweises: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Pflichtangabe</w:t>
            </w:r>
          </w:p>
        </w:tc>
        <w:tc>
          <w:tcPr>
            <w:tcW w:type="dxa" w:w="58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Wert</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Art des Energieausweises</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Verbrauchsausweis</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Endenergieverbrauch (Gesamtgebäude)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70,7 kWh/(m²·a)</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Wesentlicher Energieträger</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Erdgas H</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Baujahr Gebäude</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1999 / 2000</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Energieeffizienzklasse</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Registriernummer</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BW-2019-002816288</w:t>
            </w:r>
          </w:p>
        </w:tc>
      </w:tr>
      <w:tr>
        <w:tc>
          <w:tcPr>
            <w:tcW w:type="dxa" w:w="3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Gültig bis</w:t>
            </w:r>
          </w:p>
        </w:tc>
        <w:tc>
          <w:tcPr>
            <w:tcW w:type="dxa" w:w="58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31.07.2029</w:t>
            </w:r>
          </w:p>
        </w:tc>
      </w:tr>
      <w:tr>
        <w:tc>
          <w:tcPr>
            <w:tcW w:type="dxa" w:w="3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Aussteller</w:t>
            </w:r>
          </w:p>
        </w:tc>
        <w:tc>
          <w:tcPr>
            <w:tcW w:type="dxa" w:w="58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Stadtwerke Baden-Baden</w:t>
            </w:r>
          </w:p>
        </w:tc>
      </w:tr>
    </w:tbl>
    <w:p>
      <w:pPr>
        <w:spacing w:after="200"/>
      </w:pPr>
      <w:r>
        <w:t xml:space="preserve"/>
      </w:r>
    </w:p>
    <w:p>
      <w:pPr>
        <w:pStyle w:val="Heading2"/>
        <w:spacing w:after="160" w:before="280"/>
      </w:pPr>
      <w:r>
        <w:rPr>
          <w:rFonts w:ascii="Arial" w:cs="Arial" w:eastAsia="Arial" w:hAnsi="Arial"/>
          <w:b/>
          <w:bCs/>
          <w:color w:val="2E5C4A"/>
          <w:sz w:val="28"/>
          <w:szCs w:val="28"/>
        </w:rPr>
        <w:t xml:space="preserve">9.1 Was die Sanierung am Verbrauch verändert</w:t>
      </w:r>
    </w:p>
    <w:p>
      <w:pPr>
        <w:spacing w:after="160" w:before="0" w:line="340"/>
        <w:jc w:val="left"/>
      </w:pPr>
      <w:r>
        <w:rPr>
          <w:rFonts w:ascii="Arial" w:cs="Arial" w:eastAsia="Arial" w:hAnsi="Arial"/>
          <w:b w:val="false"/>
          <w:bCs w:val="false"/>
          <w:i w:val="false"/>
          <w:iCs w:val="false"/>
          <w:color w:val="1A1A1A"/>
          <w:sz w:val="22"/>
          <w:szCs w:val="22"/>
        </w:rPr>
        <w:t xml:space="preserve">Der vorliegende Energieausweis bezieht sich auf den Verbrauchszustand des Gesamtgebäudes der Jahre 2016–2018 — also vor der Sanierung der Erdgeschoss-Einheiten. Mit der Sanierung verbessern sich die spezifischen Verbrauchswerte der EG-Einheiten in der Praxis spürbar:</w:t>
      </w:r>
    </w:p>
    <w:p>
      <w:pPr>
        <w:pStyle w:val="ListParagraph"/>
        <w:numPr>
          <w:ilvl w:val="0"/>
          <w:numId w:val="2"/>
        </w:numPr>
        <w:spacing w:after="80" w:line="280"/>
      </w:pPr>
      <w:r>
        <w:rPr>
          <w:rFonts w:ascii="Arial" w:cs="Arial" w:eastAsia="Arial" w:hAnsi="Arial"/>
          <w:color w:val="1A1A1A"/>
          <w:sz w:val="22"/>
          <w:szCs w:val="22"/>
        </w:rPr>
        <w:t xml:space="preserve">Fußbodenheizung mit niedrigerer Vorlauftemperatur erlaubt effizienteren Betrieb der bestehenden Gas-Heizungsanlage</w:t>
      </w:r>
    </w:p>
    <w:p>
      <w:pPr>
        <w:pStyle w:val="ListParagraph"/>
        <w:numPr>
          <w:ilvl w:val="0"/>
          <w:numId w:val="2"/>
        </w:numPr>
        <w:spacing w:after="80" w:line="280"/>
      </w:pPr>
      <w:r>
        <w:rPr>
          <w:rFonts w:ascii="Arial" w:cs="Arial" w:eastAsia="Arial" w:hAnsi="Arial"/>
          <w:color w:val="1A1A1A"/>
          <w:sz w:val="22"/>
          <w:szCs w:val="22"/>
        </w:rPr>
        <w:t xml:space="preserve">Neuer Estrichaufbau mit verbesserter Wärmedämmung gegen unbeheizte Bereiche</w:t>
      </w:r>
    </w:p>
    <w:p>
      <w:pPr>
        <w:pStyle w:val="ListParagraph"/>
        <w:numPr>
          <w:ilvl w:val="0"/>
          <w:numId w:val="2"/>
        </w:numPr>
        <w:spacing w:after="80" w:line="280"/>
      </w:pPr>
      <w:r>
        <w:rPr>
          <w:rFonts w:ascii="Arial" w:cs="Arial" w:eastAsia="Arial" w:hAnsi="Arial"/>
          <w:color w:val="1A1A1A"/>
          <w:sz w:val="22"/>
          <w:szCs w:val="22"/>
        </w:rPr>
        <w:t xml:space="preserve">Wärmeschutzverglasung in den EG-Fenstern (sofern nicht bereits Bestand) — entspricht Empfehlung des Energieausweises</w:t>
      </w:r>
    </w:p>
    <w:p>
      <w:pPr>
        <w:spacing w:after="120"/>
      </w:pPr>
      <w:r>
        <w:t xml:space="preserve"/>
      </w:r>
    </w:p>
    <w:p>
      <w:pPr>
        <w:spacing w:after="200" w:before="0" w:line="300"/>
        <w:jc w:val="left"/>
      </w:pPr>
      <w:r>
        <w:rPr>
          <w:rFonts w:ascii="Arial" w:cs="Arial" w:eastAsia="Arial" w:hAnsi="Arial"/>
          <w:b w:val="false"/>
          <w:bCs w:val="false"/>
          <w:i/>
          <w:iCs/>
          <w:color w:val="6B6B6B"/>
          <w:sz w:val="20"/>
          <w:szCs w:val="20"/>
        </w:rPr>
        <w:t xml:space="preserve">Eine Aktualisierung des Energieausweises nach Sanierungsabschluss ist möglich und wird vom Verkäufer geprüft.</w:t>
      </w:r>
    </w:p>
    <w:p>
      <w:pPr>
        <w:pStyle w:val="Heading2"/>
        <w:spacing w:after="160" w:before="280"/>
      </w:pPr>
      <w:r>
        <w:rPr>
          <w:rFonts w:ascii="Arial" w:cs="Arial" w:eastAsia="Arial" w:hAnsi="Arial"/>
          <w:b/>
          <w:bCs/>
          <w:color w:val="2E5C4A"/>
          <w:sz w:val="28"/>
          <w:szCs w:val="28"/>
        </w:rPr>
        <w:t xml:space="preserve">9.2 Empfehlungen aus dem aktuellen Energieausweis</w:t>
      </w:r>
    </w:p>
    <w:p>
      <w:pPr>
        <w:pStyle w:val="ListParagraph"/>
        <w:numPr>
          <w:ilvl w:val="0"/>
          <w:numId w:val="2"/>
        </w:numPr>
        <w:spacing w:after="80" w:line="280"/>
      </w:pPr>
      <w:r>
        <w:rPr>
          <w:rFonts w:ascii="Arial" w:cs="Arial" w:eastAsia="Arial" w:hAnsi="Arial"/>
          <w:color w:val="1A1A1A"/>
          <w:sz w:val="22"/>
          <w:szCs w:val="22"/>
        </w:rPr>
        <w:t xml:space="preserve">Wärmeschutzverglasung als mögliche Einzelmaßnahme — wird im Zuge der Sanierung für die EG-Einheiten umgesetzt</w:t>
      </w:r>
    </w:p>
    <w:p>
      <w:pPr>
        <w:pStyle w:val="ListParagraph"/>
        <w:numPr>
          <w:ilvl w:val="0"/>
          <w:numId w:val="2"/>
        </w:numPr>
        <w:spacing w:after="80" w:line="280"/>
      </w:pPr>
      <w:r>
        <w:rPr>
          <w:rFonts w:ascii="Arial" w:cs="Arial" w:eastAsia="Arial" w:hAnsi="Arial"/>
          <w:color w:val="1A1A1A"/>
          <w:sz w:val="22"/>
          <w:szCs w:val="22"/>
        </w:rPr>
        <w:t xml:space="preserve">Solare Heizungsunterstützung als mögliche Einzelmaßnahme</w:t>
      </w:r>
    </w:p>
    <w:p>
      <w:pPr>
        <w:pStyle w:val="ListParagraph"/>
        <w:numPr>
          <w:ilvl w:val="0"/>
          <w:numId w:val="2"/>
        </w:numPr>
        <w:spacing w:after="80" w:line="280"/>
      </w:pPr>
      <w:r>
        <w:rPr>
          <w:rFonts w:ascii="Arial" w:cs="Arial" w:eastAsia="Arial" w:hAnsi="Arial"/>
          <w:color w:val="1A1A1A"/>
          <w:sz w:val="22"/>
          <w:szCs w:val="22"/>
        </w:rPr>
        <w:t xml:space="preserve">Solare Brauchwarmwasserbereitung als mögliche Einzelmaßnahme</w:t>
      </w:r>
    </w:p>
    <w:p>
      <w:r>
        <w:br w:type="page"/>
      </w:r>
    </w:p>
    <w:p>
      <w:pPr>
        <w:pStyle w:val="Heading1"/>
        <w:spacing w:after="200" w:before="360"/>
      </w:pPr>
      <w:r>
        <w:rPr>
          <w:rFonts w:ascii="Arial" w:cs="Arial" w:eastAsia="Arial" w:hAnsi="Arial"/>
          <w:b/>
          <w:bCs/>
          <w:color w:val="1A1A1A"/>
          <w:sz w:val="40"/>
          <w:szCs w:val="40"/>
        </w:rPr>
        <w:t xml:space="preserve">10. Datenanhang</w:t>
      </w:r>
    </w:p>
    <w:p>
      <w:pPr>
        <w:pStyle w:val="Heading2"/>
        <w:spacing w:after="160" w:before="280"/>
      </w:pPr>
      <w:r>
        <w:rPr>
          <w:rFonts w:ascii="Arial" w:cs="Arial" w:eastAsia="Arial" w:hAnsi="Arial"/>
          <w:b/>
          <w:bCs/>
          <w:color w:val="2E5C4A"/>
          <w:sz w:val="28"/>
          <w:szCs w:val="28"/>
        </w:rPr>
        <w:t xml:space="preserve">10.1 Flächenaufstellung gesamt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rPr>
          <w:tblHeader/>
        </w:trPr>
        <w:tc>
          <w:tcPr>
            <w:tcW w:type="dxa" w:w="15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w:t>
            </w:r>
          </w:p>
        </w:tc>
        <w:tc>
          <w:tcPr>
            <w:tcW w:type="dxa" w:w="546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Raum</w:t>
            </w:r>
          </w:p>
        </w:tc>
        <w:tc>
          <w:tcPr>
            <w:tcW w:type="dxa" w:w="2400"/>
            <w:tcBorders>
              <w:top w:val="single" w:color="D9D2C5" w:sz="4"/>
              <w:left w:val="single" w:color="D9D2C5" w:sz="4"/>
              <w:bottom w:val="single" w:color="D9D2C5" w:sz="4"/>
              <w:right w:val="single" w:color="D9D2C5" w:sz="4"/>
            </w:tcBorders>
            <w:shd w:fill="2E5C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Fläche</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01bb</w:t>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Kochen / Essen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32,54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19,24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Schlafen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12,03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Ankleide</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6,72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7,59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WF / Flur</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13,24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2,63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Summe WE 01bb</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93,99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02bb</w:t>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 / Essen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30,89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Kochen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13,09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Schlafen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13,61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Kind 1</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11,88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7,59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WF / Flur</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15,60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2,70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Summe WE 02bb</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95,36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WE 03bb</w:t>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Wohnen / Essen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19,16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Schlafen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13,60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Kochen</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6,10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Bad</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4,70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WF</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2,73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Abstell</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2,21 m²</w:t>
            </w:r>
          </w:p>
        </w:tc>
      </w:tr>
      <w:tr>
        <w:tc>
          <w:tcPr>
            <w:tcW w:type="dxa" w:w="15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546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Summe WE 03bb</w:t>
            </w:r>
          </w:p>
        </w:tc>
        <w:tc>
          <w:tcPr>
            <w:tcW w:type="dxa" w:w="240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48,50 m²</w:t>
            </w:r>
          </w:p>
        </w:tc>
      </w:tr>
      <w:tr>
        <w:tc>
          <w:tcPr>
            <w:tcW w:type="dxa" w:w="15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Gesamt</w:t>
            </w:r>
          </w:p>
        </w:tc>
        <w:tc>
          <w:tcPr>
            <w:tcW w:type="dxa" w:w="546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Wohnfläche aller 3 Einheiten</w:t>
            </w:r>
          </w:p>
        </w:tc>
        <w:tc>
          <w:tcPr>
            <w:tcW w:type="dxa" w:w="2400"/>
            <w:tcBorders>
              <w:top w:val="single" w:color="D9D2C5" w:sz="4"/>
              <w:left w:val="single" w:color="D9D2C5" w:sz="4"/>
              <w:bottom w:val="single" w:color="D9D2C5" w:sz="4"/>
              <w:right w:val="single" w:color="D9D2C5" w:sz="4"/>
            </w:tcBorders>
            <w:shd w:fill="F7F4EE"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237,85 m²</w:t>
            </w:r>
          </w:p>
        </w:tc>
      </w:tr>
    </w:tbl>
    <w:p>
      <w:r>
        <w:br w:type="page"/>
      </w:r>
    </w:p>
    <w:p>
      <w:pPr>
        <w:pStyle w:val="Heading2"/>
        <w:spacing w:after="160" w:before="280"/>
      </w:pPr>
      <w:r>
        <w:rPr>
          <w:rFonts w:ascii="Arial" w:cs="Arial" w:eastAsia="Arial" w:hAnsi="Arial"/>
          <w:b/>
          <w:bCs/>
          <w:color w:val="2E5C4A"/>
          <w:sz w:val="28"/>
          <w:szCs w:val="28"/>
        </w:rPr>
        <w:t xml:space="preserve">10.2 Gesamtgrundriss 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B8AE9A" w:sz="8"/>
              <w:left w:val="dashed" w:color="B8AE9A" w:sz="8"/>
              <w:bottom w:val="dashed" w:color="B8AE9A" w:sz="8"/>
              <w:right w:val="dashed" w:color="B8AE9A" w:sz="8"/>
            </w:tcBorders>
            <w:shd w:fill="EFE9DD" w:val="clear"/>
            <w:tcMar>
              <w:top w:type="dxa" w:w="200"/>
              <w:left w:type="dxa" w:w="200"/>
              <w:bottom w:type="dxa" w:w="200"/>
              <w:right w:type="dxa" w:w="200"/>
            </w:tcMar>
            <w:vAlign w:val="center"/>
          </w:tcPr>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Arial" w:cs="Arial" w:eastAsia="Arial" w:hAnsi="Arial"/>
                <w:b/>
                <w:bCs/>
                <w:color w:val="B8AE9A"/>
                <w:spacing w:val="60"/>
                <w:sz w:val="18"/>
                <w:szCs w:val="18"/>
              </w:rPr>
              <w:t xml:space="preserve">[ BILD-PLATZHALTER ]</w:t>
            </w:r>
          </w:p>
          <w:p>
            <w:pPr>
              <w:spacing w:after="40"/>
              <w:jc w:val="center"/>
            </w:pPr>
            <w:r>
              <w:rPr>
                <w:rFonts w:ascii="Arial" w:cs="Arial" w:eastAsia="Arial" w:hAnsi="Arial"/>
                <w:b/>
                <w:bCs/>
                <w:color w:val="6B6B6B"/>
                <w:sz w:val="24"/>
                <w:szCs w:val="24"/>
              </w:rPr>
              <w:t xml:space="preserve">Grundriss EG (Gesamt)</w:t>
            </w:r>
          </w:p>
          <w:p>
            <w:pPr>
              <w:spacing w:after="60"/>
              <w:jc w:val="center"/>
            </w:pPr>
            <w:r>
              <w:rPr>
                <w:rFonts w:ascii="Arial" w:cs="Arial" w:eastAsia="Arial" w:hAnsi="Arial"/>
                <w:i/>
                <w:iCs/>
                <w:color w:val="6B6B6B"/>
                <w:sz w:val="18"/>
                <w:szCs w:val="18"/>
              </w:rPr>
              <w:t xml:space="preserve">EG_VAR_03_Endzustand · M 1:100 · Architekt Matthias Rekett, Hoepfner Bräu</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280"/>
      </w:pPr>
      <w:r>
        <w:t xml:space="preserve"/>
      </w:r>
    </w:p>
    <w:p>
      <w:pPr>
        <w:pStyle w:val="Heading2"/>
        <w:spacing w:after="160" w:before="280"/>
      </w:pPr>
      <w:r>
        <w:rPr>
          <w:rFonts w:ascii="Arial" w:cs="Arial" w:eastAsia="Arial" w:hAnsi="Arial"/>
          <w:b/>
          <w:bCs/>
          <w:color w:val="2E5C4A"/>
          <w:sz w:val="28"/>
          <w:szCs w:val="28"/>
        </w:rPr>
        <w:t xml:space="preserve">10.3 Rechtliche Hinweise</w:t>
      </w:r>
    </w:p>
    <w:p>
      <w:pPr>
        <w:spacing w:after="200" w:before="0" w:line="320"/>
        <w:jc w:val="left"/>
      </w:pPr>
      <w:r>
        <w:rPr>
          <w:rFonts w:ascii="Arial" w:cs="Arial" w:eastAsia="Arial" w:hAnsi="Arial"/>
          <w:b w:val="false"/>
          <w:bCs w:val="false"/>
          <w:i w:val="false"/>
          <w:iCs w:val="false"/>
          <w:color w:val="1A1A1A"/>
          <w:sz w:val="20"/>
          <w:szCs w:val="20"/>
        </w:rPr>
        <w:t xml:space="preserve">Dieses Exposé dient ausschließlich der Information möglicher Kaufinteressenten. Es stellt kein bindendes Angebot dar. Alle Angaben beruhen auf vom Eigentümer bzw. dessen Bevollmächtigten zur Verfügung gestellten Unterlagen. Eine Haftung für Vollständigkeit und Richtigkeit kann nicht übernommen werden. Maßgeblich für einen Erwerb sind ausschließlich die im notariell beurkundeten Kaufvertrag und in der Baubeschreibung getroffenen Regelungen.</w:t>
      </w:r>
    </w:p>
    <w:p>
      <w:pPr>
        <w:spacing w:after="200" w:before="0" w:line="320"/>
        <w:jc w:val="left"/>
      </w:pPr>
      <w:r>
        <w:rPr>
          <w:rFonts w:ascii="Arial" w:cs="Arial" w:eastAsia="Arial" w:hAnsi="Arial"/>
          <w:b w:val="false"/>
          <w:bCs w:val="false"/>
          <w:i w:val="false"/>
          <w:iCs w:val="false"/>
          <w:color w:val="1A1A1A"/>
          <w:sz w:val="20"/>
          <w:szCs w:val="20"/>
        </w:rPr>
        <w:t xml:space="preserve">Zwischenverkauf, Irrtum und Änderungen vorbehalten. Die in diesem Exposé verwendeten Visualisierungen sind Architektur-Darstellungen des geplanten sanierten Endzustands. Sie zeigen den Übergabezustand bewusst unmöbliert. Tatsächliche Bauausführung kann in Details (Materialien, Farbtöne, Beschläge) abweichen — maßgeblich ist die zum Kaufvertrag gehörende Baubeschreibung.</w:t>
      </w:r>
    </w:p>
    <w:p>
      <w:pPr>
        <w:spacing w:after="200" w:before="0" w:line="320"/>
        <w:jc w:val="left"/>
      </w:pPr>
      <w:r>
        <w:rPr>
          <w:rFonts w:ascii="Arial" w:cs="Arial" w:eastAsia="Arial" w:hAnsi="Arial"/>
          <w:b w:val="false"/>
          <w:bCs w:val="false"/>
          <w:i w:val="false"/>
          <w:iCs w:val="false"/>
          <w:color w:val="1A1A1A"/>
          <w:sz w:val="20"/>
          <w:szCs w:val="20"/>
        </w:rPr>
        <w:t xml:space="preserve">Die in diesem Exposé beschriebene Sanierung ist Bestandteil des Kaufgegenstands; konkrete Marken, Modelle und Bauteile werden in der verbindlichen Baubeschreibung zum Kaufvertrag festgelegt.</w:t>
      </w:r>
    </w:p>
    <w:p>
      <w:pPr>
        <w:spacing w:after="200" w:before="0" w:line="320"/>
        <w:jc w:val="left"/>
      </w:pPr>
      <w:r>
        <w:rPr>
          <w:rFonts w:ascii="Arial" w:cs="Arial" w:eastAsia="Arial" w:hAnsi="Arial"/>
          <w:b w:val="false"/>
          <w:bCs w:val="false"/>
          <w:i w:val="false"/>
          <w:iCs w:val="false"/>
          <w:color w:val="1A1A1A"/>
          <w:sz w:val="20"/>
          <w:szCs w:val="20"/>
        </w:rPr>
        <w:t xml:space="preserve">Energieausweis: liegt vor, wird auf Wunsch eingesehen.</w:t>
      </w:r>
    </w:p>
    <w:p>
      <w:pPr>
        <w:spacing w:after="120" w:before="0" w:line="320"/>
        <w:jc w:val="left"/>
      </w:pPr>
      <w:r>
        <w:rPr>
          <w:rFonts w:ascii="Arial" w:cs="Arial" w:eastAsia="Arial" w:hAnsi="Arial"/>
          <w:b w:val="false"/>
          <w:bCs w:val="false"/>
          <w:i w:val="false"/>
          <w:iCs w:val="false"/>
          <w:color w:val="1A1A1A"/>
          <w:sz w:val="20"/>
          <w:szCs w:val="20"/>
        </w:rPr>
        <w:t xml:space="preserve">Gemäß Geldwäschegesetz (GwG) ist der Verkäufer bzw. der von ihm beauftragte Makler verpflichtet, die Identität des Erwerbers vor Abschluss des Kaufvertrags festzustellen.</w:t>
      </w:r>
    </w:p>
    <w:p>
      <w:r>
        <w:br w:type="page"/>
      </w:r>
    </w:p>
    <w:p>
      <w:pPr>
        <w:pStyle w:val="Heading1"/>
        <w:spacing w:after="200" w:before="360"/>
      </w:pPr>
      <w:r>
        <w:rPr>
          <w:rFonts w:ascii="Arial" w:cs="Arial" w:eastAsia="Arial" w:hAnsi="Arial"/>
          <w:b/>
          <w:bCs/>
          <w:color w:val="1A1A1A"/>
          <w:sz w:val="40"/>
          <w:szCs w:val="40"/>
        </w:rPr>
        <w:t xml:space="preserve">11. Kontakt</w:t>
      </w:r>
    </w:p>
    <w:p>
      <w:pPr>
        <w:spacing w:after="280" w:before="0" w:line="340"/>
        <w:jc w:val="left"/>
      </w:pPr>
      <w:r>
        <w:rPr>
          <w:rFonts w:ascii="Arial" w:cs="Arial" w:eastAsia="Arial" w:hAnsi="Arial"/>
          <w:b w:val="false"/>
          <w:bCs w:val="false"/>
          <w:i w:val="false"/>
          <w:iCs w:val="false"/>
          <w:color w:val="1A1A1A"/>
          <w:sz w:val="22"/>
          <w:szCs w:val="22"/>
        </w:rPr>
        <w:t xml:space="preserve">Für weitere Informationen, einen Besichtigungstermin oder konkrete Konditions-Anfragen: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Eigentümer / Verkäufer</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[Name / Firma]</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Ansprechpartner</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[Name]</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Telefon</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[Telefonnummer]</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E-Mail</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[E-Mail-Adresse]</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Adresse</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[Anschrift]</w:t>
            </w:r>
          </w:p>
        </w:tc>
      </w:tr>
    </w:tbl>
    <w:p>
      <w:pPr>
        <w:spacing w:after="280"/>
      </w:pPr>
      <w:r>
        <w:t xml:space="preserve"/>
      </w:r>
    </w:p>
    <w:p>
      <w:pPr>
        <w:pStyle w:val="Heading2"/>
        <w:spacing w:after="160" w:before="280"/>
      </w:pPr>
      <w:r>
        <w:rPr>
          <w:rFonts w:ascii="Arial" w:cs="Arial" w:eastAsia="Arial" w:hAnsi="Arial"/>
          <w:b/>
          <w:bCs/>
          <w:color w:val="2E5C4A"/>
          <w:sz w:val="28"/>
          <w:szCs w:val="28"/>
        </w:rPr>
        <w:t xml:space="preserve">Architekt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Architekturbüro</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Matthias Rekett, Dipl.-Ing. (FH) Architekt</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Adresse</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Hoepfner Bräu Friedrich Hoepfner Verw.ges. mbH &amp; Co. KG</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Haid-und-Neu-Str. 18-20, 76131 Karlsruhe</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Telefon</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0721 480886-75</w:t>
            </w:r>
          </w:p>
        </w:tc>
      </w:tr>
      <w:tr>
        <w:tc>
          <w:tcPr>
            <w:tcW w:type="dxa" w:w="312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E-Mail</w:t>
            </w:r>
          </w:p>
        </w:tc>
        <w:tc>
          <w:tcPr>
            <w:tcW w:type="dxa" w:w="6240"/>
            <w:tcBorders>
              <w:top w:val="single" w:color="D9D2C5" w:sz="4"/>
              <w:left w:val="single" w:color="D9D2C5" w:sz="4"/>
              <w:bottom w:val="single" w:color="D9D2C5" w:sz="4"/>
              <w:right w:val="single" w:color="D9D2C5" w:sz="4"/>
            </w:tcBorders>
            <w:shd w:fill="FFFFFF" w:val="clear"/>
            <w:tcMar>
              <w:top w:type="dxa" w:w="100"/>
              <w:left w:type="dxa" w:w="140"/>
              <w:bottom w:type="dxa" w:w="100"/>
              <w:right w:type="dxa" w:w="140"/>
            </w:tcMar>
          </w:tcPr>
          <w:p>
            <w:pPr>
              <w:spacing w:after="40" w:line="260"/>
            </w:pPr>
            <w:r>
              <w:rPr>
                <w:rFonts w:ascii="Arial" w:cs="Arial" w:eastAsia="Arial" w:hAnsi="Arial"/>
                <w:color w:val="1A1A1A"/>
                <w:sz w:val="20"/>
                <w:szCs w:val="20"/>
              </w:rPr>
              <w:t xml:space="preserve">matthias.rekett@hoepfner-braeu.de</w:t>
            </w:r>
          </w:p>
        </w:tc>
      </w:tr>
    </w:tbl>
    <w:p>
      <w:pPr>
        <w:spacing w:after="360"/>
      </w:pPr>
      <w:r>
        <w:t xml:space="preserve"/>
      </w:r>
    </w:p>
    <w:p>
      <w:pPr>
        <w:pBdr>
          <w:bottom w:val="single" w:color="2E5C4A" w:sz="6" w:space="1"/>
        </w:pBdr>
        <w:spacing w:after="200" w:before="200"/>
      </w:pPr>
      <w:r>
        <w:t xml:space="preserve"/>
      </w:r>
    </w:p>
    <w:p>
      <w:pPr>
        <w:spacing w:after="120" w:before="0" w:line="300"/>
        <w:jc w:val="center"/>
      </w:pPr>
      <w:r>
        <w:rPr>
          <w:rFonts w:ascii="Arial" w:cs="Arial" w:eastAsia="Arial" w:hAnsi="Arial"/>
          <w:b w:val="false"/>
          <w:bCs w:val="false"/>
          <w:i/>
          <w:iCs/>
          <w:color w:val="6B6B6B"/>
          <w:sz w:val="18"/>
          <w:szCs w:val="18"/>
        </w:rPr>
        <w:t xml:space="preserve">Marxstraße 12 · 76571 Gaggenau · Exposé v2.0 Stand 28.4.2026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B6B"/>
        <w:sz w:val="16"/>
        <w:szCs w:val="16"/>
      </w:rPr>
      <w:t xml:space="preserve">v2.0  ·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5" w:sz="4" w:space="4"/>
      </w:pBdr>
      <w:jc w:val="left"/>
    </w:pPr>
    <w:r>
      <w:rPr>
        <w:rFonts w:ascii="Arial" w:cs="Arial" w:eastAsia="Arial" w:hAnsi="Arial"/>
        <w:color w:val="6B6B6B"/>
        <w:spacing w:val="40"/>
        <w:sz w:val="16"/>
        <w:szCs w:val="16"/>
      </w:rPr>
      <w:t xml:space="preserve">EXPOSÉ v2 · MARXSTRASSE 12 · GAGGENAU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2E5C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v2 Marxstraße 12, Gaggenau</dc:title>
  <dc:creator>KingFlo / SPARC</dc:creator>
  <dc:description>Verkaufsexposé inkl. Sanierungsumfang</dc:description>
  <cp:lastModifiedBy>Un-named</cp:lastModifiedBy>
  <cp:revision>1</cp:revision>
  <dcterms:created xsi:type="dcterms:W3CDTF">2026-04-28T06:07:06.436Z</dcterms:created>
  <dcterms:modified xsi:type="dcterms:W3CDTF">2026-04-28T06:07:06.436Z</dcterms:modified>
</cp:coreProperties>
</file>

<file path=docProps/custom.xml><?xml version="1.0" encoding="utf-8"?>
<Properties xmlns="http://schemas.openxmlformats.org/officeDocument/2006/custom-properties" xmlns:vt="http://schemas.openxmlformats.org/officeDocument/2006/docPropsVTypes"/>
</file>