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生物医药产业前沿分析</w:t>
      </w:r>
    </w:p>
    <w:p>
      <w:pPr>
        <w:jc w:val="center"/>
      </w:pPr>
      <w:r>
        <w:t>2024年度生物医药全景报告 | 涵盖创新药、基因治疗、AI制药、疫苗四大领域</w:t>
      </w:r>
    </w:p>
    <w:p>
      <w:pPr>
        <w:pStyle w:val="Heading1"/>
      </w:pPr>
      <w:r>
        <w:t>一、全球制药巨头</w:t>
      </w:r>
    </w:p>
    <w:p>
      <w:pPr>
        <w:pStyle w:val="Heading2"/>
      </w:pPr>
      <w:r>
        <w:t>1.1 辉瑞（Pfizer）</w:t>
      </w:r>
    </w:p>
    <w:p>
      <w:r>
        <w:t>辉瑞总部位于美国纽约，是全球最大的制药公司之一。辉瑞的 mRNA 新冠疫苗 Comirnaty 与 BioNTech 合作开发，2021年销售额超过360亿美元。辉瑞 CEO Albert Bourla 推动了公司的数字化转型和并购战略。辉瑞在肿瘤学、免疫学和罕见病领域拥有丰富的产品管线。</w:t>
      </w:r>
    </w:p>
    <w:p>
      <w:pPr>
        <w:pStyle w:val="Heading2"/>
      </w:pPr>
      <w:r>
        <w:t>1.2 罗氏（Roche）</w:t>
      </w:r>
    </w:p>
    <w:p>
      <w:r>
        <w:t>罗氏总部位于瑞士巴塞尔，是全球最大的生物技术公司。罗氏在肿瘤学领域处于领先地位，其 PD-L1 免疫治疗药物 Tecentriq 和 HER2 靶向药物赫赛汀是重磅产品。罗氏旗下的基因泰克（Genentech）是全球最早的生物技术公司之一。</w:t>
      </w:r>
    </w:p>
    <w:p>
      <w:pPr>
        <w:pStyle w:val="Heading2"/>
      </w:pPr>
      <w:r>
        <w:t>1.3 诺和诺德（Novo Nordisk）</w:t>
      </w:r>
    </w:p>
    <w:p>
      <w:r>
        <w:t>诺和诺德总部位于丹麦哥本哈根，是全球最大的糖尿病药物公司。诺和诺德的 GLP-1 受体激动剂司美格鲁肽（Semaglutide）以 Ozempic 和 Wegovy 品牌销售，2024年销售额超过200亿美元。司美格鲁肽在减重领域的突破使诺和诺德市值大幅飙升。</w:t>
      </w:r>
    </w:p>
    <w:p>
      <w:pPr>
        <w:pStyle w:val="Heading2"/>
      </w:pPr>
      <w:r>
        <w:t>1.4 恒瑞医药</w:t>
      </w:r>
    </w:p>
    <w:p>
      <w:r>
        <w:t>恒瑞医药总部位于中国江苏连云港，是中国最大的创新药企业。恒瑞医药在肿瘤、麻醉和免疫领域拥有多款创新药。PD-1 抑制剂卡瑞利珠单抗是恒瑞的拳头产品。恒瑞医药近年来加速国际化，在美国和欧洲开展多项临床试验。</w:t>
      </w:r>
    </w:p>
    <w:p>
      <w:pPr>
        <w:pStyle w:val="Heading1"/>
      </w:pPr>
      <w:r>
        <w:t>二、基因治疗与细胞治疗</w:t>
      </w:r>
    </w:p>
    <w:p>
      <w:pPr>
        <w:pStyle w:val="Heading2"/>
      </w:pPr>
      <w:r>
        <w:t>2.1 基因编辑技术 CRISPR</w:t>
      </w:r>
    </w:p>
    <w:p>
      <w:r>
        <w:t>CRISPR-Cas9 基因编辑技术由 Jennifer Doudna 和 Emmanuelle Charpentier 共同开发，两人因此获得2020年诺贝尔化学奖。CRISPR Therapeutics 是首家将 CRISPR 基因疗法推向市场的公司，其治疗镰状细胞病的药物 Casgevy 于2023年获批。</w:t>
      </w:r>
    </w:p>
    <w:p>
      <w:pPr>
        <w:pStyle w:val="Heading2"/>
      </w:pPr>
      <w:r>
        <w:t>2.2 Moderna</w:t>
      </w:r>
    </w:p>
    <w:p>
      <w:r>
        <w:t>Moderna 总部位于美国剑桥，是 mRNA 技术的领导者。Moderna 的 mRNA 新冠疫苗 Spikevax 是全球最广泛使用的疫苗之一。Moderna 正在开发基于 mRNA 的个性化癌症疫苗和呼吸道合胞病毒（RSV）疫苗。CEO Stéphane Bancel 推动了 mRNA 平台在多个疾病领域的应用。</w:t>
      </w:r>
    </w:p>
    <w:p>
      <w:pPr>
        <w:pStyle w:val="Heading2"/>
      </w:pPr>
      <w:r>
        <w:t>2.3 药明康德</w:t>
      </w:r>
    </w:p>
    <w:p>
      <w:r>
        <w:t>药明康德总部位于中国上海，是全球领先的医药研发外包服务公司（CRO/CDMO）。药明康德为全球制药公司提供从药物发现到商业化生产的一站式服务。药明康德在全球拥有超过4万名员工，服务超过6000家客户。</w:t>
      </w:r>
    </w:p>
    <w:p>
      <w:pPr>
        <w:pStyle w:val="Heading1"/>
      </w:pPr>
      <w:r>
        <w:t>三、AI 制药</w:t>
      </w:r>
    </w:p>
    <w:p>
      <w:pPr>
        <w:pStyle w:val="Heading2"/>
      </w:pPr>
      <w:r>
        <w:t>3.1 Insilico Medicine（英矽智能）</w:t>
      </w:r>
    </w:p>
    <w:p>
      <w:r>
        <w:t>英矽智能总部位于中国香港和美国巴尔的摩，是 AI 药物研发领域的领先企业。英矽智能的 Pharma.AI 平台利用生成式 AI 加速药物靶点发现和分子设计。2024年英矽智能的 AI 设计药物 ISM001-055 进入临床二期试验，这是全球首个完全由 AI 设计的药物进入临床。</w:t>
      </w:r>
    </w:p>
    <w:p>
      <w:pPr>
        <w:pStyle w:val="Heading2"/>
      </w:pPr>
      <w:r>
        <w:t>3.2 Recursion Pharmaceuticals</w:t>
      </w:r>
    </w:p>
    <w:p>
      <w:r>
        <w:t>Recursion 总部位于美国盐湖城，利用计算机视觉和机器学习进行大规模表型筛选。Recursion 构建了全球最大的生物图像数据集，用于发现新的药物靶点和候选化合物。</w:t>
      </w:r>
    </w:p>
    <w:p>
      <w:pPr>
        <w:pStyle w:val="Heading2"/>
      </w:pPr>
      <w:r>
        <w:t>3.3 DeepMind AlphaFold</w:t>
      </w:r>
    </w:p>
    <w:p>
      <w:r>
        <w:t>Google DeepMind 开发的 AlphaFold 解决了蛋白质结构预测这一生物学重大挑战。AlphaFold2 在2020年 CASP14 竞赛中取得了革命性突破。AlphaFold 蛋白质数据库已预测了超过2亿个蛋白质结构，被全球生物医学研究者广泛使用。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