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22" w:type="dxa"/>
        <w:tblInd w:w="-7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1"/>
        <w:gridCol w:w="2632"/>
        <w:gridCol w:w="2112"/>
        <w:gridCol w:w="2557"/>
        <w:gridCol w:w="2120"/>
      </w:tblGrid>
      <w:tr w:rsidR="00686ADE" w14:paraId="52DAC4A6" w14:textId="77777777" w:rsidTr="00686ADE">
        <w:tc>
          <w:tcPr>
            <w:tcW w:w="10422" w:type="dxa"/>
            <w:gridSpan w:val="5"/>
          </w:tcPr>
          <w:p w14:paraId="10073BD1" w14:textId="77777777" w:rsidR="00686ADE" w:rsidRDefault="00686ADE" w:rsidP="00686ADE">
            <w:pPr>
              <w:rPr>
                <w:rFonts w:ascii="CMU Bright" w:hAnsi="CMU Bright" w:cs="CMU Bright"/>
                <w:b/>
                <w:bCs/>
                <w:sz w:val="20"/>
                <w:szCs w:val="20"/>
              </w:rPr>
            </w:pPr>
          </w:p>
          <w:p w14:paraId="008E77C7" w14:textId="2636356C" w:rsidR="00686ADE" w:rsidRDefault="00686ADE" w:rsidP="00686ADE">
            <w:pPr>
              <w:rPr>
                <w:rFonts w:ascii="CMU Bright" w:hAnsi="CMU Bright" w:cs="CMU Bright"/>
                <w:b/>
                <w:bCs/>
                <w:sz w:val="20"/>
                <w:szCs w:val="20"/>
              </w:rPr>
            </w:pPr>
            <w:r>
              <w:rPr>
                <w:rFonts w:ascii="CMU Bright" w:hAnsi="CMU Bright" w:cs="CMU Bright"/>
                <w:b/>
                <w:bCs/>
                <w:sz w:val="20"/>
                <w:szCs w:val="20"/>
              </w:rPr>
              <w:t>Realistische Interpretationen</w:t>
            </w:r>
          </w:p>
          <w:p w14:paraId="7791DEBE" w14:textId="77777777" w:rsidR="00686ADE" w:rsidRPr="00993E83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</w:tr>
      <w:tr w:rsidR="00686ADE" w14:paraId="3DADED00" w14:textId="77777777" w:rsidTr="0034256E">
        <w:tc>
          <w:tcPr>
            <w:tcW w:w="1001" w:type="dxa"/>
          </w:tcPr>
          <w:p w14:paraId="6E021F90" w14:textId="77777777" w:rsidR="00686ADE" w:rsidRPr="0034256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  <w:tc>
          <w:tcPr>
            <w:tcW w:w="2632" w:type="dxa"/>
          </w:tcPr>
          <w:p w14:paraId="6281B74B" w14:textId="68AB0881" w:rsidR="00686ADE" w:rsidRPr="0034256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4256E">
              <w:rPr>
                <w:rFonts w:ascii="CMU Bright" w:hAnsi="CMU Bright" w:cs="CMU Bright"/>
                <w:sz w:val="20"/>
                <w:szCs w:val="20"/>
              </w:rPr>
              <w:t>Intuition</w:t>
            </w:r>
          </w:p>
        </w:tc>
        <w:tc>
          <w:tcPr>
            <w:tcW w:w="2112" w:type="dxa"/>
          </w:tcPr>
          <w:p w14:paraId="2561AC50" w14:textId="5B238415" w:rsidR="00686ADE" w:rsidRPr="0034256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4256E">
              <w:rPr>
                <w:rFonts w:ascii="CMU Bright" w:hAnsi="CMU Bright" w:cs="CMU Bright"/>
                <w:sz w:val="20"/>
                <w:szCs w:val="20"/>
              </w:rPr>
              <w:t xml:space="preserve">Anwendungsfeld </w:t>
            </w:r>
          </w:p>
        </w:tc>
        <w:tc>
          <w:tcPr>
            <w:tcW w:w="2557" w:type="dxa"/>
          </w:tcPr>
          <w:p w14:paraId="2F1C3A67" w14:textId="2CC310AE" w:rsidR="00686ADE" w:rsidRPr="0034256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4256E">
              <w:rPr>
                <w:rFonts w:ascii="CMU Bright" w:hAnsi="CMU Bright" w:cs="CMU Bright"/>
                <w:sz w:val="20"/>
                <w:szCs w:val="20"/>
              </w:rPr>
              <w:t>Probleme</w:t>
            </w:r>
          </w:p>
        </w:tc>
        <w:tc>
          <w:tcPr>
            <w:tcW w:w="2120" w:type="dxa"/>
          </w:tcPr>
          <w:p w14:paraId="68F943E1" w14:textId="52639C88" w:rsidR="00686ADE" w:rsidRPr="0034256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4256E">
              <w:rPr>
                <w:rFonts w:ascii="CMU Bright" w:hAnsi="CMU Bright" w:cs="CMU Bright"/>
                <w:sz w:val="20"/>
                <w:szCs w:val="20"/>
              </w:rPr>
              <w:t>Referenzen</w:t>
            </w:r>
          </w:p>
        </w:tc>
      </w:tr>
      <w:tr w:rsidR="00A63613" w14:paraId="04FC7024" w14:textId="77777777" w:rsidTr="00494F64">
        <w:tc>
          <w:tcPr>
            <w:tcW w:w="10422" w:type="dxa"/>
            <w:gridSpan w:val="5"/>
          </w:tcPr>
          <w:p w14:paraId="007E3679" w14:textId="3AF11DA7" w:rsidR="00A63613" w:rsidRPr="00A63613" w:rsidRDefault="00A63613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Endlich </w:t>
            </w:r>
            <w:proofErr w:type="spellStart"/>
            <w:r w:rsidRPr="00A63613">
              <w:rPr>
                <w:rFonts w:ascii="CMU Bright" w:hAnsi="CMU Bright" w:cs="CMU Bright"/>
                <w:sz w:val="16"/>
                <w:szCs w:val="16"/>
              </w:rPr>
              <w:t>Frequentistisch</w:t>
            </w:r>
            <w:proofErr w:type="spellEnd"/>
          </w:p>
        </w:tc>
      </w:tr>
      <w:tr w:rsidR="00686ADE" w14:paraId="75E1CE38" w14:textId="77777777" w:rsidTr="0034256E">
        <w:tc>
          <w:tcPr>
            <w:tcW w:w="1001" w:type="dxa"/>
          </w:tcPr>
          <w:p w14:paraId="2DB7078C" w14:textId="07E87D7D" w:rsidR="007413B1" w:rsidRPr="00A63613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  <w:tc>
          <w:tcPr>
            <w:tcW w:w="2632" w:type="dxa"/>
          </w:tcPr>
          <w:p w14:paraId="61A94745" w14:textId="461DDD22" w:rsidR="007413B1" w:rsidRPr="00A63613" w:rsidRDefault="00993E83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Die Wahrscheinlichkeit einer Münze, Kopf zu zeigen, entspricht der relativen </w:t>
            </w:r>
            <w:r w:rsidR="00E67E91" w:rsidRPr="00A63613">
              <w:rPr>
                <w:rFonts w:ascii="CMU Bright" w:hAnsi="CMU Bright" w:cs="CMU Bright"/>
                <w:sz w:val="16"/>
                <w:szCs w:val="16"/>
              </w:rPr>
              <w:t>Häufigkeit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 der Münze, bei endlich vielen Beobachtungen Kopf zu zeigen.</w:t>
            </w:r>
          </w:p>
        </w:tc>
        <w:tc>
          <w:tcPr>
            <w:tcW w:w="2112" w:type="dxa"/>
          </w:tcPr>
          <w:p w14:paraId="362011DC" w14:textId="30F26404" w:rsidR="007413B1" w:rsidRPr="00A63613" w:rsidRDefault="003B772C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-</w:t>
            </w:r>
          </w:p>
        </w:tc>
        <w:tc>
          <w:tcPr>
            <w:tcW w:w="2557" w:type="dxa"/>
          </w:tcPr>
          <w:p w14:paraId="0759FF10" w14:textId="7E440F04" w:rsidR="007413B1" w:rsidRPr="00A63613" w:rsidRDefault="00622269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Bei einmaligem Münzwurf ergibt sich keine sinnvolle Prädiktion, </w:t>
            </w:r>
            <w:r w:rsidR="00686ADE" w:rsidRPr="00A63613">
              <w:rPr>
                <w:rFonts w:ascii="CMU Bright" w:hAnsi="CMU Bright" w:cs="CMU Bright"/>
                <w:sz w:val="16"/>
                <w:szCs w:val="16"/>
              </w:rPr>
              <w:t>W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>ahrscheinlichkeiten ändern sich je nach Beobachtungsreihe, sind also nicht eindeutig definiert.</w:t>
            </w:r>
          </w:p>
        </w:tc>
        <w:tc>
          <w:tcPr>
            <w:tcW w:w="2120" w:type="dxa"/>
          </w:tcPr>
          <w:p w14:paraId="229ACFFF" w14:textId="187AA387" w:rsidR="007413B1" w:rsidRPr="00A63613" w:rsidRDefault="003B772C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Venn (1876)</w:t>
            </w:r>
          </w:p>
        </w:tc>
      </w:tr>
      <w:tr w:rsidR="00A63613" w14:paraId="54E926E6" w14:textId="77777777" w:rsidTr="00416BDE">
        <w:tc>
          <w:tcPr>
            <w:tcW w:w="10422" w:type="dxa"/>
            <w:gridSpan w:val="5"/>
          </w:tcPr>
          <w:p w14:paraId="6B69CCF8" w14:textId="065DFC5B" w:rsidR="00A63613" w:rsidRPr="00A63613" w:rsidRDefault="00A63613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Unendlich </w:t>
            </w:r>
            <w:proofErr w:type="spellStart"/>
            <w:r w:rsidRPr="00A63613">
              <w:rPr>
                <w:rFonts w:ascii="CMU Bright" w:hAnsi="CMU Bright" w:cs="CMU Bright"/>
                <w:sz w:val="16"/>
                <w:szCs w:val="16"/>
              </w:rPr>
              <w:t>Frequentistisch</w:t>
            </w:r>
            <w:proofErr w:type="spellEnd"/>
          </w:p>
        </w:tc>
      </w:tr>
      <w:tr w:rsidR="00686ADE" w14:paraId="61FF4010" w14:textId="77777777" w:rsidTr="0034256E">
        <w:tc>
          <w:tcPr>
            <w:tcW w:w="1001" w:type="dxa"/>
          </w:tcPr>
          <w:p w14:paraId="72B11E5F" w14:textId="6CB48C13" w:rsidR="007413B1" w:rsidRPr="00A63613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  <w:tc>
          <w:tcPr>
            <w:tcW w:w="2632" w:type="dxa"/>
          </w:tcPr>
          <w:p w14:paraId="0FE70F3C" w14:textId="78BC526A" w:rsidR="007413B1" w:rsidRPr="00A63613" w:rsidRDefault="00993E83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Die Wahrscheinlichkeit einer Münze, Kopf zu zeigen, entspricht der relativen </w:t>
            </w:r>
            <w:r w:rsidR="00E67E91" w:rsidRPr="00A63613">
              <w:rPr>
                <w:rFonts w:ascii="CMU Bright" w:hAnsi="CMU Bright" w:cs="CMU Bright"/>
                <w:sz w:val="16"/>
                <w:szCs w:val="16"/>
              </w:rPr>
              <w:t>Häufigkeit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 der Münze, bei unendlich vielen Beobachtungen Kopf zu zeigen.</w:t>
            </w:r>
          </w:p>
        </w:tc>
        <w:tc>
          <w:tcPr>
            <w:tcW w:w="2112" w:type="dxa"/>
          </w:tcPr>
          <w:p w14:paraId="2E4039DA" w14:textId="0FD32C6C" w:rsidR="007413B1" w:rsidRPr="00A63613" w:rsidRDefault="007413B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Frequentistische</w:t>
            </w:r>
            <w:r w:rsidR="00622269" w:rsidRPr="00A63613">
              <w:rPr>
                <w:rFonts w:ascii="CMU Bright" w:hAnsi="CMU Bright" w:cs="CMU Bright"/>
                <w:sz w:val="16"/>
                <w:szCs w:val="16"/>
              </w:rPr>
              <w:t xml:space="preserve"> 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>Inferenz</w:t>
            </w:r>
          </w:p>
        </w:tc>
        <w:tc>
          <w:tcPr>
            <w:tcW w:w="2557" w:type="dxa"/>
          </w:tcPr>
          <w:p w14:paraId="70F83DDA" w14:textId="1C2FD99A" w:rsidR="007413B1" w:rsidRPr="00A63613" w:rsidRDefault="007413B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Es gibt keine unendlichen</w:t>
            </w:r>
            <w:r w:rsidR="00622269" w:rsidRPr="00A63613">
              <w:rPr>
                <w:rFonts w:ascii="CMU Bright" w:hAnsi="CMU Bright" w:cs="CMU Bright"/>
                <w:sz w:val="16"/>
                <w:szCs w:val="16"/>
              </w:rPr>
              <w:t xml:space="preserve"> 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>Beobachtungsreihen</w:t>
            </w:r>
            <w:r w:rsidR="00622269" w:rsidRPr="00A63613">
              <w:rPr>
                <w:rFonts w:ascii="CMU Bright" w:hAnsi="CMU Bright" w:cs="CMU Bright"/>
                <w:sz w:val="16"/>
                <w:szCs w:val="16"/>
              </w:rPr>
              <w:t>, bei endlich vielen Münzwürfen ist die Wahrscheinlichkeit eines Ereignisses nicht definiert.</w:t>
            </w:r>
          </w:p>
        </w:tc>
        <w:tc>
          <w:tcPr>
            <w:tcW w:w="2120" w:type="dxa"/>
          </w:tcPr>
          <w:p w14:paraId="13255132" w14:textId="77777777" w:rsidR="007413B1" w:rsidRPr="00A63613" w:rsidRDefault="003B772C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Reichenbach (1949)</w:t>
            </w:r>
          </w:p>
          <w:p w14:paraId="7E69D658" w14:textId="089E4725" w:rsidR="003B772C" w:rsidRPr="00A63613" w:rsidRDefault="003B772C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Von Mises (1957)</w:t>
            </w:r>
          </w:p>
        </w:tc>
      </w:tr>
      <w:tr w:rsidR="00A63613" w14:paraId="2B3AE846" w14:textId="77777777" w:rsidTr="00D4722B">
        <w:tc>
          <w:tcPr>
            <w:tcW w:w="10422" w:type="dxa"/>
            <w:gridSpan w:val="5"/>
          </w:tcPr>
          <w:p w14:paraId="06209684" w14:textId="2CD7310D" w:rsidR="00A63613" w:rsidRPr="00A63613" w:rsidRDefault="00A63613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proofErr w:type="spellStart"/>
            <w:r w:rsidRPr="00A63613">
              <w:rPr>
                <w:rFonts w:ascii="CMU Bright" w:hAnsi="CMU Bright" w:cs="CMU Bright"/>
                <w:sz w:val="16"/>
                <w:szCs w:val="16"/>
              </w:rPr>
              <w:t>Propensitär</w:t>
            </w:r>
            <w:proofErr w:type="spellEnd"/>
          </w:p>
        </w:tc>
      </w:tr>
      <w:tr w:rsidR="00686ADE" w14:paraId="6888F18F" w14:textId="77777777" w:rsidTr="0034256E">
        <w:tc>
          <w:tcPr>
            <w:tcW w:w="1001" w:type="dxa"/>
          </w:tcPr>
          <w:p w14:paraId="184980A1" w14:textId="59805F5C" w:rsidR="007413B1" w:rsidRPr="00A63613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  <w:tc>
          <w:tcPr>
            <w:tcW w:w="2632" w:type="dxa"/>
          </w:tcPr>
          <w:p w14:paraId="56D859A8" w14:textId="4F2F88D7" w:rsidR="007413B1" w:rsidRPr="00A63613" w:rsidRDefault="00622269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Die Wahrscheinlichkeit einer Münze, Kopf zu zeigen, entspricht ihrer i</w:t>
            </w:r>
            <w:r w:rsidR="007413B1" w:rsidRPr="00A63613">
              <w:rPr>
                <w:rFonts w:ascii="CMU Bright" w:hAnsi="CMU Bright" w:cs="CMU Bright"/>
                <w:sz w:val="16"/>
                <w:szCs w:val="16"/>
              </w:rPr>
              <w:t>nhärente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>n</w:t>
            </w:r>
            <w:r w:rsidR="007413B1" w:rsidRPr="00A63613">
              <w:rPr>
                <w:rFonts w:ascii="CMU Bright" w:hAnsi="CMU Bright" w:cs="CMU Bright"/>
                <w:sz w:val="16"/>
                <w:szCs w:val="16"/>
              </w:rPr>
              <w:t xml:space="preserve"> physische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>n</w:t>
            </w:r>
            <w:r w:rsidR="007413B1" w:rsidRPr="00A63613">
              <w:rPr>
                <w:rFonts w:ascii="CMU Bright" w:hAnsi="CMU Bright" w:cs="CMU Bright"/>
                <w:sz w:val="16"/>
                <w:szCs w:val="16"/>
              </w:rPr>
              <w:t xml:space="preserve"> Neigung</w:t>
            </w:r>
            <w:r w:rsidRPr="00A63613">
              <w:rPr>
                <w:rFonts w:ascii="CMU Bright" w:hAnsi="CMU Bright" w:cs="CMU Bright"/>
                <w:sz w:val="16"/>
                <w:szCs w:val="16"/>
              </w:rPr>
              <w:t xml:space="preserve"> im Schwerefeld der Erde Kopf zeigend zu landen</w:t>
            </w:r>
            <w:r w:rsidR="00686ADE" w:rsidRPr="00A63613">
              <w:rPr>
                <w:rFonts w:ascii="CMU Bright" w:hAnsi="CMU Bright" w:cs="CMU Bright"/>
                <w:sz w:val="16"/>
                <w:szCs w:val="16"/>
              </w:rPr>
              <w:t>.</w:t>
            </w:r>
          </w:p>
        </w:tc>
        <w:tc>
          <w:tcPr>
            <w:tcW w:w="2112" w:type="dxa"/>
          </w:tcPr>
          <w:p w14:paraId="44F47293" w14:textId="1A3E508D" w:rsidR="007413B1" w:rsidRPr="00A63613" w:rsidRDefault="00622269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Kausale Inferenz</w:t>
            </w:r>
          </w:p>
        </w:tc>
        <w:tc>
          <w:tcPr>
            <w:tcW w:w="2557" w:type="dxa"/>
          </w:tcPr>
          <w:p w14:paraId="70DC447F" w14:textId="2A789935" w:rsidR="007413B1" w:rsidRPr="00A63613" w:rsidRDefault="002F456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Zusammenhang zu relativen Häufigkeiten oder physikalischen Theorien nicht unmittelbar klar.</w:t>
            </w:r>
          </w:p>
        </w:tc>
        <w:tc>
          <w:tcPr>
            <w:tcW w:w="2120" w:type="dxa"/>
          </w:tcPr>
          <w:p w14:paraId="6769BC45" w14:textId="77777777" w:rsidR="007413B1" w:rsidRPr="00A63613" w:rsidRDefault="002F456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Peirce (1910)</w:t>
            </w:r>
          </w:p>
          <w:p w14:paraId="4BF82B06" w14:textId="77777777" w:rsidR="002F4561" w:rsidRPr="00A63613" w:rsidRDefault="002F456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Popper (1957)</w:t>
            </w:r>
          </w:p>
          <w:p w14:paraId="4D3CA6D6" w14:textId="266CC491" w:rsidR="002F4561" w:rsidRPr="00A63613" w:rsidRDefault="002F4561" w:rsidP="0034256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A63613">
              <w:rPr>
                <w:rFonts w:ascii="CMU Bright" w:hAnsi="CMU Bright" w:cs="CMU Bright"/>
                <w:sz w:val="16"/>
                <w:szCs w:val="16"/>
              </w:rPr>
              <w:t>Gillies (2000)</w:t>
            </w:r>
          </w:p>
        </w:tc>
      </w:tr>
      <w:tr w:rsidR="00686ADE" w14:paraId="67229B5B" w14:textId="77777777" w:rsidTr="00686ADE">
        <w:tc>
          <w:tcPr>
            <w:tcW w:w="10422" w:type="dxa"/>
            <w:gridSpan w:val="5"/>
          </w:tcPr>
          <w:p w14:paraId="72716698" w14:textId="77777777" w:rsidR="00686ADE" w:rsidRDefault="00686ADE" w:rsidP="00686ADE">
            <w:pPr>
              <w:rPr>
                <w:rFonts w:ascii="CMU Bright" w:hAnsi="CMU Bright" w:cs="CMU Bright"/>
                <w:b/>
                <w:bCs/>
                <w:sz w:val="20"/>
                <w:szCs w:val="20"/>
              </w:rPr>
            </w:pPr>
          </w:p>
          <w:p w14:paraId="0379BFB2" w14:textId="18B08CDB" w:rsidR="00686ADE" w:rsidRDefault="00686ADE" w:rsidP="00686ADE">
            <w:pPr>
              <w:rPr>
                <w:rFonts w:ascii="CMU Bright" w:hAnsi="CMU Bright" w:cs="CMU Brigh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MU Bright" w:hAnsi="CMU Bright" w:cs="CMU Bright"/>
                <w:b/>
                <w:bCs/>
                <w:sz w:val="20"/>
                <w:szCs w:val="20"/>
              </w:rPr>
              <w:t>Evidenzielle</w:t>
            </w:r>
            <w:proofErr w:type="spellEnd"/>
            <w:r>
              <w:rPr>
                <w:rFonts w:ascii="CMU Bright" w:hAnsi="CMU Bright" w:cs="CMU Bright"/>
                <w:b/>
                <w:bCs/>
                <w:sz w:val="20"/>
                <w:szCs w:val="20"/>
              </w:rPr>
              <w:t xml:space="preserve"> </w:t>
            </w:r>
            <w:r w:rsidR="008F0FBD">
              <w:rPr>
                <w:rFonts w:ascii="CMU Bright" w:hAnsi="CMU Bright" w:cs="CMU Bright"/>
                <w:b/>
                <w:bCs/>
                <w:sz w:val="20"/>
                <w:szCs w:val="20"/>
              </w:rPr>
              <w:t>Int</w:t>
            </w:r>
            <w:r>
              <w:rPr>
                <w:rFonts w:ascii="CMU Bright" w:hAnsi="CMU Bright" w:cs="CMU Bright"/>
                <w:b/>
                <w:bCs/>
                <w:sz w:val="20"/>
                <w:szCs w:val="20"/>
              </w:rPr>
              <w:t>erpretationen</w:t>
            </w:r>
          </w:p>
          <w:p w14:paraId="3602156D" w14:textId="77777777" w:rsidR="00686ADE" w:rsidRPr="00993E83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</w:tr>
      <w:tr w:rsidR="00686ADE" w14:paraId="4C266204" w14:textId="77777777" w:rsidTr="0034256E">
        <w:tc>
          <w:tcPr>
            <w:tcW w:w="1001" w:type="dxa"/>
          </w:tcPr>
          <w:p w14:paraId="7E782CB2" w14:textId="77777777" w:rsidR="00686ADE" w:rsidRPr="00993E83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</w:p>
        </w:tc>
        <w:tc>
          <w:tcPr>
            <w:tcW w:w="2632" w:type="dxa"/>
          </w:tcPr>
          <w:p w14:paraId="6357B2D4" w14:textId="4AA22ECC" w:rsidR="00686AD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B772C">
              <w:rPr>
                <w:rFonts w:ascii="CMU Bright" w:hAnsi="CMU Bright" w:cs="CMU Bright"/>
                <w:b/>
                <w:bCs/>
                <w:sz w:val="20"/>
                <w:szCs w:val="20"/>
              </w:rPr>
              <w:t>Intuition</w:t>
            </w:r>
          </w:p>
        </w:tc>
        <w:tc>
          <w:tcPr>
            <w:tcW w:w="2112" w:type="dxa"/>
          </w:tcPr>
          <w:p w14:paraId="36746D1F" w14:textId="7F4429E6" w:rsidR="00686AD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B772C">
              <w:rPr>
                <w:rFonts w:ascii="CMU Bright" w:hAnsi="CMU Bright" w:cs="CMU Bright"/>
                <w:b/>
                <w:bCs/>
                <w:sz w:val="20"/>
                <w:szCs w:val="20"/>
              </w:rPr>
              <w:t>Anwendungsfeld</w:t>
            </w:r>
            <w:r>
              <w:rPr>
                <w:rFonts w:ascii="CMU Bright" w:hAnsi="CMU Bright" w:cs="CMU Bright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7" w:type="dxa"/>
          </w:tcPr>
          <w:p w14:paraId="2B8B0CA3" w14:textId="11CE7065" w:rsidR="00686ADE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B772C">
              <w:rPr>
                <w:rFonts w:ascii="CMU Bright" w:hAnsi="CMU Bright" w:cs="CMU Bright"/>
                <w:b/>
                <w:bCs/>
                <w:sz w:val="20"/>
                <w:szCs w:val="20"/>
              </w:rPr>
              <w:t>Probleme</w:t>
            </w:r>
          </w:p>
        </w:tc>
        <w:tc>
          <w:tcPr>
            <w:tcW w:w="2120" w:type="dxa"/>
          </w:tcPr>
          <w:p w14:paraId="1070A2E8" w14:textId="37BA802C" w:rsidR="00686ADE" w:rsidRPr="00993E83" w:rsidRDefault="00686AD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3B772C">
              <w:rPr>
                <w:rFonts w:ascii="CMU Bright" w:hAnsi="CMU Bright" w:cs="CMU Bright"/>
                <w:b/>
                <w:bCs/>
                <w:sz w:val="20"/>
                <w:szCs w:val="20"/>
              </w:rPr>
              <w:t>Referenzen</w:t>
            </w:r>
          </w:p>
        </w:tc>
      </w:tr>
      <w:tr w:rsidR="00686ADE" w14:paraId="527D4F31" w14:textId="77777777" w:rsidTr="0034256E">
        <w:tc>
          <w:tcPr>
            <w:tcW w:w="1001" w:type="dxa"/>
          </w:tcPr>
          <w:p w14:paraId="35AEE021" w14:textId="14DF7A2E" w:rsidR="007413B1" w:rsidRPr="00993E83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Klassisch</w:t>
            </w:r>
          </w:p>
        </w:tc>
        <w:tc>
          <w:tcPr>
            <w:tcW w:w="2632" w:type="dxa"/>
          </w:tcPr>
          <w:p w14:paraId="10D92550" w14:textId="3008DA1E" w:rsidR="007413B1" w:rsidRPr="00993E83" w:rsidRDefault="00E67E9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In Abwesenheit weiterer Information sind die Wahrscheinlichkeiten einer Münze</w:t>
            </w:r>
            <w:r w:rsidR="00C81BB9">
              <w:rPr>
                <w:rFonts w:ascii="CMU Bright" w:hAnsi="CMU Bright" w:cs="CMU Bright"/>
                <w:sz w:val="16"/>
                <w:szCs w:val="16"/>
              </w:rPr>
              <w:t>,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Kopf oder Zahl zu zeigen</w:t>
            </w:r>
            <w:r w:rsidR="00C81BB9">
              <w:rPr>
                <w:rFonts w:ascii="CMU Bright" w:hAnsi="CMU Bright" w:cs="CMU Bright"/>
                <w:sz w:val="16"/>
                <w:szCs w:val="16"/>
              </w:rPr>
              <w:t>,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gleich.</w:t>
            </w:r>
          </w:p>
        </w:tc>
        <w:tc>
          <w:tcPr>
            <w:tcW w:w="2112" w:type="dxa"/>
          </w:tcPr>
          <w:p w14:paraId="757920F0" w14:textId="6E088700" w:rsidR="007413B1" w:rsidRPr="00993E83" w:rsidRDefault="00657C1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Glücksspiele</w:t>
            </w:r>
            <w:r w:rsidR="00C835DD">
              <w:rPr>
                <w:rFonts w:ascii="CMU Bright" w:hAnsi="CMU Bright" w:cs="CMU Bright"/>
                <w:sz w:val="16"/>
                <w:szCs w:val="16"/>
              </w:rPr>
              <w:t>,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Lehrb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>ücher</w:t>
            </w:r>
          </w:p>
        </w:tc>
        <w:tc>
          <w:tcPr>
            <w:tcW w:w="2557" w:type="dxa"/>
          </w:tcPr>
          <w:p w14:paraId="42F17DD7" w14:textId="70E0F824" w:rsidR="007413B1" w:rsidRPr="00993E83" w:rsidRDefault="00657C1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Beschränkung auf endliche Ergebnisräume</w:t>
            </w:r>
          </w:p>
        </w:tc>
        <w:tc>
          <w:tcPr>
            <w:tcW w:w="2120" w:type="dxa"/>
          </w:tcPr>
          <w:p w14:paraId="0C5B89EA" w14:textId="77777777" w:rsidR="00C835DD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Laplace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 xml:space="preserve"> (1814)</w:t>
            </w:r>
            <w:r w:rsidR="00657C1E">
              <w:rPr>
                <w:rFonts w:ascii="CMU Bright" w:hAnsi="CMU Bright" w:cs="CMU Bright"/>
                <w:sz w:val="16"/>
                <w:szCs w:val="16"/>
              </w:rPr>
              <w:t xml:space="preserve"> </w:t>
            </w:r>
          </w:p>
          <w:p w14:paraId="45757540" w14:textId="7C2AADD4" w:rsidR="007413B1" w:rsidRPr="00993E83" w:rsidRDefault="00657C1E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Jaynes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 xml:space="preserve"> (1968)</w:t>
            </w:r>
          </w:p>
        </w:tc>
      </w:tr>
      <w:tr w:rsidR="00686ADE" w14:paraId="0266C29A" w14:textId="77777777" w:rsidTr="0034256E">
        <w:tc>
          <w:tcPr>
            <w:tcW w:w="1001" w:type="dxa"/>
            <w:tcBorders>
              <w:bottom w:val="single" w:sz="4" w:space="0" w:color="auto"/>
            </w:tcBorders>
          </w:tcPr>
          <w:p w14:paraId="2C53E2EB" w14:textId="42534DB4" w:rsidR="007413B1" w:rsidRPr="00993E83" w:rsidRDefault="007413B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pacing w:val="-2"/>
                <w:sz w:val="16"/>
                <w:szCs w:val="16"/>
              </w:rPr>
              <w:t>Subjektiv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29351C3A" w14:textId="2BC2B2D6" w:rsidR="007413B1" w:rsidRPr="00993E83" w:rsidRDefault="00993E83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Die Wahrscheinlichkeit einer Münze, Kopf zu zeigen, entspricht de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>m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 xml:space="preserve"> subjektiven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 xml:space="preserve"> Grad 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>der Unsicherheit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>, dem ein B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>eobachter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 xml:space="preserve"> dem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 xml:space="preserve"> Ausgang eines Münzwurfs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 xml:space="preserve"> zuweist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>.</w:t>
            </w:r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7588A227" w14:textId="7F129D3D" w:rsidR="007413B1" w:rsidRPr="00993E83" w:rsidRDefault="00AA0F8B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Bayesianische Inferenz</w:t>
            </w:r>
          </w:p>
        </w:tc>
        <w:tc>
          <w:tcPr>
            <w:tcW w:w="2557" w:type="dxa"/>
            <w:tcBorders>
              <w:bottom w:val="single" w:sz="4" w:space="0" w:color="auto"/>
            </w:tcBorders>
          </w:tcPr>
          <w:p w14:paraId="15C19E24" w14:textId="4A625C11" w:rsidR="007413B1" w:rsidRPr="00993E83" w:rsidRDefault="003B772C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Keine prinzipielle Beschränkung auf axiomatisch valide Wahrscheinlichkeiten</w:t>
            </w:r>
          </w:p>
        </w:tc>
        <w:tc>
          <w:tcPr>
            <w:tcW w:w="2120" w:type="dxa"/>
            <w:tcBorders>
              <w:bottom w:val="single" w:sz="4" w:space="0" w:color="auto"/>
            </w:tcBorders>
          </w:tcPr>
          <w:p w14:paraId="3FDC9B2D" w14:textId="585FF7BC" w:rsidR="007413B1" w:rsidRPr="00993E83" w:rsidRDefault="002F456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DeFinetti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 xml:space="preserve"> (1980)</w:t>
            </w:r>
          </w:p>
        </w:tc>
      </w:tr>
      <w:tr w:rsidR="00686ADE" w14:paraId="3563D3E7" w14:textId="77777777" w:rsidTr="0034256E"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</w:tcPr>
          <w:p w14:paraId="3B4451D5" w14:textId="6582033D" w:rsidR="00AA0F8B" w:rsidRPr="00993E83" w:rsidRDefault="00AA0F8B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pacing w:val="-2"/>
                <w:sz w:val="16"/>
                <w:szCs w:val="16"/>
              </w:rPr>
              <w:t>Epistemisch</w:t>
            </w:r>
          </w:p>
        </w:tc>
        <w:tc>
          <w:tcPr>
            <w:tcW w:w="2632" w:type="dxa"/>
            <w:tcBorders>
              <w:top w:val="single" w:sz="4" w:space="0" w:color="auto"/>
              <w:bottom w:val="single" w:sz="4" w:space="0" w:color="auto"/>
            </w:tcBorders>
          </w:tcPr>
          <w:p w14:paraId="47042196" w14:textId="7001DC5A" w:rsidR="00AA0F8B" w:rsidRPr="00993E83" w:rsidRDefault="002F456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Die Wahrscheinlichkeit einer Münze, Kopf zu zeigen, entspricht de</w:t>
            </w:r>
            <w:r>
              <w:rPr>
                <w:rFonts w:ascii="CMU Bright" w:hAnsi="CMU Bright" w:cs="CMU Bright"/>
                <w:sz w:val="16"/>
                <w:szCs w:val="16"/>
              </w:rPr>
              <w:t>m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 xml:space="preserve"> subjektiven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Grad 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>der Unsicherheit</w:t>
            </w:r>
            <w:r>
              <w:rPr>
                <w:rFonts w:ascii="CMU Bright" w:hAnsi="CMU Bright" w:cs="CMU Bright"/>
                <w:sz w:val="16"/>
                <w:szCs w:val="16"/>
              </w:rPr>
              <w:t>, dem ein rationaler B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>eobachter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dem</w:t>
            </w:r>
            <w:r w:rsidRPr="00993E83">
              <w:rPr>
                <w:rFonts w:ascii="CMU Bright" w:hAnsi="CMU Bright" w:cs="CMU Bright"/>
                <w:sz w:val="16"/>
                <w:szCs w:val="16"/>
              </w:rPr>
              <w:t xml:space="preserve"> Ausgang eines Münzwurfs</w:t>
            </w:r>
            <w:r>
              <w:rPr>
                <w:rFonts w:ascii="CMU Bright" w:hAnsi="CMU Bright" w:cs="CMU Bright"/>
                <w:sz w:val="16"/>
                <w:szCs w:val="16"/>
              </w:rPr>
              <w:t xml:space="preserve"> zuweist</w:t>
            </w:r>
            <w:r w:rsidR="00686ADE">
              <w:rPr>
                <w:rFonts w:ascii="CMU Bright" w:hAnsi="CMU Bright" w:cs="CMU Bright"/>
                <w:sz w:val="16"/>
                <w:szCs w:val="16"/>
              </w:rPr>
              <w:t>.</w:t>
            </w:r>
          </w:p>
        </w:tc>
        <w:tc>
          <w:tcPr>
            <w:tcW w:w="2112" w:type="dxa"/>
            <w:tcBorders>
              <w:top w:val="single" w:sz="4" w:space="0" w:color="auto"/>
              <w:bottom w:val="single" w:sz="4" w:space="0" w:color="auto"/>
            </w:tcBorders>
          </w:tcPr>
          <w:p w14:paraId="048953BC" w14:textId="08273456" w:rsidR="00AA0F8B" w:rsidRPr="00993E83" w:rsidRDefault="00AA0F8B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Bayesianische Inferenz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235DF76A" w14:textId="1E4A2ABE" w:rsidR="00AA0F8B" w:rsidRPr="00993E83" w:rsidRDefault="003B772C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Zusammenhang zu relativen Häufigkeiten oder physikalischen Theorien nicht unmittelbar klar</w:t>
            </w: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</w:tcPr>
          <w:p w14:paraId="02F1D6E1" w14:textId="250CF3F8" w:rsidR="003B772C" w:rsidRDefault="00AA0F8B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 w:rsidRPr="00993E83">
              <w:rPr>
                <w:rFonts w:ascii="CMU Bright" w:hAnsi="CMU Bright" w:cs="CMU Bright"/>
                <w:sz w:val="16"/>
                <w:szCs w:val="16"/>
              </w:rPr>
              <w:t>Ramsey</w:t>
            </w:r>
            <w:r w:rsidR="002F4561">
              <w:rPr>
                <w:rFonts w:ascii="CMU Bright" w:hAnsi="CMU Bright" w:cs="CMU Bright"/>
                <w:sz w:val="16"/>
                <w:szCs w:val="16"/>
              </w:rPr>
              <w:t xml:space="preserve"> 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>(1926)</w:t>
            </w:r>
          </w:p>
          <w:p w14:paraId="07901E51" w14:textId="511515CE" w:rsidR="00AA0F8B" w:rsidRDefault="002F456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Savage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 xml:space="preserve"> (1954)</w:t>
            </w:r>
          </w:p>
          <w:p w14:paraId="66E9661C" w14:textId="083414F8" w:rsidR="002F4561" w:rsidRPr="00993E83" w:rsidRDefault="002F4561" w:rsidP="00686ADE">
            <w:pPr>
              <w:rPr>
                <w:rFonts w:ascii="CMU Bright" w:hAnsi="CMU Bright" w:cs="CMU Bright"/>
                <w:sz w:val="16"/>
                <w:szCs w:val="16"/>
              </w:rPr>
            </w:pPr>
            <w:r>
              <w:rPr>
                <w:rFonts w:ascii="CMU Bright" w:hAnsi="CMU Bright" w:cs="CMU Bright"/>
                <w:sz w:val="16"/>
                <w:szCs w:val="16"/>
              </w:rPr>
              <w:t>Jeffreys</w:t>
            </w:r>
            <w:r w:rsidR="003B772C">
              <w:rPr>
                <w:rFonts w:ascii="CMU Bright" w:hAnsi="CMU Bright" w:cs="CMU Bright"/>
                <w:sz w:val="16"/>
                <w:szCs w:val="16"/>
              </w:rPr>
              <w:t xml:space="preserve"> (1961)</w:t>
            </w:r>
          </w:p>
        </w:tc>
      </w:tr>
    </w:tbl>
    <w:p w14:paraId="377F5B84" w14:textId="0996944B" w:rsidR="00AF71CD" w:rsidRDefault="00AF71CD" w:rsidP="00686ADE"/>
    <w:sectPr w:rsidR="00AF71CD" w:rsidSect="00686ADE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Bright">
    <w:altName w:val="Mongolian Baiti"/>
    <w:panose1 w:val="02000603000000000000"/>
    <w:charset w:val="00"/>
    <w:family w:val="modern"/>
    <w:notTrueType/>
    <w:pitch w:val="variable"/>
    <w:sig w:usb0="E10002FF" w:usb1="5201E9EB" w:usb2="00020004" w:usb3="00000000" w:csb0="000001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B1"/>
    <w:rsid w:val="00081954"/>
    <w:rsid w:val="002F4561"/>
    <w:rsid w:val="0034256E"/>
    <w:rsid w:val="0038284E"/>
    <w:rsid w:val="003B772C"/>
    <w:rsid w:val="003D2935"/>
    <w:rsid w:val="005331CF"/>
    <w:rsid w:val="00622269"/>
    <w:rsid w:val="00657C1E"/>
    <w:rsid w:val="00686ADE"/>
    <w:rsid w:val="006B3BD1"/>
    <w:rsid w:val="007413B1"/>
    <w:rsid w:val="007E1C1D"/>
    <w:rsid w:val="0081494E"/>
    <w:rsid w:val="008E5243"/>
    <w:rsid w:val="008F0FBD"/>
    <w:rsid w:val="00993E83"/>
    <w:rsid w:val="00A63613"/>
    <w:rsid w:val="00AA0F8B"/>
    <w:rsid w:val="00AF71CD"/>
    <w:rsid w:val="00C81BB9"/>
    <w:rsid w:val="00C835DD"/>
    <w:rsid w:val="00C873A3"/>
    <w:rsid w:val="00DC3E7D"/>
    <w:rsid w:val="00E67E91"/>
    <w:rsid w:val="00F3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76A4"/>
  <w15:chartTrackingRefBased/>
  <w15:docId w15:val="{830DC193-802A-4A4B-B459-56666397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13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13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13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13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13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13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13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13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13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13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13B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41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1807</Characters>
  <Application>Microsoft Office Word</Application>
  <DocSecurity>0</DocSecurity>
  <Lines>100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Ostwald</dc:creator>
  <cp:keywords/>
  <dc:description/>
  <cp:lastModifiedBy>Dirk Ostwald</cp:lastModifiedBy>
  <cp:revision>6</cp:revision>
  <cp:lastPrinted>2024-10-22T07:58:00Z</cp:lastPrinted>
  <dcterms:created xsi:type="dcterms:W3CDTF">2024-10-22T07:59:00Z</dcterms:created>
  <dcterms:modified xsi:type="dcterms:W3CDTF">2026-10-13T05:10:00Z</dcterms:modified>
</cp:coreProperties>
</file>