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B3586F">
      <w:pPr>
        <w:jc w:val="center"/>
        <w:rPr>
          <w:rFonts w:eastAsia="方正仿宋_GBK"/>
          <w:spacing w:val="20"/>
          <w:sz w:val="36"/>
          <w:szCs w:val="36"/>
        </w:rPr>
      </w:pPr>
      <w:bookmarkStart w:id="0" w:name="_GoBack"/>
      <w:bookmarkEnd w:id="0"/>
    </w:p>
    <w:p w14:paraId="5DC067FC">
      <w:pPr>
        <w:rPr>
          <w:rFonts w:eastAsia="方正仿宋_GBK"/>
          <w:spacing w:val="20"/>
          <w:sz w:val="36"/>
          <w:szCs w:val="36"/>
        </w:rPr>
      </w:pPr>
    </w:p>
    <w:p w14:paraId="4B2D8845">
      <w:pPr>
        <w:jc w:val="center"/>
        <w:rPr>
          <w:rFonts w:eastAsia="方正仿宋_GBK"/>
          <w:spacing w:val="20"/>
          <w:sz w:val="36"/>
          <w:szCs w:val="36"/>
        </w:rPr>
      </w:pPr>
    </w:p>
    <w:p w14:paraId="796AF71A">
      <w:pPr>
        <w:jc w:val="center"/>
        <w:rPr>
          <w:rFonts w:hint="default" w:eastAsia="方正小标宋_GBK"/>
          <w:spacing w:val="20"/>
          <w:sz w:val="36"/>
          <w:szCs w:val="36"/>
          <w:lang w:val="en-US" w:eastAsia="zh-CN"/>
        </w:rPr>
      </w:pPr>
      <w:r>
        <w:rPr>
          <w:rFonts w:hint="eastAsia" w:eastAsia="方正小标宋_GBK"/>
          <w:spacing w:val="20"/>
          <w:sz w:val="36"/>
          <w:szCs w:val="36"/>
          <w:lang w:val="en-US" w:eastAsia="zh-CN"/>
        </w:rPr>
        <w:t>专  题  研  学  报  告</w:t>
      </w:r>
    </w:p>
    <w:p w14:paraId="0104A0DB">
      <w:pPr>
        <w:jc w:val="center"/>
        <w:rPr>
          <w:rFonts w:eastAsia="方正仿宋_GBK"/>
          <w:spacing w:val="20"/>
          <w:sz w:val="36"/>
          <w:szCs w:val="36"/>
        </w:rPr>
      </w:pPr>
    </w:p>
    <w:p w14:paraId="41938425">
      <w:pPr>
        <w:spacing w:line="480" w:lineRule="exact"/>
        <w:rPr>
          <w:rFonts w:eastAsia="方正仿宋_GBK"/>
          <w:sz w:val="24"/>
        </w:rPr>
      </w:pPr>
    </w:p>
    <w:p w14:paraId="1B66C478">
      <w:pPr>
        <w:spacing w:line="480" w:lineRule="exact"/>
        <w:rPr>
          <w:rFonts w:eastAsia="方正仿宋_GBK"/>
          <w:sz w:val="24"/>
        </w:rPr>
      </w:pPr>
    </w:p>
    <w:p w14:paraId="1BD8CD0F">
      <w:pPr>
        <w:spacing w:line="480" w:lineRule="exact"/>
        <w:rPr>
          <w:rFonts w:eastAsia="方正仿宋_GBK"/>
          <w:sz w:val="24"/>
        </w:rPr>
      </w:pPr>
    </w:p>
    <w:p w14:paraId="5E05FF19">
      <w:pPr>
        <w:spacing w:line="480" w:lineRule="exact"/>
        <w:rPr>
          <w:rFonts w:eastAsia="方正仿宋_GBK"/>
          <w:sz w:val="32"/>
          <w:szCs w:val="32"/>
        </w:rPr>
      </w:pPr>
    </w:p>
    <w:p w14:paraId="7C691286">
      <w:pPr>
        <w:spacing w:line="480" w:lineRule="exact"/>
        <w:rPr>
          <w:rFonts w:eastAsia="方正仿宋_GBK"/>
          <w:sz w:val="32"/>
          <w:szCs w:val="32"/>
        </w:rPr>
      </w:pPr>
    </w:p>
    <w:p w14:paraId="07012627">
      <w:pPr>
        <w:spacing w:line="480" w:lineRule="exact"/>
        <w:rPr>
          <w:rFonts w:hint="eastAsia" w:eastAsia="方正仿宋_GBK"/>
          <w:sz w:val="32"/>
          <w:szCs w:val="32"/>
          <w:lang w:val="en-US" w:eastAsia="zh-CN"/>
        </w:rPr>
      </w:pPr>
    </w:p>
    <w:p w14:paraId="1DCF6A1C">
      <w:pPr>
        <w:spacing w:line="480" w:lineRule="exact"/>
        <w:rPr>
          <w:rFonts w:hint="eastAsia" w:eastAsia="方正仿宋_GBK"/>
          <w:sz w:val="32"/>
          <w:szCs w:val="32"/>
          <w:lang w:val="en-US" w:eastAsia="zh-CN"/>
        </w:rPr>
      </w:pPr>
    </w:p>
    <w:p w14:paraId="66294553">
      <w:pPr>
        <w:spacing w:line="480" w:lineRule="exact"/>
        <w:rPr>
          <w:rFonts w:hint="eastAsia" w:eastAsia="方正仿宋_GBK"/>
          <w:sz w:val="32"/>
          <w:szCs w:val="32"/>
          <w:lang w:val="en-US" w:eastAsia="zh-CN"/>
        </w:rPr>
      </w:pPr>
    </w:p>
    <w:p w14:paraId="38CF81AE">
      <w:pPr>
        <w:spacing w:line="480" w:lineRule="exact"/>
        <w:rPr>
          <w:rFonts w:hint="eastAsia" w:ascii="方正楷体_GB2312" w:hAnsi="方正楷体_GB2312" w:eastAsia="方正楷体_GB2312" w:cs="方正楷体_GB2312"/>
          <w:sz w:val="32"/>
          <w:szCs w:val="32"/>
          <w:u w:val="single"/>
          <w:lang w:val="en-US" w:eastAsia="zh-CN"/>
        </w:rPr>
      </w:pPr>
      <w:r>
        <w:rPr>
          <w:rFonts w:hint="eastAsia" w:eastAsia="方正仿宋_GBK"/>
          <w:sz w:val="32"/>
          <w:szCs w:val="32"/>
          <w:lang w:val="en-US" w:eastAsia="zh-CN"/>
        </w:rPr>
        <w:t>小组成员</w:t>
      </w:r>
      <w:r>
        <w:rPr>
          <w:rFonts w:eastAsia="方正仿宋_GBK"/>
          <w:sz w:val="32"/>
          <w:szCs w:val="32"/>
        </w:rPr>
        <w:t>：</w:t>
      </w:r>
      <w:r>
        <w:rPr>
          <w:rFonts w:hint="eastAsia" w:ascii="方正楷体_GB2312" w:hAnsi="方正楷体_GB2312" w:eastAsia="方正楷体_GB2312" w:cs="方正楷体_GB2312"/>
          <w:sz w:val="32"/>
          <w:szCs w:val="32"/>
          <w:u w:val="single"/>
          <w:lang w:val="en-US" w:eastAsia="zh-CN"/>
        </w:rPr>
        <w:t>徐贡权(2024210109)  冯汉禹(2024210097)</w:t>
      </w:r>
    </w:p>
    <w:p w14:paraId="55D94E1F">
      <w:pPr>
        <w:spacing w:line="480" w:lineRule="exact"/>
        <w:rPr>
          <w:rFonts w:hint="eastAsia" w:ascii="方正楷体_GB2312" w:hAnsi="方正楷体_GB2312" w:eastAsia="方正楷体_GB2312" w:cs="方正楷体_GB2312"/>
          <w:sz w:val="32"/>
          <w:szCs w:val="32"/>
          <w:lang w:val="en-US" w:eastAsia="zh-CN"/>
        </w:rPr>
      </w:pPr>
      <w:r>
        <w:rPr>
          <w:rFonts w:hint="eastAsia" w:ascii="方正楷体_GB2312" w:hAnsi="方正楷体_GB2312" w:eastAsia="方正楷体_GB2312" w:cs="方正楷体_GB2312"/>
          <w:sz w:val="32"/>
          <w:szCs w:val="32"/>
          <w:lang w:val="en-US" w:eastAsia="zh-CN"/>
        </w:rPr>
        <w:t xml:space="preserve">          </w:t>
      </w:r>
    </w:p>
    <w:p w14:paraId="7C21E4CF">
      <w:pPr>
        <w:spacing w:line="480" w:lineRule="exact"/>
        <w:rPr>
          <w:rFonts w:hint="eastAsia" w:ascii="方正楷体_GB2312" w:hAnsi="方正楷体_GB2312" w:eastAsia="方正楷体_GB2312" w:cs="方正楷体_GB2312"/>
          <w:sz w:val="32"/>
          <w:szCs w:val="32"/>
          <w:u w:val="single"/>
          <w:lang w:val="en-US" w:eastAsia="zh-CN"/>
        </w:rPr>
      </w:pPr>
      <w:r>
        <w:rPr>
          <w:rFonts w:hint="eastAsia" w:ascii="方正楷体_GB2312" w:hAnsi="方正楷体_GB2312" w:eastAsia="方正楷体_GB2312" w:cs="方正楷体_GB2312"/>
          <w:sz w:val="32"/>
          <w:szCs w:val="32"/>
          <w:lang w:val="en-US" w:eastAsia="zh-CN"/>
        </w:rPr>
        <w:t xml:space="preserve">          </w:t>
      </w:r>
      <w:r>
        <w:rPr>
          <w:rFonts w:hint="eastAsia" w:ascii="方正楷体_GB2312" w:hAnsi="方正楷体_GB2312" w:eastAsia="方正楷体_GB2312" w:cs="方正楷体_GB2312"/>
          <w:sz w:val="32"/>
          <w:szCs w:val="32"/>
          <w:u w:val="single"/>
          <w:lang w:val="en-US" w:eastAsia="zh-CN"/>
        </w:rPr>
        <w:t xml:space="preserve"> 雷浩(2024210104)   刘轩宇(2024210071)</w:t>
      </w:r>
    </w:p>
    <w:p w14:paraId="019A488B">
      <w:pPr>
        <w:bidi w:val="0"/>
        <w:rPr>
          <w:rFonts w:hint="eastAsia"/>
          <w:sz w:val="32"/>
          <w:szCs w:val="32"/>
          <w:lang w:val="en-US" w:eastAsia="zh-CN"/>
        </w:rPr>
      </w:pPr>
      <w:r>
        <w:rPr>
          <w:rFonts w:hint="eastAsia"/>
          <w:sz w:val="32"/>
          <w:szCs w:val="32"/>
          <w:lang w:val="en-US" w:eastAsia="zh-CN"/>
        </w:rPr>
        <w:t xml:space="preserve">   </w:t>
      </w:r>
    </w:p>
    <w:p w14:paraId="383A8CDC">
      <w:pPr>
        <w:bidi w:val="0"/>
        <w:jc w:val="both"/>
        <w:rPr>
          <w:rFonts w:hint="default" w:ascii="方正楷体_GB2312" w:hAnsi="方正楷体_GB2312" w:eastAsia="方正楷体_GB2312" w:cs="方正楷体_GB2312"/>
          <w:sz w:val="32"/>
          <w:szCs w:val="32"/>
          <w:u w:val="single"/>
          <w:lang w:val="en-US" w:eastAsia="zh-CN"/>
        </w:rPr>
      </w:pPr>
      <w:r>
        <w:rPr>
          <w:rFonts w:hint="eastAsia" w:eastAsia="方正仿宋_GBK"/>
          <w:sz w:val="32"/>
          <w:szCs w:val="32"/>
        </w:rPr>
        <w:t>学</w:t>
      </w:r>
      <w:r>
        <w:rPr>
          <w:rFonts w:hint="eastAsia" w:eastAsia="方正仿宋_GBK"/>
          <w:sz w:val="32"/>
          <w:szCs w:val="32"/>
          <w:lang w:val="en-US" w:eastAsia="zh-CN"/>
        </w:rPr>
        <w:t xml:space="preserve">    </w:t>
      </w:r>
      <w:r>
        <w:rPr>
          <w:rFonts w:hint="eastAsia" w:eastAsia="方正仿宋_GBK"/>
          <w:sz w:val="32"/>
          <w:szCs w:val="32"/>
        </w:rPr>
        <w:t>院</w:t>
      </w:r>
      <w:r>
        <w:rPr>
          <w:rFonts w:hint="eastAsia" w:eastAsia="方正仿宋_GBK"/>
          <w:sz w:val="32"/>
          <w:szCs w:val="32"/>
          <w:lang w:eastAsia="zh-CN"/>
        </w:rPr>
        <w:t>：</w:t>
      </w:r>
      <w:r>
        <w:rPr>
          <w:rFonts w:hint="eastAsia" w:eastAsia="方正仿宋_GBK"/>
          <w:sz w:val="32"/>
          <w:szCs w:val="32"/>
          <w:u w:val="single"/>
          <w:lang w:val="en-US" w:eastAsia="zh-CN"/>
        </w:rPr>
        <w:t xml:space="preserve">         </w:t>
      </w:r>
      <w:r>
        <w:rPr>
          <w:rFonts w:hint="eastAsia" w:ascii="方正楷体_GB2312" w:hAnsi="方正楷体_GB2312" w:eastAsia="方正楷体_GB2312" w:cs="方正楷体_GB2312"/>
          <w:sz w:val="32"/>
          <w:szCs w:val="32"/>
          <w:u w:val="single"/>
          <w:lang w:val="en-US" w:eastAsia="zh-CN"/>
        </w:rPr>
        <w:t xml:space="preserve">信息与通信工程学院         </w:t>
      </w:r>
    </w:p>
    <w:p w14:paraId="13F22D77">
      <w:pPr>
        <w:spacing w:line="480" w:lineRule="exact"/>
        <w:jc w:val="both"/>
        <w:rPr>
          <w:rFonts w:hint="eastAsia" w:eastAsia="方正仿宋_GBK"/>
          <w:sz w:val="32"/>
          <w:szCs w:val="32"/>
        </w:rPr>
      </w:pPr>
    </w:p>
    <w:p w14:paraId="32D06E0C">
      <w:pPr>
        <w:spacing w:line="480" w:lineRule="exact"/>
        <w:jc w:val="both"/>
        <w:rPr>
          <w:rFonts w:hint="default" w:ascii="方正楷体_GB2312" w:hAnsi="方正楷体_GB2312" w:eastAsia="方正楷体_GB2312" w:cs="方正楷体_GB2312"/>
          <w:sz w:val="32"/>
          <w:szCs w:val="32"/>
          <w:u w:val="single"/>
          <w:lang w:val="en-US" w:eastAsia="zh-CN"/>
        </w:rPr>
      </w:pPr>
      <w:r>
        <w:rPr>
          <w:rFonts w:hint="eastAsia" w:eastAsia="方正仿宋_GBK"/>
          <w:sz w:val="32"/>
          <w:szCs w:val="32"/>
        </w:rPr>
        <w:t>班</w:t>
      </w:r>
      <w:r>
        <w:rPr>
          <w:rFonts w:hint="eastAsia" w:eastAsia="方正仿宋_GBK"/>
          <w:sz w:val="32"/>
          <w:szCs w:val="32"/>
          <w:lang w:val="en-US" w:eastAsia="zh-CN"/>
        </w:rPr>
        <w:t xml:space="preserve">    </w:t>
      </w:r>
      <w:r>
        <w:rPr>
          <w:rFonts w:hint="eastAsia" w:eastAsia="方正仿宋_GBK"/>
          <w:sz w:val="32"/>
          <w:szCs w:val="32"/>
        </w:rPr>
        <w:t>级</w:t>
      </w:r>
      <w:r>
        <w:rPr>
          <w:rFonts w:eastAsia="方正仿宋_GBK"/>
          <w:sz w:val="32"/>
          <w:szCs w:val="32"/>
        </w:rPr>
        <w:t>：</w:t>
      </w:r>
      <w:r>
        <w:rPr>
          <w:rFonts w:hint="eastAsia" w:eastAsia="方正仿宋_GBK"/>
          <w:sz w:val="32"/>
          <w:szCs w:val="32"/>
          <w:u w:val="single"/>
          <w:lang w:val="en-US" w:eastAsia="zh-CN"/>
        </w:rPr>
        <w:t xml:space="preserve">        </w:t>
      </w:r>
      <w:r>
        <w:rPr>
          <w:rFonts w:hint="eastAsia" w:ascii="方正楷体_GB2312" w:hAnsi="方正楷体_GB2312" w:eastAsia="方正楷体_GB2312" w:cs="方正楷体_GB2312"/>
          <w:sz w:val="32"/>
          <w:szCs w:val="32"/>
          <w:u w:val="single"/>
          <w:lang w:val="en-US" w:eastAsia="zh-CN"/>
        </w:rPr>
        <w:t xml:space="preserve">2024211104、2024211103       </w:t>
      </w:r>
    </w:p>
    <w:p w14:paraId="6C25E76C">
      <w:pPr>
        <w:spacing w:line="480" w:lineRule="exact"/>
        <w:rPr>
          <w:rFonts w:eastAsia="方正仿宋_GBK"/>
          <w:sz w:val="24"/>
        </w:rPr>
      </w:pPr>
    </w:p>
    <w:p w14:paraId="6C97A1CD">
      <w:pPr>
        <w:spacing w:line="520" w:lineRule="exact"/>
        <w:rPr>
          <w:rFonts w:eastAsia="方正仿宋_GBK"/>
          <w:sz w:val="30"/>
          <w:szCs w:val="30"/>
        </w:rPr>
      </w:pPr>
    </w:p>
    <w:p w14:paraId="1018BB6D">
      <w:pPr>
        <w:spacing w:line="520" w:lineRule="exact"/>
        <w:rPr>
          <w:rFonts w:eastAsia="方正仿宋_GBK"/>
          <w:sz w:val="30"/>
          <w:szCs w:val="30"/>
        </w:rPr>
      </w:pPr>
    </w:p>
    <w:p w14:paraId="6CFA1C5F">
      <w:pPr>
        <w:spacing w:line="520" w:lineRule="exact"/>
        <w:rPr>
          <w:rFonts w:eastAsia="方正仿宋_GBK"/>
          <w:sz w:val="30"/>
          <w:szCs w:val="30"/>
        </w:rPr>
      </w:pPr>
    </w:p>
    <w:p w14:paraId="1CA6D5D5">
      <w:pPr>
        <w:spacing w:line="520" w:lineRule="exact"/>
        <w:rPr>
          <w:rFonts w:hint="eastAsia" w:eastAsia="方正仿宋_GBK"/>
          <w:sz w:val="30"/>
          <w:szCs w:val="30"/>
        </w:rPr>
      </w:pPr>
    </w:p>
    <w:p w14:paraId="00606FA3">
      <w:pPr>
        <w:pStyle w:val="2"/>
        <w:bidi w:val="0"/>
        <w:jc w:val="center"/>
        <w:rPr>
          <w:rFonts w:hint="eastAsia"/>
          <w:sz w:val="36"/>
          <w:szCs w:val="36"/>
        </w:rPr>
        <w:sectPr>
          <w:footerReference r:id="rId3" w:type="default"/>
          <w:pgSz w:w="11906" w:h="16838"/>
          <w:pgMar w:top="1440" w:right="1800" w:bottom="1440" w:left="1800" w:header="851" w:footer="992" w:gutter="0"/>
          <w:pgNumType w:fmt="decimalFullWidth"/>
          <w:cols w:space="425" w:num="1"/>
          <w:docGrid w:type="lines" w:linePitch="312" w:charSpace="0"/>
        </w:sectPr>
      </w:pPr>
    </w:p>
    <w:p w14:paraId="37FC4ABD">
      <w:pPr>
        <w:pStyle w:val="2"/>
        <w:bidi w:val="0"/>
        <w:jc w:val="center"/>
        <w:rPr>
          <w:rFonts w:hint="eastAsia"/>
          <w:sz w:val="36"/>
          <w:szCs w:val="36"/>
        </w:rPr>
      </w:pPr>
      <w:r>
        <w:rPr>
          <w:rFonts w:hint="eastAsia"/>
          <w:sz w:val="36"/>
          <w:szCs w:val="36"/>
        </w:rPr>
        <w:t>“一国两制”：伟大构想的实践与祖国统一的征程</w:t>
      </w:r>
    </w:p>
    <w:p w14:paraId="09AC02FC">
      <w:pPr>
        <w:pStyle w:val="3"/>
        <w:keepNext w:val="0"/>
        <w:keepLines w:val="0"/>
        <w:pageBreakBefore w:val="0"/>
        <w:kinsoku/>
        <w:wordWrap/>
        <w:overflowPunct/>
        <w:topLinePunct w:val="0"/>
        <w:autoSpaceDE/>
        <w:autoSpaceDN/>
        <w:bidi w:val="0"/>
        <w:adjustRightInd/>
        <w:snapToGrid/>
        <w:spacing w:beforeAutospacing="0" w:afterAutospacing="0"/>
        <w:textAlignment w:val="auto"/>
        <w:rPr>
          <w:rFonts w:hint="eastAsia" w:eastAsia="宋体"/>
          <w:sz w:val="32"/>
          <w:szCs w:val="32"/>
          <w:lang w:eastAsia="zh-CN"/>
        </w:rPr>
      </w:pPr>
      <w:r>
        <w:rPr>
          <w:rFonts w:hint="eastAsia"/>
          <w:sz w:val="32"/>
          <w:szCs w:val="32"/>
        </w:rPr>
        <w:t>一、案例摘录</w:t>
      </w:r>
      <w:r>
        <w:rPr>
          <w:rFonts w:hint="eastAsia"/>
          <w:sz w:val="32"/>
          <w:szCs w:val="32"/>
          <w:lang w:eastAsia="zh-CN"/>
        </w:rPr>
        <w:t>：</w:t>
      </w:r>
    </w:p>
    <w:p w14:paraId="365249A9">
      <w:pPr>
        <w:pStyle w:val="4"/>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hint="eastAsia" w:ascii="宋体" w:hAnsi="宋体" w:eastAsia="宋体" w:cs="宋体"/>
          <w:b/>
          <w:bCs/>
          <w:i w:val="0"/>
          <w:iCs w:val="0"/>
          <w:caps w:val="0"/>
          <w:color w:val="000000"/>
          <w:spacing w:val="0"/>
          <w:sz w:val="28"/>
          <w:szCs w:val="28"/>
        </w:rPr>
      </w:pPr>
      <w:r>
        <w:rPr>
          <w:rFonts w:hint="eastAsia" w:ascii="宋体" w:hAnsi="宋体" w:eastAsia="宋体" w:cs="宋体"/>
          <w:b/>
          <w:bCs/>
          <w:i w:val="0"/>
          <w:iCs w:val="0"/>
          <w:caps w:val="0"/>
          <w:color w:val="000000"/>
          <w:spacing w:val="0"/>
          <w:sz w:val="28"/>
          <w:szCs w:val="28"/>
          <w:shd w:val="clear" w:fill="FFFFFF"/>
        </w:rPr>
        <w:t>（一）香港国安法实施</w:t>
      </w:r>
    </w:p>
    <w:p w14:paraId="1116C511">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560" w:firstLineChars="200"/>
        <w:jc w:val="both"/>
        <w:textAlignment w:val="auto"/>
        <w:rPr>
          <w:rFonts w:hint="eastAsia" w:ascii="宋体" w:hAnsi="宋体" w:eastAsia="宋体" w:cs="宋体"/>
          <w:sz w:val="28"/>
          <w:szCs w:val="28"/>
        </w:rPr>
      </w:pPr>
      <w:r>
        <w:rPr>
          <w:rFonts w:hint="eastAsia" w:ascii="宋体" w:hAnsi="宋体" w:eastAsia="宋体" w:cs="宋体"/>
          <w:i w:val="0"/>
          <w:iCs w:val="0"/>
          <w:caps w:val="0"/>
          <w:spacing w:val="0"/>
          <w:kern w:val="0"/>
          <w:sz w:val="28"/>
          <w:szCs w:val="28"/>
          <w:shd w:val="clear" w:fill="FFFFFF"/>
          <w:lang w:val="en-US" w:eastAsia="zh-CN" w:bidi="ar"/>
        </w:rPr>
        <w:t>2019 年，香港发生一系列激进暴力活动，“港独” 分子与反中乱港势力相互勾结，肆意冲击政府机构、破坏公共设施、袭击警察，严重危害国家安全，扰乱社会秩序，破坏香港的繁荣稳定。这些暴力活动不仅对香港本地的法治、经济民生造成极大破坏，还引起国际社会关注，损害了中国的国际形象。</w:t>
      </w:r>
    </w:p>
    <w:p w14:paraId="6B5BDA8D">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560" w:firstLineChars="200"/>
        <w:jc w:val="both"/>
        <w:textAlignment w:val="auto"/>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fill="FFFFFF"/>
          <w:lang w:val="en-US" w:eastAsia="zh-CN" w:bidi="ar"/>
        </w:rPr>
        <w:t>2020 年 5 月，十三届全国人大三次会议通过《全国人民代表大会关于建立健全香港特别行政区维护国家安全的法律制度和执行机制的决定》；同年 6 月，十三届全国人大常委会第二十次会议通过《中华人民共和国香港特别行政区维护国家安全法》。香港国安法实施后，迅速打击了 “港独” 分子、反中乱港势力的嚣张气焰。曾经混乱的街道恢复平静，社会秩序逐渐回归正轨，香港的法治得以维护，市民的生命财产安全得到保障。</w:t>
      </w:r>
    </w:p>
    <w:p w14:paraId="43CCC299">
      <w:pPr>
        <w:pStyle w:val="4"/>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ind w:left="0" w:firstLine="0"/>
        <w:textAlignment w:val="auto"/>
        <w:rPr>
          <w:rFonts w:hint="eastAsia" w:ascii="宋体" w:hAnsi="宋体" w:eastAsia="宋体" w:cs="宋体"/>
          <w:b/>
          <w:bCs/>
          <w:i w:val="0"/>
          <w:iCs w:val="0"/>
          <w:caps w:val="0"/>
          <w:color w:val="000000"/>
          <w:spacing w:val="0"/>
          <w:sz w:val="28"/>
          <w:szCs w:val="28"/>
        </w:rPr>
      </w:pPr>
      <w:r>
        <w:rPr>
          <w:rFonts w:hint="eastAsia" w:ascii="宋体" w:hAnsi="宋体" w:eastAsia="宋体" w:cs="宋体"/>
          <w:b/>
          <w:bCs/>
          <w:i w:val="0"/>
          <w:iCs w:val="0"/>
          <w:caps w:val="0"/>
          <w:color w:val="000000"/>
          <w:spacing w:val="0"/>
          <w:sz w:val="28"/>
          <w:szCs w:val="28"/>
          <w:shd w:val="clear" w:fill="FFFFFF"/>
        </w:rPr>
        <w:t>（二）粤港澳大湾区建设</w:t>
      </w:r>
    </w:p>
    <w:p w14:paraId="33FBAF17">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560" w:firstLineChars="200"/>
        <w:jc w:val="both"/>
        <w:textAlignment w:val="auto"/>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fill="FFFFFF"/>
          <w:lang w:val="en-US" w:eastAsia="zh-CN" w:bidi="ar"/>
        </w:rPr>
        <w:t>粤港澳大湾区建设是国家推动港澳地区长期繁荣稳定、融入国家发展大局的重大战略举措。以香港国际机场第三跑道建设为例，该项目是粤港澳大湾区基础设施互联互通的关键一环。第三跑道建成后，香港国际机场的客运和货运处理能力大幅提升，进一步巩固了香港作为国际航空枢纽的地位。同时，它加强了香港与内地及世界其他地区的联系，为大湾区内的人员往来、贸易往来和产业合作提供了更便捷的交通条件。</w:t>
      </w:r>
    </w:p>
    <w:p w14:paraId="248C6357">
      <w:pPr>
        <w:pStyle w:val="4"/>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ind w:left="0" w:firstLine="0"/>
        <w:textAlignment w:val="auto"/>
        <w:rPr>
          <w:rFonts w:hint="eastAsia" w:ascii="宋体" w:hAnsi="宋体" w:eastAsia="宋体" w:cs="宋体"/>
          <w:b/>
          <w:bCs/>
          <w:i w:val="0"/>
          <w:iCs w:val="0"/>
          <w:caps w:val="0"/>
          <w:color w:val="000000"/>
          <w:spacing w:val="0"/>
          <w:sz w:val="28"/>
          <w:szCs w:val="28"/>
        </w:rPr>
      </w:pPr>
      <w:r>
        <w:rPr>
          <w:rFonts w:hint="eastAsia" w:ascii="宋体" w:hAnsi="宋体" w:eastAsia="宋体" w:cs="宋体"/>
          <w:b/>
          <w:bCs/>
          <w:i w:val="0"/>
          <w:iCs w:val="0"/>
          <w:caps w:val="0"/>
          <w:color w:val="000000"/>
          <w:spacing w:val="0"/>
          <w:sz w:val="28"/>
          <w:szCs w:val="28"/>
          <w:shd w:val="clear" w:fill="FFFFFF"/>
        </w:rPr>
        <w:t>（三）两岸经济文化交流</w:t>
      </w:r>
    </w:p>
    <w:p w14:paraId="4A52AAA6">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560" w:firstLineChars="200"/>
        <w:jc w:val="both"/>
        <w:textAlignment w:val="auto"/>
        <w:rPr>
          <w:rFonts w:hint="eastAsia" w:ascii="宋体" w:hAnsi="宋体" w:eastAsia="宋体" w:cs="宋体"/>
          <w:b/>
          <w:bCs/>
          <w:i w:val="0"/>
          <w:iCs w:val="0"/>
          <w:caps w:val="0"/>
          <w:color w:val="000000"/>
          <w:spacing w:val="0"/>
          <w:sz w:val="28"/>
          <w:szCs w:val="28"/>
          <w:shd w:val="clear" w:fill="FFFFFF"/>
        </w:rPr>
      </w:pPr>
      <w:r>
        <w:rPr>
          <w:rFonts w:hint="eastAsia" w:ascii="宋体" w:hAnsi="宋体" w:eastAsia="宋体" w:cs="宋体"/>
          <w:i w:val="0"/>
          <w:iCs w:val="0"/>
          <w:caps w:val="0"/>
          <w:spacing w:val="0"/>
          <w:kern w:val="0"/>
          <w:sz w:val="28"/>
          <w:szCs w:val="28"/>
          <w:shd w:val="clear" w:fill="FFFFFF"/>
          <w:lang w:val="en-US" w:eastAsia="zh-CN" w:bidi="ar"/>
        </w:rPr>
        <w:t>近年来，越来越多的台湾同胞来到大陆寻求发展机会。福建平潭综合实验区，政府为吸引台胞创业就业，出台了一系列优惠政策，如提供创业补贴、办公场地优惠、税收减免等。许多台湾青年在这里创办了涉及文创、旅游、现代农业等领域的企业。其中，一家由台湾青年创办的文创公司，借助平潭独特的自然风光和两岸共同的文化底蕴，开发出一系列具有特色的文创产品，不仅在当地受到欢迎，还通过电商平台销售到大陆其他地区和台湾岛内，实现了经济效益和文化传播的双赢。</w:t>
      </w:r>
    </w:p>
    <w:p w14:paraId="5EE2274C">
      <w:pPr>
        <w:pStyle w:val="3"/>
        <w:keepNext w:val="0"/>
        <w:keepLines w:val="0"/>
        <w:pageBreakBefore w:val="0"/>
        <w:numPr>
          <w:ilvl w:val="0"/>
          <w:numId w:val="1"/>
        </w:numPr>
        <w:kinsoku/>
        <w:wordWrap/>
        <w:overflowPunct/>
        <w:topLinePunct w:val="0"/>
        <w:autoSpaceDE/>
        <w:autoSpaceDN/>
        <w:bidi w:val="0"/>
        <w:adjustRightInd/>
        <w:snapToGrid/>
        <w:spacing w:beforeAutospacing="0" w:afterAutospacing="0"/>
        <w:jc w:val="left"/>
        <w:textAlignment w:val="auto"/>
        <w:rPr>
          <w:rFonts w:hint="eastAsia"/>
          <w:sz w:val="32"/>
          <w:szCs w:val="32"/>
          <w:lang w:eastAsia="zh-CN"/>
        </w:rPr>
      </w:pPr>
      <w:r>
        <w:rPr>
          <w:rFonts w:hint="eastAsia"/>
          <w:sz w:val="32"/>
          <w:szCs w:val="32"/>
        </w:rPr>
        <w:t>理论摘录</w:t>
      </w:r>
      <w:r>
        <w:rPr>
          <w:rFonts w:hint="eastAsia"/>
          <w:sz w:val="32"/>
          <w:szCs w:val="32"/>
          <w:lang w:eastAsia="zh-CN"/>
        </w:rPr>
        <w:t>：</w:t>
      </w:r>
    </w:p>
    <w:p w14:paraId="06962CBF">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2" w:firstLineChars="200"/>
        <w:jc w:val="both"/>
        <w:textAlignment w:val="auto"/>
        <w:rPr>
          <w:rFonts w:hint="eastAsia" w:ascii="宋体" w:hAnsi="宋体" w:eastAsia="宋体" w:cs="宋体"/>
          <w:i w:val="0"/>
          <w:iCs w:val="0"/>
          <w:caps w:val="0"/>
          <w:spacing w:val="0"/>
          <w:kern w:val="0"/>
          <w:sz w:val="28"/>
          <w:szCs w:val="28"/>
          <w:shd w:val="clear" w:fill="FFFFFF"/>
          <w:lang w:val="en-US" w:eastAsia="zh-CN" w:bidi="ar"/>
        </w:rPr>
      </w:pPr>
      <w:r>
        <w:rPr>
          <w:rFonts w:hint="eastAsia" w:ascii="宋体" w:hAnsi="宋体" w:eastAsia="宋体" w:cs="宋体"/>
          <w:b/>
          <w:bCs/>
          <w:i w:val="0"/>
          <w:iCs w:val="0"/>
          <w:caps w:val="0"/>
          <w:spacing w:val="0"/>
          <w:kern w:val="0"/>
          <w:sz w:val="28"/>
          <w:szCs w:val="28"/>
          <w:shd w:val="clear" w:fill="FFFFFF"/>
          <w:lang w:val="en-US" w:eastAsia="zh-CN" w:bidi="ar"/>
        </w:rPr>
        <w:t>(一）</w:t>
      </w:r>
      <w:r>
        <w:rPr>
          <w:rFonts w:hint="eastAsia" w:ascii="宋体" w:hAnsi="宋体" w:eastAsia="宋体" w:cs="宋体"/>
          <w:i w:val="0"/>
          <w:iCs w:val="0"/>
          <w:caps w:val="0"/>
          <w:spacing w:val="0"/>
          <w:kern w:val="0"/>
          <w:sz w:val="21"/>
          <w:szCs w:val="21"/>
          <w:shd w:val="clear" w:fill="FFFFFF"/>
          <w:lang w:val="en-US" w:eastAsia="zh-CN" w:bidi="ar"/>
        </w:rPr>
        <w:t>P296</w:t>
      </w:r>
      <w:r>
        <w:rPr>
          <w:rFonts w:hint="eastAsia" w:ascii="宋体" w:hAnsi="宋体" w:eastAsia="宋体" w:cs="宋体"/>
          <w:i w:val="0"/>
          <w:iCs w:val="0"/>
          <w:caps w:val="0"/>
          <w:spacing w:val="0"/>
          <w:kern w:val="0"/>
          <w:sz w:val="28"/>
          <w:szCs w:val="28"/>
          <w:shd w:val="clear" w:fill="FFFFFF"/>
          <w:lang w:val="en-US" w:eastAsia="zh-CN" w:bidi="ar"/>
        </w:rPr>
        <w:t>“一国两制”是党领导人民实现祖国和平统一的一项重要制度，是国家的一项基本国策。党的十八大以来，以习近平同志为核心的党中央从实现中华民族伟大复兴的全局高度，全面准确、坚定不移贯彻“一国两制”、“港人治港”、“澳人治澳”、高度自治的方针，推动香港进入由乱到治走向由治及兴的新阶段；提出新时代党解决台湾问题的总体方略，牢牢把握两岸关系主导权和主动权，坚定不移推进祖国统一大业。</w:t>
      </w:r>
    </w:p>
    <w:p w14:paraId="5B906713">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2" w:firstLineChars="200"/>
        <w:jc w:val="both"/>
        <w:textAlignment w:val="auto"/>
        <w:rPr>
          <w:rFonts w:hint="eastAsia" w:ascii="宋体" w:hAnsi="宋体" w:eastAsia="宋体" w:cs="宋体"/>
          <w:i w:val="0"/>
          <w:iCs w:val="0"/>
          <w:caps w:val="0"/>
          <w:spacing w:val="0"/>
          <w:sz w:val="28"/>
          <w:szCs w:val="28"/>
        </w:rPr>
      </w:pPr>
      <w:r>
        <w:rPr>
          <w:rFonts w:hint="eastAsia" w:ascii="宋体" w:hAnsi="宋体" w:eastAsia="宋体" w:cs="宋体"/>
          <w:b/>
          <w:bCs/>
          <w:i w:val="0"/>
          <w:iCs w:val="0"/>
          <w:caps w:val="0"/>
          <w:spacing w:val="0"/>
          <w:kern w:val="0"/>
          <w:sz w:val="28"/>
          <w:szCs w:val="28"/>
          <w:shd w:val="clear" w:fill="FFFFFF"/>
          <w:lang w:val="en-US" w:eastAsia="zh-CN" w:bidi="ar"/>
        </w:rPr>
        <w:t>（二）</w:t>
      </w:r>
      <w:r>
        <w:rPr>
          <w:rFonts w:hint="eastAsia" w:ascii="宋体" w:hAnsi="宋体" w:eastAsia="宋体" w:cs="宋体"/>
          <w:i w:val="0"/>
          <w:iCs w:val="0"/>
          <w:caps w:val="0"/>
          <w:spacing w:val="0"/>
          <w:kern w:val="0"/>
          <w:sz w:val="21"/>
          <w:szCs w:val="21"/>
          <w:shd w:val="clear" w:fill="FFFFFF"/>
          <w:lang w:val="en-US" w:eastAsia="zh-CN" w:bidi="ar"/>
        </w:rPr>
        <w:t>P297</w:t>
      </w:r>
      <w:r>
        <w:rPr>
          <w:rFonts w:hint="eastAsia" w:ascii="宋体" w:hAnsi="宋体" w:eastAsia="宋体" w:cs="宋体"/>
          <w:i w:val="0"/>
          <w:iCs w:val="0"/>
          <w:caps w:val="0"/>
          <w:spacing w:val="0"/>
          <w:kern w:val="0"/>
          <w:sz w:val="28"/>
          <w:szCs w:val="28"/>
          <w:shd w:val="clear" w:fill="FFFFFF"/>
          <w:lang w:val="en-US" w:eastAsia="zh-CN" w:bidi="ar"/>
        </w:rPr>
        <w:t>“一国两制” 是指在统一的国家之内，国家主体实行社会主义制度，个别地区依法实行资本主义制度。“一国” 是实行 “两制” 的前提和基础，“两制” 从属和派生于 “一国”，并统一于 “一国” 之内。维护国家主权、安全、发展利益是 “一国两制” 方针的最高原则，保持香港、澳门长期繁荣稳定是根本宗旨。贯彻 “一国两制” 方针要坚持坚定不移、全面准确，确保不走样、不变形。</w:t>
      </w:r>
    </w:p>
    <w:p w14:paraId="740A4881">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2" w:firstLineChars="200"/>
        <w:jc w:val="both"/>
        <w:textAlignment w:val="auto"/>
        <w:rPr>
          <w:rFonts w:hint="eastAsia" w:ascii="宋体" w:hAnsi="宋体" w:eastAsia="宋体" w:cs="宋体"/>
          <w:i w:val="0"/>
          <w:iCs w:val="0"/>
          <w:caps w:val="0"/>
          <w:spacing w:val="0"/>
          <w:sz w:val="28"/>
          <w:szCs w:val="28"/>
        </w:rPr>
      </w:pPr>
      <w:r>
        <w:rPr>
          <w:rFonts w:hint="eastAsia" w:ascii="宋体" w:hAnsi="宋体" w:eastAsia="宋体" w:cs="宋体"/>
          <w:b/>
          <w:bCs/>
          <w:i w:val="0"/>
          <w:iCs w:val="0"/>
          <w:caps w:val="0"/>
          <w:spacing w:val="0"/>
          <w:kern w:val="0"/>
          <w:sz w:val="28"/>
          <w:szCs w:val="28"/>
          <w:shd w:val="clear" w:fill="FFFFFF"/>
          <w:lang w:val="en-US" w:eastAsia="zh-CN" w:bidi="ar"/>
        </w:rPr>
        <w:t>（三）</w:t>
      </w:r>
      <w:r>
        <w:rPr>
          <w:rFonts w:hint="eastAsia" w:ascii="宋体" w:hAnsi="宋体" w:eastAsia="宋体" w:cs="宋体"/>
          <w:i w:val="0"/>
          <w:iCs w:val="0"/>
          <w:caps w:val="0"/>
          <w:spacing w:val="0"/>
          <w:kern w:val="0"/>
          <w:sz w:val="21"/>
          <w:szCs w:val="21"/>
          <w:shd w:val="clear" w:fill="FFFFFF"/>
          <w:lang w:val="en-US" w:eastAsia="zh-CN" w:bidi="ar"/>
        </w:rPr>
        <w:t>P300</w:t>
      </w:r>
      <w:r>
        <w:rPr>
          <w:rFonts w:hint="eastAsia" w:ascii="宋体" w:hAnsi="宋体" w:eastAsia="宋体" w:cs="宋体"/>
          <w:i w:val="0"/>
          <w:iCs w:val="0"/>
          <w:caps w:val="0"/>
          <w:spacing w:val="0"/>
          <w:kern w:val="0"/>
          <w:sz w:val="28"/>
          <w:szCs w:val="28"/>
          <w:shd w:val="clear" w:fill="FFFFFF"/>
          <w:lang w:val="en-US" w:eastAsia="zh-CN" w:bidi="ar"/>
        </w:rPr>
        <w:t>政权必须掌握在爱国者手中，这是世界通行的政治法则。在香港、澳门，爱国者的标准是真心维护国家主权、安全、发展利益，尊重和维护宪法和基本法确定的宪制秩序，维护香港、澳门的繁荣稳定。落实 “爱国者治港”“爱国者治澳” 原则，要完善相关制度，确保特别行政区管治权牢牢掌握在爱国者手中。</w:t>
      </w:r>
    </w:p>
    <w:p w14:paraId="546E8407">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2" w:firstLineChars="200"/>
        <w:jc w:val="both"/>
        <w:textAlignment w:val="auto"/>
        <w:rPr>
          <w:rFonts w:hint="eastAsia" w:ascii="宋体" w:hAnsi="宋体" w:eastAsia="宋体" w:cs="宋体"/>
          <w:i w:val="0"/>
          <w:iCs w:val="0"/>
          <w:caps w:val="0"/>
          <w:spacing w:val="0"/>
          <w:kern w:val="0"/>
          <w:sz w:val="28"/>
          <w:szCs w:val="28"/>
          <w:shd w:val="clear" w:fill="FFFFFF"/>
          <w:lang w:val="en-US" w:eastAsia="zh-CN" w:bidi="ar"/>
        </w:rPr>
      </w:pPr>
      <w:r>
        <w:rPr>
          <w:rFonts w:hint="eastAsia" w:ascii="宋体" w:hAnsi="宋体" w:eastAsia="宋体" w:cs="宋体"/>
          <w:b/>
          <w:bCs/>
          <w:i w:val="0"/>
          <w:iCs w:val="0"/>
          <w:caps w:val="0"/>
          <w:spacing w:val="0"/>
          <w:kern w:val="0"/>
          <w:sz w:val="28"/>
          <w:szCs w:val="28"/>
          <w:shd w:val="clear" w:fill="FFFFFF"/>
          <w:lang w:val="en-US" w:eastAsia="zh-CN" w:bidi="ar"/>
        </w:rPr>
        <w:t>（四）</w:t>
      </w:r>
      <w:r>
        <w:rPr>
          <w:rFonts w:hint="eastAsia" w:ascii="宋体" w:hAnsi="宋体" w:eastAsia="宋体" w:cs="宋体"/>
          <w:i w:val="0"/>
          <w:iCs w:val="0"/>
          <w:caps w:val="0"/>
          <w:spacing w:val="0"/>
          <w:kern w:val="0"/>
          <w:sz w:val="21"/>
          <w:szCs w:val="21"/>
          <w:shd w:val="clear" w:fill="FFFFFF"/>
          <w:lang w:val="en-US" w:eastAsia="zh-CN" w:bidi="ar"/>
        </w:rPr>
        <w:t>P305</w:t>
      </w:r>
      <w:r>
        <w:rPr>
          <w:rFonts w:hint="eastAsia" w:ascii="宋体" w:hAnsi="宋体" w:eastAsia="宋体" w:cs="宋体"/>
          <w:i w:val="0"/>
          <w:iCs w:val="0"/>
          <w:caps w:val="0"/>
          <w:spacing w:val="0"/>
          <w:kern w:val="0"/>
          <w:sz w:val="28"/>
          <w:szCs w:val="28"/>
          <w:shd w:val="clear" w:fill="FFFFFF"/>
          <w:lang w:val="en-US" w:eastAsia="zh-CN" w:bidi="ar"/>
        </w:rPr>
        <w:t>建立健全香港特别行政区维护国家安全的法律制度和执行机制。中央政府对香港特别行政区有关的国家安全事务负有根本责任，香港特别行政区负有维护国家安全的宪制责任。面对香港基本法第二十三条本地立法迟迟没有完成、香港特别行政区在维护国家安全领域长期“不设防”的状况，2020年5月、十三届全国人大三次会议通过《全国人民代表大会关于建立健全香港特别行政区维护国家安全的法律制度和执行机制的决定》。同年6月，十三届全国人大常委会第二十次会议通过《中华人民共和国香港特别行政区维护国家安全法》，为香港特别行政区行政、立法和司法机关依法防范、制止和惩治危害国家安全的行为和活动提供了有力制度保障，筑牢了在香港特别行政区防控国家安全风险的制度屏障，成为维护香港稳定的“定海神针”。随后、中央人民政府依法设立驻香港特别行政区维护国家安全公署，香港特别行政区依法设立维护国家安全委员会，国家安全得到有力捍卫。2022年12月，十三届全国人大常委会第三十八次会议通过《关于〈中华人民共和国香港特别行政区维护国家安全法〉第十四条和第四十七条的解释》，及时妥善解决香港国安法实施中遇到的实际问题，确保香港国安法正确有效实施。</w:t>
      </w:r>
    </w:p>
    <w:p w14:paraId="52170BCD">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2" w:firstLineChars="200"/>
        <w:jc w:val="both"/>
        <w:textAlignment w:val="auto"/>
        <w:rPr>
          <w:rFonts w:hint="eastAsia" w:ascii="宋体" w:hAnsi="宋体" w:eastAsia="宋体" w:cs="宋体"/>
          <w:i w:val="0"/>
          <w:iCs w:val="0"/>
          <w:caps w:val="0"/>
          <w:spacing w:val="0"/>
          <w:kern w:val="0"/>
          <w:sz w:val="28"/>
          <w:szCs w:val="28"/>
          <w:shd w:val="clear" w:fill="FFFFFF"/>
          <w:lang w:val="en-US" w:eastAsia="zh-CN" w:bidi="ar"/>
        </w:rPr>
      </w:pPr>
      <w:r>
        <w:rPr>
          <w:rFonts w:hint="eastAsia" w:ascii="宋体" w:hAnsi="宋体" w:eastAsia="宋体" w:cs="宋体"/>
          <w:b/>
          <w:bCs/>
          <w:i w:val="0"/>
          <w:iCs w:val="0"/>
          <w:caps w:val="0"/>
          <w:spacing w:val="0"/>
          <w:kern w:val="0"/>
          <w:sz w:val="28"/>
          <w:szCs w:val="28"/>
          <w:shd w:val="clear" w:fill="FFFFFF"/>
          <w:lang w:val="en-US" w:eastAsia="zh-CN" w:bidi="ar"/>
        </w:rPr>
        <w:t>（五）</w:t>
      </w:r>
      <w:r>
        <w:rPr>
          <w:rFonts w:hint="eastAsia" w:ascii="宋体" w:hAnsi="宋体" w:eastAsia="宋体" w:cs="宋体"/>
          <w:i w:val="0"/>
          <w:iCs w:val="0"/>
          <w:caps w:val="0"/>
          <w:spacing w:val="0"/>
          <w:kern w:val="0"/>
          <w:sz w:val="21"/>
          <w:szCs w:val="21"/>
          <w:shd w:val="clear" w:fill="FFFFFF"/>
          <w:lang w:val="en-US" w:eastAsia="zh-CN" w:bidi="ar"/>
        </w:rPr>
        <w:t>P306</w:t>
      </w:r>
      <w:r>
        <w:rPr>
          <w:rFonts w:hint="eastAsia" w:ascii="宋体" w:hAnsi="宋体" w:eastAsia="宋体" w:cs="宋体"/>
          <w:i w:val="0"/>
          <w:iCs w:val="0"/>
          <w:caps w:val="0"/>
          <w:spacing w:val="0"/>
          <w:kern w:val="0"/>
          <w:sz w:val="28"/>
          <w:szCs w:val="28"/>
          <w:shd w:val="clear" w:fill="FFFFFF"/>
          <w:lang w:val="en-US" w:eastAsia="zh-CN" w:bidi="ar"/>
        </w:rPr>
        <w:t>坚持以行政长官为核心的行政主导体制，支持行政长官和特别行政区政府依法施政、积极作为。行政长官和特别行政区政府是香港的当家人，也是治理香港的第一责任人。中央坚定支持香港特别行政区依法止暴制乱、恢复秩序，坚决防范和遏制外部势力干预香港事务，严厉打击分裂、颠覆、渗透、破坏活动。全力支持行政、立法、司法机关依法履职，支持特别行政区政府团结带领全社会集中精力发展经济、切实有效改善民生、坚定不移守护法治、循序渐进推进民主、包容共济促进和谐。支持特别行政区政府积极回应社会发展新要求和广大居民新期待，着力破解影响香港经济社会发展和长治久安的深层次矛盾和突出问题，不断提高施政能力和管治水平，实现良政善治。完善特别行政区司法制度和法律体系，完善同宪法和基本法实施相关的制度和机制，夯实依法治港的制度基础。</w:t>
      </w:r>
    </w:p>
    <w:p w14:paraId="50811FC8">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2" w:firstLineChars="200"/>
        <w:jc w:val="both"/>
        <w:textAlignment w:val="auto"/>
        <w:rPr>
          <w:rFonts w:hint="eastAsia" w:ascii="宋体" w:hAnsi="宋体" w:eastAsia="宋体" w:cs="宋体"/>
          <w:i w:val="0"/>
          <w:iCs w:val="0"/>
          <w:caps w:val="0"/>
          <w:spacing w:val="0"/>
          <w:kern w:val="0"/>
          <w:sz w:val="28"/>
          <w:szCs w:val="28"/>
          <w:shd w:val="clear" w:fill="FFFFFF"/>
          <w:lang w:val="en-US" w:eastAsia="zh-CN" w:bidi="ar"/>
        </w:rPr>
      </w:pPr>
      <w:r>
        <w:rPr>
          <w:rFonts w:hint="eastAsia" w:ascii="宋体" w:hAnsi="宋体" w:eastAsia="宋体" w:cs="宋体"/>
          <w:b/>
          <w:bCs/>
          <w:i w:val="0"/>
          <w:iCs w:val="0"/>
          <w:caps w:val="0"/>
          <w:spacing w:val="0"/>
          <w:kern w:val="0"/>
          <w:sz w:val="28"/>
          <w:szCs w:val="28"/>
          <w:shd w:val="clear" w:fill="FFFFFF"/>
          <w:lang w:val="en-US" w:eastAsia="zh-CN" w:bidi="ar"/>
        </w:rPr>
        <w:t>（六）</w:t>
      </w:r>
      <w:r>
        <w:rPr>
          <w:rFonts w:hint="eastAsia" w:ascii="宋体" w:hAnsi="宋体" w:eastAsia="宋体" w:cs="宋体"/>
          <w:i w:val="0"/>
          <w:iCs w:val="0"/>
          <w:caps w:val="0"/>
          <w:spacing w:val="0"/>
          <w:kern w:val="0"/>
          <w:sz w:val="21"/>
          <w:szCs w:val="21"/>
          <w:shd w:val="clear" w:fill="FFFFFF"/>
          <w:lang w:val="en-US" w:eastAsia="zh-CN" w:bidi="ar"/>
        </w:rPr>
        <w:t>P310</w:t>
      </w:r>
      <w:r>
        <w:rPr>
          <w:rFonts w:hint="eastAsia" w:ascii="宋体" w:hAnsi="宋体" w:eastAsia="宋体" w:cs="宋体"/>
          <w:i w:val="0"/>
          <w:iCs w:val="0"/>
          <w:caps w:val="0"/>
          <w:spacing w:val="0"/>
          <w:kern w:val="0"/>
          <w:sz w:val="28"/>
          <w:szCs w:val="28"/>
          <w:shd w:val="clear" w:fill="FFFFFF"/>
          <w:lang w:val="en-US" w:eastAsia="zh-CN" w:bidi="ar"/>
        </w:rPr>
        <w:t>新时代党解决台湾问题的总体方略包括坚持党中央对对台工作的集中统一领导；坚持在中华民族伟大复兴进程中推进祖国统一；坚持在祖国大陆发展进步基础上解决台湾问题；坚持 “和平统一、一国两制” 基本方针；坚持一个中国原则和 “九二共识”；坚持推动两岸关系和平发展、融合发展；坚持团结台湾同胞、争取台湾民心；坚持粉碎 “台独” 分裂图谋；坚持反对外部势力干涉；坚持决不承诺放弃使用武力。</w:t>
      </w:r>
    </w:p>
    <w:p w14:paraId="4637BC29">
      <w:pPr>
        <w:pStyle w:val="3"/>
        <w:keepNext w:val="0"/>
        <w:keepLines w:val="0"/>
        <w:pageBreakBefore w:val="0"/>
        <w:kinsoku/>
        <w:wordWrap/>
        <w:overflowPunct/>
        <w:topLinePunct w:val="0"/>
        <w:autoSpaceDE/>
        <w:autoSpaceDN/>
        <w:bidi w:val="0"/>
        <w:adjustRightInd/>
        <w:snapToGrid/>
        <w:spacing w:beforeAutospacing="0" w:afterAutospacing="0"/>
        <w:jc w:val="left"/>
        <w:textAlignment w:val="auto"/>
        <w:rPr>
          <w:rFonts w:hint="eastAsia"/>
          <w:sz w:val="32"/>
          <w:szCs w:val="32"/>
          <w:lang w:eastAsia="zh-CN"/>
        </w:rPr>
      </w:pPr>
      <w:r>
        <w:rPr>
          <w:rFonts w:hint="eastAsia"/>
          <w:sz w:val="32"/>
          <w:szCs w:val="32"/>
        </w:rPr>
        <w:t>三、研学分析</w:t>
      </w:r>
      <w:r>
        <w:rPr>
          <w:rFonts w:hint="eastAsia"/>
          <w:sz w:val="32"/>
          <w:szCs w:val="32"/>
          <w:lang w:eastAsia="zh-CN"/>
        </w:rPr>
        <w:t>：</w:t>
      </w:r>
    </w:p>
    <w:p w14:paraId="76FAA480">
      <w:pPr>
        <w:pStyle w:val="8"/>
        <w:keepNext w:val="0"/>
        <w:keepLines w:val="0"/>
        <w:widowControl/>
        <w:suppressLineNumbers w:val="0"/>
        <w:spacing w:line="360" w:lineRule="auto"/>
        <w:rPr>
          <w:rFonts w:hint="eastAsia" w:ascii="宋体" w:hAnsi="宋体" w:eastAsia="宋体" w:cs="宋体"/>
          <w:sz w:val="28"/>
          <w:szCs w:val="28"/>
        </w:rPr>
      </w:pPr>
      <w:r>
        <w:rPr>
          <w:rFonts w:hint="eastAsia" w:ascii="宋体" w:hAnsi="宋体" w:eastAsia="宋体" w:cs="宋体"/>
          <w:sz w:val="28"/>
          <w:szCs w:val="28"/>
        </w:rPr>
        <w:t xml:space="preserve">（一）“一国两制”：伟大创举的深远意义与价值 </w:t>
      </w:r>
    </w:p>
    <w:p w14:paraId="4FD1D60E">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一国两制”作为中国特色社会主义的伟大创举，具有极其深远的历史意义和重要的现实价值。从历史角度来看，“一国两制”成功地解决了香港、澳门的回归问题，终结了历史上由殖民统治所带来的民族屈辱，实现了祖国主权的完全恢复，体现了中国共产党对中华民族、对历史和人民的庄严承诺与历史担当。从现实的角度出发，“一国两制”为港澳地区的长期繁荣稳定提供了牢固而灵活的制度框架，使得香港回归祖国后，国际金融中心、航运枢纽和全球贸易中心的地位持续巩固，多次被国际权威机构评为全球最自由的经济体；澳门则实现经济跨越式发展，人均收入水平名列世界前茅，社会和谐稳定成为典范。</w:t>
      </w:r>
    </w:p>
    <w:p w14:paraId="6A0AD403">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更为重要的是，“一国两制”作为一项创新性制度，还为国际社会解决类似历史遗留问题提供了有益经验与独特方案。“一国两制”蕴含着中华民族特有的尊重差异、求同存异的智慧，体现了中华文化追求和平与包容共存的和合精神。在当今复杂的国际局势下，不同国家和地区存在着多样性的矛盾与冲突，“一国两制”在香港、澳门地区的成功实践，为解决这些全球性难题提供了富有启发性的思路，彰显了中国作为负责任大国的智慧与担当。</w:t>
      </w:r>
    </w:p>
    <w:p w14:paraId="4BEF0D32">
      <w:pPr>
        <w:pStyle w:val="8"/>
        <w:keepNext w:val="0"/>
        <w:keepLines w:val="0"/>
        <w:widowControl/>
        <w:numPr>
          <w:ilvl w:val="0"/>
          <w:numId w:val="2"/>
        </w:numPr>
        <w:suppressLineNumbers w:val="0"/>
        <w:spacing w:line="360" w:lineRule="auto"/>
        <w:rPr>
          <w:rFonts w:hint="eastAsia" w:ascii="宋体" w:hAnsi="宋体" w:eastAsia="宋体" w:cs="宋体"/>
          <w:sz w:val="28"/>
          <w:szCs w:val="28"/>
        </w:rPr>
      </w:pPr>
      <w:r>
        <w:rPr>
          <w:rFonts w:hint="eastAsia" w:ascii="宋体" w:hAnsi="宋体" w:eastAsia="宋体" w:cs="宋体"/>
          <w:sz w:val="28"/>
          <w:szCs w:val="28"/>
        </w:rPr>
        <w:t xml:space="preserve">“一国两制”在香港的生动实践 </w:t>
      </w:r>
    </w:p>
    <w:p w14:paraId="75DC77C4">
      <w:pPr>
        <w:pStyle w:val="8"/>
        <w:keepNext w:val="0"/>
        <w:keepLines w:val="0"/>
        <w:widowControl/>
        <w:numPr>
          <w:ilvl w:val="0"/>
          <w:numId w:val="0"/>
        </w:numPr>
        <w:suppressLineNumbers w:val="0"/>
        <w:spacing w:line="360" w:lineRule="auto"/>
        <w:ind w:right="0" w:rightChars="0" w:firstLine="560" w:firstLineChars="200"/>
        <w:rPr>
          <w:rFonts w:hint="eastAsia" w:ascii="宋体" w:hAnsi="宋体" w:eastAsia="宋体" w:cs="宋体"/>
          <w:sz w:val="28"/>
          <w:szCs w:val="28"/>
        </w:rPr>
      </w:pPr>
      <w:r>
        <w:rPr>
          <w:rFonts w:hint="eastAsia" w:ascii="宋体" w:hAnsi="宋体" w:eastAsia="宋体" w:cs="宋体"/>
          <w:sz w:val="28"/>
          <w:szCs w:val="28"/>
        </w:rPr>
        <w:t>香港在“一国两制”实施过程中经历了许多挑战，但也在应对这些挑战的过程中积累了丰富的经验，取得了显著的发展成果。尤其在2019年出现的香港修例风波中，反中乱港势力肆意冲击政府机关、破坏公共设施、制造社会动荡，不仅严重损害了香港本地社会的稳定与繁荣，也使香港的国际形象受到严重冲击。在这样的复杂局势下，中央政府果断出手，通过实施香港国安法这一关键举措，迅速有效地打击了反中乱港势力，弥补了香港在国家安全领域长期存在的法律漏洞，恢复了社会稳定，保障了广大香港市民的生命财产安全。</w:t>
      </w:r>
    </w:p>
    <w:p w14:paraId="1CBAEAAD">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此外，中央政府进一步完善香港特别行政区的选举制度，全面落实“爱国者治港”原则，将特别行政区的管治权牢牢掌握在真正爱国爱港的人士手中，从而从根本上保障了香港的长期稳定与繁荣发展。经历这些实践与调整后，香港不仅迅速恢复了社会秩序，还开启了由治及兴的新发展阶段。随着粤港澳大湾区建设的推进，香港积极融入国家发展战略，特别是在科技创新方面与内地城市开展深入合作，例如深港科技创新合作区的建设，吸引了大量高科技企业与科研机构落户香港，使香港与内地实现资源共享、优势互补，进一步巩固了香港在国际上的竞争力。</w:t>
      </w:r>
    </w:p>
    <w:p w14:paraId="1DCCB42E">
      <w:pPr>
        <w:pStyle w:val="8"/>
        <w:keepNext w:val="0"/>
        <w:keepLines w:val="0"/>
        <w:widowControl/>
        <w:numPr>
          <w:ilvl w:val="0"/>
          <w:numId w:val="2"/>
        </w:numPr>
        <w:suppressLineNumbers w:val="0"/>
        <w:spacing w:line="360" w:lineRule="auto"/>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 xml:space="preserve">“一国两制”对两岸统一的深远意义 </w:t>
      </w:r>
    </w:p>
    <w:p w14:paraId="64C30D80">
      <w:pPr>
        <w:pStyle w:val="8"/>
        <w:keepNext w:val="0"/>
        <w:keepLines w:val="0"/>
        <w:widowControl/>
        <w:numPr>
          <w:ilvl w:val="0"/>
          <w:numId w:val="0"/>
        </w:numPr>
        <w:suppressLineNumbers w:val="0"/>
        <w:spacing w:line="360" w:lineRule="auto"/>
        <w:ind w:leftChars="0" w:right="0" w:rightChars="0" w:firstLine="560" w:firstLineChars="200"/>
        <w:rPr>
          <w:rFonts w:hint="eastAsia" w:ascii="宋体" w:hAnsi="宋体" w:eastAsia="宋体" w:cs="宋体"/>
          <w:sz w:val="28"/>
          <w:szCs w:val="28"/>
        </w:rPr>
      </w:pPr>
      <w:r>
        <w:rPr>
          <w:rFonts w:hint="eastAsia" w:ascii="宋体" w:hAnsi="宋体" w:eastAsia="宋体" w:cs="宋体"/>
          <w:sz w:val="28"/>
          <w:szCs w:val="28"/>
        </w:rPr>
        <w:t>实现祖国完全统一是中华民族伟大复兴的必然要求和共同愿望。“一国两制”方针在港澳地区的成功实践，不仅为解决台湾问题提供了宝贵经验，也进一步印证了这一方针在处理复杂的历史和现实问题上的巨大适应性与有效性。港澳的长期繁荣稳定，有力地展现了“一国两制”的制度优势，让台湾同胞能够直观地看到统一之后的美好前景与现实效益，从而在一定程度上缓解了台湾社会内部对于统一可能带来的不确定性的疑虑，增强了他们对祖国统一的认同与信任。</w:t>
      </w:r>
    </w:p>
    <w:p w14:paraId="0F7981CB">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新时代以来，中央政府更加系统地提出了新时代对台工作的总体方略，明确坚持“和平统一、一国两制”基本方针，并强调和平统一的前提是两岸同胞平等协商，共议统一方案，推动两岸关系的和平发展。同时，中央政府重申一个中国原则和“九二共识”的重要性，这不仅是两岸关系发展的政治基础，更是坚决反对任何分裂企图的底线和红线。</w:t>
      </w:r>
    </w:p>
    <w:p w14:paraId="7B716974">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为推动两岸统一，中央政府积极倡导和推进两岸经济文化交流与合作，提出并实施了许多惠台措施，鼓励更多台湾同胞到大陆学习、就业、创业。例如，福建平潭综合实验区推出一系列针对台湾青年的优惠政策，成功吸引了大量台湾青年到大陆发展事业，逐步形成了两岸经济文化融合发展的新局面。此外，两岸在文化、教育、经贸等领域的广泛交流，也在不断消除隔阂，加深台湾同胞对祖国大陆的了解与认同。</w:t>
      </w:r>
    </w:p>
    <w:p w14:paraId="225AE97B">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然而，我们必须清楚地认识到，两岸统一依然面临严峻的挑战。“台独”分裂势力在境内外敌对势力的支持下，不断采取各种行动，企图阻碍两岸和平统一进程。面对这一挑战，中央政府坚定不移地表达了维护国家主权和领土完整的决心，并明确表示绝不放弃使用武力来反对“台独”分裂活动。这一坚决的态度与强大的综合国力，使全国各族人民包括广大台湾同胞在内，都对实现祖国统一充满信心。</w:t>
      </w:r>
    </w:p>
    <w:p w14:paraId="6C253F1D">
      <w:pPr>
        <w:pStyle w:val="8"/>
        <w:keepNext w:val="0"/>
        <w:keepLines w:val="0"/>
        <w:widowControl/>
        <w:suppressLineNumbers w:val="0"/>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总而言之，“一国两制”方针不仅为港澳地区的长期稳定和繁荣奠定了坚实基础，也为解决台湾问题提供了重要的实践经验与理论基础。未来，我们应当继续坚定地贯彻落实“一国两制”方针，通过积极的交流与合作、坚决反对分裂活动的行动、持续推动两岸民众的心灵契合与文化认同，逐步实现祖国的和平统一，助力中华民族伟大复兴事业稳步前进。</w:t>
      </w:r>
    </w:p>
    <w:p w14:paraId="2AC2FB38">
      <w:pPr>
        <w:rPr>
          <w:rFonts w:hint="eastAsia"/>
          <w:lang w:eastAsia="zh-CN"/>
        </w:rPr>
      </w:pPr>
    </w:p>
    <w:p w14:paraId="1124D329">
      <w:pPr>
        <w:pStyle w:val="4"/>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0"/>
        <w:textAlignment w:val="auto"/>
        <w:rPr>
          <w:rFonts w:hint="eastAsia" w:ascii="宋体" w:hAnsi="宋体" w:eastAsia="宋体" w:cs="宋体"/>
          <w:b/>
          <w:bCs/>
          <w:i w:val="0"/>
          <w:iCs w:val="0"/>
          <w:caps w:val="0"/>
          <w:color w:val="000000"/>
          <w:spacing w:val="0"/>
          <w:sz w:val="28"/>
          <w:szCs w:val="28"/>
        </w:rPr>
      </w:pPr>
      <w:r>
        <w:rPr>
          <w:rFonts w:hint="eastAsia" w:cs="宋体"/>
          <w:b/>
          <w:bCs/>
          <w:i w:val="0"/>
          <w:iCs w:val="0"/>
          <w:caps w:val="0"/>
          <w:color w:val="000000"/>
          <w:spacing w:val="0"/>
          <w:sz w:val="28"/>
          <w:szCs w:val="28"/>
          <w:shd w:val="clear" w:fill="FFFFFF"/>
          <w:lang w:val="en-US" w:eastAsia="zh-CN"/>
        </w:rPr>
        <w:t>总结：</w:t>
      </w:r>
      <w:r>
        <w:rPr>
          <w:rFonts w:hint="eastAsia" w:ascii="宋体" w:hAnsi="宋体" w:eastAsia="宋体" w:cs="宋体"/>
          <w:b/>
          <w:bCs/>
          <w:i w:val="0"/>
          <w:iCs w:val="0"/>
          <w:caps w:val="0"/>
          <w:color w:val="000000"/>
          <w:spacing w:val="0"/>
          <w:sz w:val="28"/>
          <w:szCs w:val="28"/>
          <w:shd w:val="clear" w:fill="FFFFFF"/>
        </w:rPr>
        <w:t>“一国两制” 推动祖国统一与民族复兴</w:t>
      </w:r>
    </w:p>
    <w:p w14:paraId="3C343434">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0" w:firstLineChars="200"/>
        <w:jc w:val="both"/>
        <w:textAlignment w:val="auto"/>
        <w:rPr>
          <w:rFonts w:hint="eastAsia" w:ascii="宋体" w:hAnsi="宋体" w:eastAsia="宋体" w:cs="宋体"/>
          <w:sz w:val="28"/>
          <w:szCs w:val="28"/>
        </w:rPr>
      </w:pPr>
      <w:r>
        <w:rPr>
          <w:rFonts w:hint="eastAsia" w:ascii="宋体" w:hAnsi="宋体" w:eastAsia="宋体" w:cs="宋体"/>
          <w:i w:val="0"/>
          <w:iCs w:val="0"/>
          <w:caps w:val="0"/>
          <w:spacing w:val="0"/>
          <w:kern w:val="0"/>
          <w:sz w:val="28"/>
          <w:szCs w:val="28"/>
          <w:shd w:val="clear" w:fill="FFFFFF"/>
          <w:lang w:val="en-US" w:eastAsia="zh-CN" w:bidi="ar"/>
        </w:rPr>
        <w:t>“一国两制” 在港澳的成功实践，以及对解决台湾问题的重要意义，充分展示了这一伟大构想的强大生命力和巨大优越性。在实现中华民族伟大复兴的征程中，“一国两制” 将继续发挥其重要作用。</w:t>
      </w:r>
    </w:p>
    <w:p w14:paraId="4C7D6D8F">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560" w:firstLineChars="200"/>
        <w:jc w:val="both"/>
        <w:textAlignment w:val="auto"/>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fill="FFFFFF"/>
          <w:lang w:val="en-US" w:eastAsia="zh-CN" w:bidi="ar"/>
        </w:rPr>
        <w:t>“一国两制” 是中国为世界贡献的伟大制度创新，它不仅实现了港澳的繁荣稳定，更为实现祖国完全统一和中华民族伟大复兴奠定了坚实基础。在新时代新征程上，我们要全面准确贯彻 “一国两制” 方针，坚定信心、团结奋斗，不断开创 “一国两制” 事业新局面，推动祖国统一大业稳步前进，共创中华民族伟大复兴的美好未来。</w:t>
      </w:r>
    </w:p>
    <w:p w14:paraId="5A632D5F">
      <w:pPr>
        <w:pStyle w:val="4"/>
        <w:bidi w:val="0"/>
        <w:rPr>
          <w:rFonts w:hint="eastAsia"/>
          <w:sz w:val="28"/>
          <w:szCs w:val="28"/>
        </w:rPr>
      </w:pPr>
    </w:p>
    <w:sectPr>
      <w:pgSz w:w="11906" w:h="16838"/>
      <w:pgMar w:top="1440" w:right="1800" w:bottom="1440" w:left="1800" w:header="851" w:footer="992" w:gutter="0"/>
      <w:pgNumType w:fmt="decimalFullWidt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embedRegular r:id="rId1" w:fontKey="{8F28C89A-D968-4932-973C-4F87370586ED}"/>
  </w:font>
  <w:font w:name="微软雅黑">
    <w:panose1 w:val="020B0503020204020204"/>
    <w:charset w:val="86"/>
    <w:family w:val="auto"/>
    <w:pitch w:val="default"/>
    <w:sig w:usb0="80000287" w:usb1="2ACF3C50" w:usb2="00000016" w:usb3="00000000" w:csb0="0004001F" w:csb1="00000000"/>
  </w:font>
  <w:font w:name="方正小标宋_GBK">
    <w:altName w:val="微软雅黑"/>
    <w:panose1 w:val="02000000000000000000"/>
    <w:charset w:val="86"/>
    <w:family w:val="script"/>
    <w:pitch w:val="default"/>
    <w:sig w:usb0="00000000" w:usb1="00000000" w:usb2="00000000" w:usb3="00000000" w:csb0="00040000" w:csb1="00000000"/>
    <w:embedRegular r:id="rId2" w:fontKey="{69253E02-8275-4CF0-B8E4-107677AEB47C}"/>
  </w:font>
  <w:font w:name="方正楷体_GB2312">
    <w:panose1 w:val="02000000000000000000"/>
    <w:charset w:val="86"/>
    <w:family w:val="auto"/>
    <w:pitch w:val="default"/>
    <w:sig w:usb0="A00002BF" w:usb1="184F6CFA" w:usb2="00000012" w:usb3="00000000" w:csb0="00040001" w:csb1="00000000"/>
    <w:embedRegular r:id="rId3" w:fontKey="{8E1CA9AC-4A4A-4CE5-895B-E2C2CF7227D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B882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F62AEF">
                          <w:pPr>
                            <w:pStyle w:val="6"/>
                            <w:rPr>
                              <w:rFonts w:hint="eastAsia" w:ascii="方正楷体_GB2312" w:hAnsi="方正楷体_GB2312" w:eastAsia="方正楷体_GB2312" w:cs="方正楷体_GB2312"/>
                              <w:b/>
                              <w:bCs/>
                              <w:color w:val="auto"/>
                              <w:sz w:val="24"/>
                              <w:szCs w:val="24"/>
                            </w:rPr>
                          </w:pPr>
                          <w:r>
                            <w:rPr>
                              <w:rFonts w:hint="eastAsia" w:ascii="方正楷体_GB2312" w:hAnsi="方正楷体_GB2312" w:eastAsia="方正楷体_GB2312" w:cs="方正楷体_GB2312"/>
                              <w:b/>
                              <w:bCs/>
                              <w:sz w:val="24"/>
                              <w:szCs w:val="24"/>
                            </w:rPr>
                            <w:fldChar w:fldCharType="begin"/>
                          </w:r>
                          <w:r>
                            <w:rPr>
                              <w:rFonts w:hint="eastAsia" w:ascii="方正楷体_GB2312" w:hAnsi="方正楷体_GB2312" w:eastAsia="方正楷体_GB2312" w:cs="方正楷体_GB2312"/>
                              <w:b/>
                              <w:bCs/>
                              <w:sz w:val="24"/>
                              <w:szCs w:val="24"/>
                            </w:rPr>
                            <w:instrText xml:space="preserve"> PAGE  \* MERGEFORMAT </w:instrText>
                          </w:r>
                          <w:r>
                            <w:rPr>
                              <w:rFonts w:hint="eastAsia" w:ascii="方正楷体_GB2312" w:hAnsi="方正楷体_GB2312" w:eastAsia="方正楷体_GB2312" w:cs="方正楷体_GB2312"/>
                              <w:b/>
                              <w:bCs/>
                              <w:sz w:val="24"/>
                              <w:szCs w:val="24"/>
                            </w:rPr>
                            <w:fldChar w:fldCharType="separate"/>
                          </w:r>
                          <w:r>
                            <w:rPr>
                              <w:rFonts w:hint="eastAsia" w:ascii="方正楷体_GB2312" w:hAnsi="方正楷体_GB2312" w:eastAsia="方正楷体_GB2312" w:cs="方正楷体_GB2312"/>
                              <w:b/>
                              <w:bCs/>
                              <w:sz w:val="24"/>
                              <w:szCs w:val="24"/>
                            </w:rPr>
                            <w:t>1</w:t>
                          </w:r>
                          <w:r>
                            <w:rPr>
                              <w:rFonts w:hint="eastAsia" w:ascii="方正楷体_GB2312" w:hAnsi="方正楷体_GB2312" w:eastAsia="方正楷体_GB2312" w:cs="方正楷体_GB2312"/>
                              <w:b/>
                              <w:bCs/>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CF62AEF">
                    <w:pPr>
                      <w:pStyle w:val="6"/>
                      <w:rPr>
                        <w:rFonts w:hint="eastAsia" w:ascii="方正楷体_GB2312" w:hAnsi="方正楷体_GB2312" w:eastAsia="方正楷体_GB2312" w:cs="方正楷体_GB2312"/>
                        <w:b/>
                        <w:bCs/>
                        <w:color w:val="auto"/>
                        <w:sz w:val="24"/>
                        <w:szCs w:val="24"/>
                      </w:rPr>
                    </w:pPr>
                    <w:r>
                      <w:rPr>
                        <w:rFonts w:hint="eastAsia" w:ascii="方正楷体_GB2312" w:hAnsi="方正楷体_GB2312" w:eastAsia="方正楷体_GB2312" w:cs="方正楷体_GB2312"/>
                        <w:b/>
                        <w:bCs/>
                        <w:sz w:val="24"/>
                        <w:szCs w:val="24"/>
                      </w:rPr>
                      <w:fldChar w:fldCharType="begin"/>
                    </w:r>
                    <w:r>
                      <w:rPr>
                        <w:rFonts w:hint="eastAsia" w:ascii="方正楷体_GB2312" w:hAnsi="方正楷体_GB2312" w:eastAsia="方正楷体_GB2312" w:cs="方正楷体_GB2312"/>
                        <w:b/>
                        <w:bCs/>
                        <w:sz w:val="24"/>
                        <w:szCs w:val="24"/>
                      </w:rPr>
                      <w:instrText xml:space="preserve"> PAGE  \* MERGEFORMAT </w:instrText>
                    </w:r>
                    <w:r>
                      <w:rPr>
                        <w:rFonts w:hint="eastAsia" w:ascii="方正楷体_GB2312" w:hAnsi="方正楷体_GB2312" w:eastAsia="方正楷体_GB2312" w:cs="方正楷体_GB2312"/>
                        <w:b/>
                        <w:bCs/>
                        <w:sz w:val="24"/>
                        <w:szCs w:val="24"/>
                      </w:rPr>
                      <w:fldChar w:fldCharType="separate"/>
                    </w:r>
                    <w:r>
                      <w:rPr>
                        <w:rFonts w:hint="eastAsia" w:ascii="方正楷体_GB2312" w:hAnsi="方正楷体_GB2312" w:eastAsia="方正楷体_GB2312" w:cs="方正楷体_GB2312"/>
                        <w:b/>
                        <w:bCs/>
                        <w:sz w:val="24"/>
                        <w:szCs w:val="24"/>
                      </w:rPr>
                      <w:t>1</w:t>
                    </w:r>
                    <w:r>
                      <w:rPr>
                        <w:rFonts w:hint="eastAsia" w:ascii="方正楷体_GB2312" w:hAnsi="方正楷体_GB2312" w:eastAsia="方正楷体_GB2312" w:cs="方正楷体_GB2312"/>
                        <w:b/>
                        <w:bCs/>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59B53"/>
    <w:multiLevelType w:val="singleLevel"/>
    <w:tmpl w:val="96659B53"/>
    <w:lvl w:ilvl="0" w:tentative="0">
      <w:start w:val="2"/>
      <w:numFmt w:val="chineseCounting"/>
      <w:suff w:val="nothing"/>
      <w:lvlText w:val="%1、"/>
      <w:lvlJc w:val="left"/>
      <w:rPr>
        <w:rFonts w:hint="eastAsia"/>
      </w:rPr>
    </w:lvl>
  </w:abstractNum>
  <w:abstractNum w:abstractNumId="1">
    <w:nsid w:val="72746425"/>
    <w:multiLevelType w:val="singleLevel"/>
    <w:tmpl w:val="72746425"/>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8534B"/>
    <w:rsid w:val="1CE8534B"/>
    <w:rsid w:val="32957376"/>
    <w:rsid w:val="36DB4BB2"/>
    <w:rsid w:val="370156CA"/>
    <w:rsid w:val="3F2D4773"/>
    <w:rsid w:val="4A655353"/>
    <w:rsid w:val="4EB56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9">
    <w:name w:val="Body Text First Indent"/>
    <w:basedOn w:val="5"/>
    <w:qFormat/>
    <w:uiPriority w:val="0"/>
    <w:pPr>
      <w:spacing w:line="560" w:lineRule="exact"/>
      <w:ind w:firstLine="720" w:firstLineChars="200"/>
    </w:pPr>
    <w:rPr>
      <w:szCs w:val="22"/>
    </w:rPr>
  </w:style>
  <w:style w:type="paragraph" w:customStyle="1" w:styleId="12">
    <w:name w:val="分类号"/>
    <w:basedOn w:val="1"/>
    <w:qFormat/>
    <w:uiPriority w:val="0"/>
    <w:rPr>
      <w:rFonts w:ascii="仿宋_GB2312" w:hAnsi="Times New Roman" w:eastAsia="仿宋_GB2312" w:cs="Times New Roman"/>
      <w:sz w:val="28"/>
      <w:szCs w:val="28"/>
    </w:rPr>
  </w:style>
  <w:style w:type="paragraph" w:customStyle="1" w:styleId="13">
    <w:name w:val="封面日期"/>
    <w:basedOn w:val="1"/>
    <w:qFormat/>
    <w:uiPriority w:val="0"/>
    <w:pPr>
      <w:jc w:val="center"/>
    </w:pPr>
    <w:rPr>
      <w:rFonts w:ascii="黑体" w:hAnsi="Times New Roman" w:eastAsia="黑体" w:cs="Times New Roman"/>
      <w:sz w:val="32"/>
      <w:szCs w:val="32"/>
    </w:rPr>
  </w:style>
  <w:style w:type="paragraph" w:customStyle="1" w:styleId="14">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5">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6">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4490</Words>
  <Characters>4586</Characters>
  <Lines>0</Lines>
  <Paragraphs>0</Paragraphs>
  <TotalTime>24</TotalTime>
  <ScaleCrop>false</ScaleCrop>
  <LinksUpToDate>false</LinksUpToDate>
  <CharactersWithSpaces>4705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2025-04-02T15:14:00Z</dcterms:created>
  <dc:creator>www_1</dc:creator>
  <cp:lastModifiedBy>.</cp:lastModifiedBy>
  <dcterms:modified xsi:type="dcterms:W3CDTF">2025-05-16T05:59:41Z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3D2C68D104E54352AF39F4C882D42640_13</vt:lpwstr>
  </property>
  <property fmtid="{D5CDD505-2E9C-101B-9397-08002B2CF9AE}" pid="4" name="KSOTemplateDocerSaveRecord">
    <vt:lpwstr>eyJoZGlkIjoiMGI2NTJkODVlNTU0Y2Q3ZTE3N2M3N2EzNjVjZDQzN2EiLCJ1c2VySWQiOiI2NzY0MDczNzQifQ==</vt:lpwstr>
  </property>
</Properties>
</file>