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2003-2010___1.vsd" ContentType="application/vnd.visio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F727F2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实验五  共射放大电路的频率特性与深负反馈的影响</w:t>
      </w:r>
    </w:p>
    <w:p w14:paraId="3CDD90E3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计算、仿真、测试分析报告</w:t>
      </w:r>
    </w:p>
    <w:p w14:paraId="41D6D69F">
      <w:pPr>
        <w:jc w:val="center"/>
        <w:rPr>
          <w:rFonts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请在本文件中录入结果并进行各类分析，实验结束后，提交电子文档报告）</w:t>
      </w:r>
    </w:p>
    <w:p w14:paraId="7A31E6BA">
      <w:pPr>
        <w:rPr>
          <w:rFonts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实验目的：</w:t>
      </w:r>
    </w:p>
    <w:p w14:paraId="677E79A3">
      <w:pP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以实验3相同电路为测试对象：掌握获得波特图的测试、仿真方法；掌握负反馈对增益、上下限截频的影响，了解输入输出间的电容对上限截频的影响等。</w:t>
      </w:r>
    </w:p>
    <w:p w14:paraId="023A3720">
      <w:pPr>
        <w:rPr>
          <w:rFonts w:hint="eastAsia"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FF0000"/>
          <w:szCs w:val="21"/>
        </w:rPr>
        <w:t>在开始实验前，请阅读本指导书附录（Multisim中晶体管模型参数修改表）中的内容。</w:t>
      </w:r>
    </w:p>
    <w:p w14:paraId="71FBFE5F">
      <w:pPr>
        <w:rPr>
          <w:rFonts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实验设备及器件：</w:t>
      </w:r>
    </w:p>
    <w:p w14:paraId="786868B4">
      <w:pP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笔记本电脑（预装所需软件环境）</w:t>
      </w:r>
    </w:p>
    <w:p w14:paraId="3AB05F1A">
      <w:pP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AD2口袋仪器</w:t>
      </w:r>
    </w:p>
    <w:p w14:paraId="0BF538B1">
      <w:pP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电容：100pF、0.01μF、10μF、100μF</w:t>
      </w:r>
    </w:p>
    <w:p w14:paraId="6C3B3313">
      <w:pP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电阻：51Ω*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300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Ω、1kΩ、2kΩ、10kΩ*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24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kΩ</w:t>
      </w:r>
    </w:p>
    <w:p w14:paraId="2EB65D14">
      <w:pP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面包板、晶体管、2N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5551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、连接线等</w:t>
      </w:r>
    </w:p>
    <w:p w14:paraId="6FF42A61">
      <w:pPr>
        <w:rPr>
          <w:rFonts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实验内容：</w:t>
      </w:r>
    </w:p>
    <w:p w14:paraId="4967D062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电路如图3-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所示（</w:t>
      </w:r>
      <w:r>
        <w:rPr>
          <w:rFonts w:hint="eastAsia" w:asciiTheme="minorEastAsia" w:hAnsiTheme="minorEastAsia"/>
          <w:b/>
          <w:color w:val="FF0000"/>
          <w:szCs w:val="21"/>
        </w:rPr>
        <w:t>搭建电路时应注意电容的极性</w:t>
      </w:r>
      <w:r>
        <w:rPr>
          <w:rFonts w:hint="eastAsia" w:asciiTheme="minorEastAsia" w:hAnsiTheme="minorEastAsia"/>
          <w:color w:val="0070C0"/>
          <w:szCs w:val="21"/>
        </w:rPr>
        <w:t>）。</w:t>
      </w:r>
    </w:p>
    <w:p w14:paraId="7981B63F">
      <w:pPr>
        <w:rPr>
          <w:rFonts w:asciiTheme="minorEastAsia" w:hAnsiTheme="minorEastAsia"/>
          <w:color w:val="0070C0"/>
          <w:sz w:val="28"/>
          <w:szCs w:val="28"/>
        </w:rPr>
      </w:pPr>
      <w:r>
        <w:rPr>
          <w:rFonts w:asciiTheme="minorEastAsia" w:hAnsiTheme="minorEastAsia"/>
          <w:color w:val="0070C0"/>
          <w:sz w:val="28"/>
          <w:szCs w:val="28"/>
        </w:rPr>
        <w:object>
          <v:shape id="_x0000_i1025" o:spt="75" type="#_x0000_t75" style="height:203pt;width:19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 w14:paraId="0D3B375F">
      <w:pPr>
        <w:ind w:firstLine="1260" w:firstLineChars="600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图3-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实验电路</w:t>
      </w:r>
    </w:p>
    <w:p w14:paraId="216AF50C">
      <w:pPr>
        <w:pStyle w:val="12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频率特性分析</w:t>
      </w:r>
    </w:p>
    <w:p w14:paraId="78C09534">
      <w:pPr>
        <w:pStyle w:val="12"/>
        <w:ind w:firstLine="0" w:firstLineChars="0"/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.1  C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为100pF时电路的频率特性分析</w:t>
      </w:r>
    </w:p>
    <w:p w14:paraId="2C63E34E"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（1）Multisim仿真频率特性，给出波特图（波特图屏幕拷贝贴于下方，标定中频增益、上限截频、下限截频，并将数值填入表1-</w:t>
      </w:r>
      <w:r>
        <w:rPr>
          <w:rFonts w:asciiTheme="minorEastAsia" w:hAnsiTheme="minorEastAsia"/>
          <w:szCs w:val="21"/>
        </w:rPr>
        <w:t>1</w:t>
      </w:r>
      <w:r>
        <w:rPr>
          <w:rFonts w:hint="eastAsia" w:asciiTheme="minorEastAsia" w:hAnsiTheme="minorEastAsia"/>
          <w:szCs w:val="21"/>
        </w:rPr>
        <w:t>）</w:t>
      </w:r>
    </w:p>
    <w:p w14:paraId="7C7AFF9E">
      <w:pPr>
        <w:rPr>
          <w:rFonts w:hint="eastAsia" w:asciiTheme="minorEastAsia" w:hAnsiTheme="minorEastAsia"/>
          <w:szCs w:val="21"/>
        </w:rPr>
      </w:pPr>
      <w:r>
        <w:drawing>
          <wp:inline distT="0" distB="0" distL="114300" distR="114300">
            <wp:extent cx="4714240" cy="2945765"/>
            <wp:effectExtent l="0" t="0" r="635" b="698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BD89"/>
    <w:p w14:paraId="2667746C">
      <w:pPr>
        <w:numPr>
          <w:ilvl w:val="0"/>
          <w:numId w:val="2"/>
        </w:num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利用AD2的网络分析功能实际测试频率特性，给出波特图（波特图屏幕拷贝贴于下方，标定中频增益、上限截频、下限截频，并将数值填入表1-</w:t>
      </w:r>
      <w:r>
        <w:rPr>
          <w:rFonts w:asciiTheme="minorEastAsia" w:hAnsiTheme="minorEastAsia"/>
          <w:szCs w:val="21"/>
        </w:rPr>
        <w:t>1</w:t>
      </w:r>
      <w:r>
        <w:rPr>
          <w:rFonts w:hint="eastAsia" w:asciiTheme="minorEastAsia" w:hAnsiTheme="minorEastAsia"/>
          <w:szCs w:val="21"/>
        </w:rPr>
        <w:t>）</w:t>
      </w:r>
    </w:p>
    <w:p w14:paraId="42F9F0D5">
      <w:pPr>
        <w:ind w:firstLine="1050" w:firstLineChars="50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45720</wp:posOffset>
            </wp:positionV>
            <wp:extent cx="5857875" cy="3507105"/>
            <wp:effectExtent l="0" t="0" r="9525" b="171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496E5"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（3）对比分析仿真与测试的频率特性：</w:t>
      </w:r>
    </w:p>
    <w:p w14:paraId="6AD29F3D">
      <w:pPr>
        <w:pStyle w:val="12"/>
        <w:ind w:left="360" w:firstLine="0" w:firstLineChars="0"/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表1-</w:t>
      </w:r>
      <w:r>
        <w:rPr>
          <w:rFonts w:asciiTheme="minorEastAsia" w:hAnsiTheme="minorEastAsia"/>
          <w:szCs w:val="21"/>
        </w:rPr>
        <w:t xml:space="preserve">1 </w:t>
      </w:r>
      <w:r>
        <w:rPr>
          <w:rFonts w:hint="eastAsia" w:asciiTheme="minorEastAsia" w:hAnsiTheme="minorEastAsia"/>
          <w:szCs w:val="21"/>
        </w:rPr>
        <w:t>100pF电路频率特性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7"/>
        <w:gridCol w:w="2001"/>
        <w:gridCol w:w="1976"/>
        <w:gridCol w:w="1982"/>
      </w:tblGrid>
      <w:tr w14:paraId="682834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7BFAC361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14:paraId="42D9A0A4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40F2B977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79A9A59B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上限截频</w:t>
            </w:r>
          </w:p>
        </w:tc>
      </w:tr>
      <w:tr w14:paraId="0E3260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0ADE2FCE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33008E26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22.86</w:t>
            </w:r>
          </w:p>
        </w:tc>
        <w:tc>
          <w:tcPr>
            <w:tcW w:w="1976" w:type="dxa"/>
            <w:tcBorders>
              <w:tr2bl w:val="single" w:color="auto" w:sz="4" w:space="0"/>
            </w:tcBorders>
          </w:tcPr>
          <w:p w14:paraId="79746576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color="auto" w:sz="4" w:space="0"/>
            </w:tcBorders>
          </w:tcPr>
          <w:p w14:paraId="10FE4E47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</w:tr>
      <w:tr w14:paraId="3CD1C0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977" w:type="dxa"/>
          </w:tcPr>
          <w:p w14:paraId="3E4699FD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</w:t>
            </w:r>
          </w:p>
        </w:tc>
        <w:tc>
          <w:tcPr>
            <w:tcW w:w="2001" w:type="dxa"/>
          </w:tcPr>
          <w:p w14:paraId="5DED12A1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23.03</w:t>
            </w:r>
          </w:p>
        </w:tc>
        <w:tc>
          <w:tcPr>
            <w:tcW w:w="1976" w:type="dxa"/>
          </w:tcPr>
          <w:p w14:paraId="597297BD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35.01Hz</w:t>
            </w:r>
          </w:p>
        </w:tc>
        <w:tc>
          <w:tcPr>
            <w:tcW w:w="1982" w:type="dxa"/>
          </w:tcPr>
          <w:p w14:paraId="4C5E3064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1.59MHz</w:t>
            </w:r>
          </w:p>
        </w:tc>
      </w:tr>
      <w:tr w14:paraId="45E506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5417F8D6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</w:t>
            </w:r>
          </w:p>
        </w:tc>
        <w:tc>
          <w:tcPr>
            <w:tcW w:w="2001" w:type="dxa"/>
          </w:tcPr>
          <w:p w14:paraId="0B137A77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22.06</w:t>
            </w:r>
          </w:p>
        </w:tc>
        <w:tc>
          <w:tcPr>
            <w:tcW w:w="1976" w:type="dxa"/>
          </w:tcPr>
          <w:p w14:paraId="69FB33D0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34.4Hz</w:t>
            </w:r>
          </w:p>
        </w:tc>
        <w:tc>
          <w:tcPr>
            <w:tcW w:w="1982" w:type="dxa"/>
          </w:tcPr>
          <w:p w14:paraId="4DDF1176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1.55MHz</w:t>
            </w:r>
          </w:p>
        </w:tc>
      </w:tr>
    </w:tbl>
    <w:p w14:paraId="57F5CA0D">
      <w:pPr>
        <w:pStyle w:val="12"/>
        <w:ind w:left="360" w:firstLine="0" w:firstLineChars="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对比分析：</w:t>
      </w:r>
    </w:p>
    <w:p w14:paraId="046A0C96">
      <w:pPr>
        <w:pStyle w:val="12"/>
        <w:rPr>
          <w:rFonts w:hint="default" w:asciiTheme="minorEastAsia" w:hAnsiTheme="minorEastAsia" w:eastAsiaTheme="minorEastAsia"/>
          <w:szCs w:val="21"/>
          <w:lang w:val="en-US" w:eastAsia="zh-CN"/>
        </w:rPr>
      </w:pPr>
      <w:r>
        <w:rPr>
          <w:rFonts w:hint="eastAsia" w:asciiTheme="minorEastAsia" w:hAnsiTheme="minorEastAsia"/>
          <w:szCs w:val="21"/>
          <w:lang w:val="en-US" w:eastAsia="zh-CN"/>
        </w:rPr>
        <w:t>计算仿真测试值对比发现均存在一定的差异，但是全部在误差范围之内，是由于在计算过程中采用了近似和理想化导致出现偏差，在测试电路中体现了电路的特性，测试结果较为准确</w:t>
      </w:r>
    </w:p>
    <w:p w14:paraId="72CB20ED">
      <w:pPr>
        <w:pStyle w:val="12"/>
        <w:ind w:left="360" w:firstLine="0" w:firstLineChars="0"/>
        <w:rPr>
          <w:rFonts w:asciiTheme="minorEastAsia" w:hAnsiTheme="minorEastAsia"/>
          <w:szCs w:val="21"/>
        </w:rPr>
      </w:pPr>
    </w:p>
    <w:p w14:paraId="07FBE8FE">
      <w:pPr>
        <w:pStyle w:val="12"/>
        <w:ind w:firstLine="0" w:firstLineChars="0"/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.2  C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</w:t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0.01μF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时电路的频率特性分析</w:t>
      </w:r>
    </w:p>
    <w:p w14:paraId="532F1BFF"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（1）Multisim仿真频率特性，给出波特图（波特图屏幕拷贝贴于下方，标定中频增益、上限截频、下限截频，并将数值填入表1-</w:t>
      </w:r>
      <w:r>
        <w:rPr>
          <w:rFonts w:asciiTheme="minorEastAsia" w:hAnsiTheme="minorEastAsia"/>
          <w:szCs w:val="21"/>
        </w:rPr>
        <w:t>2</w:t>
      </w:r>
      <w:r>
        <w:rPr>
          <w:rFonts w:hint="eastAsia" w:asciiTheme="minorEastAsia" w:hAnsiTheme="minorEastAsia"/>
          <w:szCs w:val="21"/>
        </w:rPr>
        <w:t>）</w:t>
      </w:r>
    </w:p>
    <w:p w14:paraId="4C14EA26">
      <w:pPr>
        <w:rPr>
          <w:rFonts w:hint="eastAsia" w:asciiTheme="minorEastAsia" w:hAnsiTheme="minorEastAsia"/>
          <w:szCs w:val="21"/>
        </w:rPr>
      </w:pPr>
      <w:r>
        <w:drawing>
          <wp:inline distT="0" distB="0" distL="114300" distR="114300">
            <wp:extent cx="4069715" cy="2543175"/>
            <wp:effectExtent l="0" t="0" r="698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4E43">
      <w:pPr>
        <w:rPr>
          <w:rFonts w:asciiTheme="minorEastAsia" w:hAnsiTheme="minorEastAsia"/>
          <w:szCs w:val="21"/>
        </w:rPr>
      </w:pPr>
    </w:p>
    <w:p w14:paraId="74189737"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利用AD2的网络分析功能实际测试频率特性，给出波特图（波特图屏幕拷贝贴于下方，标定中频增益、上限截频、下限截频，并将数值填入表1-</w:t>
      </w:r>
      <w:r>
        <w:rPr>
          <w:rFonts w:asciiTheme="minorEastAsia" w:hAnsiTheme="minorEastAsia"/>
          <w:szCs w:val="21"/>
        </w:rPr>
        <w:t>2</w:t>
      </w:r>
      <w:r>
        <w:rPr>
          <w:rFonts w:hint="eastAsia" w:asciiTheme="minorEastAsia" w:hAnsiTheme="minorEastAsia"/>
          <w:szCs w:val="21"/>
        </w:rPr>
        <w:t>）</w:t>
      </w:r>
    </w:p>
    <w:p w14:paraId="4DF5A354">
      <w:pPr>
        <w:numPr>
          <w:ilvl w:val="0"/>
          <w:numId w:val="0"/>
        </w:numPr>
        <w:ind w:leftChars="0"/>
        <w:rPr>
          <w:rFonts w:hint="eastAsia"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94615</wp:posOffset>
            </wp:positionV>
            <wp:extent cx="3997960" cy="239331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14C81">
      <w:pPr>
        <w:rPr>
          <w:rFonts w:asciiTheme="minorEastAsia" w:hAnsiTheme="minorEastAsia"/>
          <w:szCs w:val="21"/>
        </w:rPr>
      </w:pPr>
    </w:p>
    <w:p w14:paraId="0C6BB3C8"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（3）对比分析仿真与测试的频率特性：</w:t>
      </w:r>
    </w:p>
    <w:p w14:paraId="388C1F9C">
      <w:pPr>
        <w:pStyle w:val="12"/>
        <w:ind w:left="360" w:firstLine="0" w:firstLineChars="0"/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表1-</w:t>
      </w:r>
      <w:r>
        <w:rPr>
          <w:rFonts w:asciiTheme="minorEastAsia" w:hAnsiTheme="minorEastAsia"/>
          <w:szCs w:val="21"/>
        </w:rPr>
        <w:t xml:space="preserve">2 </w:t>
      </w:r>
      <w:r>
        <w:rPr>
          <w:rFonts w:hint="eastAsia" w:asciiTheme="minorEastAsia" w:hAnsiTheme="minorEastAsia"/>
          <w:szCs w:val="21"/>
        </w:rPr>
        <w:t xml:space="preserve"> 0.01μF电路频率特性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7"/>
        <w:gridCol w:w="2001"/>
        <w:gridCol w:w="1976"/>
        <w:gridCol w:w="1982"/>
      </w:tblGrid>
      <w:tr w14:paraId="6CD452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4F197891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14:paraId="202C3F29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32E90FD9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60D363E2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上限截频</w:t>
            </w:r>
          </w:p>
        </w:tc>
      </w:tr>
      <w:tr w14:paraId="2200D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0406EB55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3B557859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22.86</w:t>
            </w:r>
          </w:p>
        </w:tc>
        <w:tc>
          <w:tcPr>
            <w:tcW w:w="1976" w:type="dxa"/>
            <w:tcBorders>
              <w:tr2bl w:val="single" w:color="auto" w:sz="4" w:space="0"/>
            </w:tcBorders>
          </w:tcPr>
          <w:p w14:paraId="46F0D04B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color="auto" w:sz="4" w:space="0"/>
            </w:tcBorders>
          </w:tcPr>
          <w:p w14:paraId="18ED5844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</w:tr>
      <w:tr w14:paraId="40E95E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5B505B24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</w:t>
            </w:r>
          </w:p>
        </w:tc>
        <w:tc>
          <w:tcPr>
            <w:tcW w:w="2001" w:type="dxa"/>
          </w:tcPr>
          <w:p w14:paraId="11F5063A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22.89</w:t>
            </w:r>
          </w:p>
        </w:tc>
        <w:tc>
          <w:tcPr>
            <w:tcW w:w="1976" w:type="dxa"/>
          </w:tcPr>
          <w:p w14:paraId="1D0EA226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31.25Hz</w:t>
            </w:r>
          </w:p>
        </w:tc>
        <w:tc>
          <w:tcPr>
            <w:tcW w:w="1982" w:type="dxa"/>
          </w:tcPr>
          <w:p w14:paraId="07F3597F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17.77kHz</w:t>
            </w:r>
          </w:p>
        </w:tc>
      </w:tr>
      <w:tr w14:paraId="0DD195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527B0CFE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</w:t>
            </w:r>
          </w:p>
        </w:tc>
        <w:tc>
          <w:tcPr>
            <w:tcW w:w="2001" w:type="dxa"/>
          </w:tcPr>
          <w:p w14:paraId="7991B34D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22.01</w:t>
            </w:r>
          </w:p>
        </w:tc>
        <w:tc>
          <w:tcPr>
            <w:tcW w:w="1976" w:type="dxa"/>
          </w:tcPr>
          <w:p w14:paraId="7FD20803">
            <w:pPr>
              <w:pStyle w:val="12"/>
              <w:ind w:firstLine="0" w:firstLineChars="0"/>
              <w:rPr>
                <w:rFonts w:hint="default" w:asciiTheme="minorEastAsia" w:hAnsi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34.6Hz</w:t>
            </w:r>
          </w:p>
        </w:tc>
        <w:tc>
          <w:tcPr>
            <w:tcW w:w="1982" w:type="dxa"/>
          </w:tcPr>
          <w:p w14:paraId="2D5E08BE">
            <w:pPr>
              <w:pStyle w:val="12"/>
              <w:ind w:firstLine="0" w:firstLineChars="0"/>
              <w:rPr>
                <w:rFonts w:hint="default" w:asciiTheme="minorEastAsia" w:hAnsi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16.7kHz</w:t>
            </w:r>
          </w:p>
        </w:tc>
      </w:tr>
    </w:tbl>
    <w:p w14:paraId="095452B6">
      <w:pPr>
        <w:pStyle w:val="12"/>
        <w:ind w:firstLine="0"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对比分析：</w:t>
      </w:r>
    </w:p>
    <w:p w14:paraId="616AB945">
      <w:pPr>
        <w:pStyle w:val="12"/>
        <w:ind w:firstLine="0" w:firstLineChars="0"/>
        <w:rPr>
          <w:rFonts w:hint="eastAsia" w:asciiTheme="minorEastAsia" w:hAnsiTheme="minorEastAsia"/>
          <w:szCs w:val="21"/>
          <w:lang w:val="en-US" w:eastAsia="zh-CN"/>
        </w:rPr>
      </w:pPr>
      <w:r>
        <w:rPr>
          <w:rFonts w:hint="eastAsia" w:asciiTheme="minorEastAsia" w:hAnsiTheme="minorEastAsia"/>
          <w:szCs w:val="21"/>
          <w:lang w:val="en-US" w:eastAsia="zh-CN"/>
        </w:rPr>
        <w:t>在计算和仿真当中存在一定的误差，实际电路的测试结果反映了实际电路的稳定性</w:t>
      </w:r>
    </w:p>
    <w:p w14:paraId="4E7A5820">
      <w:pPr>
        <w:pStyle w:val="12"/>
        <w:ind w:firstLine="0" w:firstLineChars="0"/>
        <w:rPr>
          <w:rFonts w:hint="default" w:asciiTheme="minorEastAsia" w:hAnsiTheme="minorEastAsia"/>
          <w:szCs w:val="21"/>
          <w:lang w:val="en-US" w:eastAsia="zh-CN"/>
        </w:rPr>
      </w:pPr>
    </w:p>
    <w:p w14:paraId="1B11D5BC">
      <w:pPr>
        <w:pStyle w:val="12"/>
        <w:ind w:firstLine="0" w:firstLineChars="0"/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.3  C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电容不同时电路的频率特性分析与比较</w:t>
      </w:r>
    </w:p>
    <w:p w14:paraId="1A55B043">
      <w:pPr>
        <w:pStyle w:val="12"/>
        <w:ind w:firstLine="0"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思考扩展：在本实验中，三极管2N5551C的基极与集电极之间存在电容C</w:t>
      </w:r>
      <w:r>
        <w:rPr>
          <w:rFonts w:hint="eastAsia" w:asciiTheme="minorEastAsia" w:hAnsiTheme="minorEastAsia"/>
          <w:szCs w:val="21"/>
          <w:vertAlign w:val="subscript"/>
        </w:rPr>
        <w:t>4</w:t>
      </w:r>
      <w:r>
        <w:rPr>
          <w:rFonts w:hint="eastAsia" w:asciiTheme="minorEastAsia" w:hAnsiTheme="minorEastAsia"/>
          <w:szCs w:val="21"/>
        </w:rPr>
        <w:t>，在实验中，C</w:t>
      </w:r>
      <w:r>
        <w:rPr>
          <w:rFonts w:hint="eastAsia" w:asciiTheme="minorEastAsia" w:hAnsiTheme="minorEastAsia"/>
          <w:szCs w:val="21"/>
          <w:vertAlign w:val="subscript"/>
        </w:rPr>
        <w:t>4</w:t>
      </w:r>
      <w:r>
        <w:rPr>
          <w:rFonts w:hint="eastAsia" w:asciiTheme="minorEastAsia" w:hAnsiTheme="minorEastAsia"/>
          <w:szCs w:val="21"/>
        </w:rPr>
        <w:t>在电路中起着什么作用，其电容大小是否会对电路造成影响，造成了什么影响？</w:t>
      </w:r>
    </w:p>
    <w:p w14:paraId="03108760">
      <w:pPr>
        <w:pStyle w:val="12"/>
        <w:ind w:left="360" w:firstLine="0" w:firstLineChars="0"/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表1-</w:t>
      </w:r>
      <w:r>
        <w:rPr>
          <w:rFonts w:asciiTheme="minorEastAsia" w:hAnsiTheme="minorEastAsia"/>
          <w:szCs w:val="21"/>
        </w:rPr>
        <w:t xml:space="preserve">3 </w:t>
      </w:r>
      <w:r>
        <w:rPr>
          <w:rFonts w:hint="eastAsia" w:asciiTheme="minorEastAsia" w:hAnsiTheme="minorEastAsia"/>
          <w:szCs w:val="21"/>
        </w:rPr>
        <w:t xml:space="preserve"> 电路频率特性比较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7"/>
        <w:gridCol w:w="2001"/>
        <w:gridCol w:w="1976"/>
        <w:gridCol w:w="1982"/>
      </w:tblGrid>
      <w:tr w14:paraId="365A12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4F4F5FC9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01" w:type="dxa"/>
          </w:tcPr>
          <w:p w14:paraId="223F006F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1CF982EF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37535B35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上限截频</w:t>
            </w:r>
          </w:p>
        </w:tc>
      </w:tr>
      <w:tr w14:paraId="7A27B4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5C27D306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0B32F75C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22.86</w:t>
            </w:r>
          </w:p>
        </w:tc>
        <w:tc>
          <w:tcPr>
            <w:tcW w:w="1976" w:type="dxa"/>
            <w:tcBorders>
              <w:tr2bl w:val="single" w:color="auto" w:sz="4" w:space="0"/>
            </w:tcBorders>
          </w:tcPr>
          <w:p w14:paraId="18D041FE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2" w:type="dxa"/>
            <w:tcBorders>
              <w:tr2bl w:val="single" w:color="auto" w:sz="4" w:space="0"/>
            </w:tcBorders>
          </w:tcPr>
          <w:p w14:paraId="5579C978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</w:tr>
      <w:tr w14:paraId="56AD0D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977" w:type="dxa"/>
          </w:tcPr>
          <w:p w14:paraId="12FF02FF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仿真（100pF）</w:t>
            </w:r>
          </w:p>
        </w:tc>
        <w:tc>
          <w:tcPr>
            <w:tcW w:w="2001" w:type="dxa"/>
          </w:tcPr>
          <w:p w14:paraId="022B5D68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22.84</w:t>
            </w:r>
          </w:p>
        </w:tc>
        <w:tc>
          <w:tcPr>
            <w:tcW w:w="1976" w:type="dxa"/>
          </w:tcPr>
          <w:p w14:paraId="7E39082E">
            <w:pPr>
              <w:pStyle w:val="12"/>
              <w:ind w:firstLine="0" w:firstLineChars="0"/>
              <w:rPr>
                <w:rFonts w:hint="default" w:asciiTheme="minorEastAsia" w:hAnsi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35.01Hz</w:t>
            </w:r>
          </w:p>
        </w:tc>
        <w:tc>
          <w:tcPr>
            <w:tcW w:w="1982" w:type="dxa"/>
          </w:tcPr>
          <w:p w14:paraId="21855586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1.59MHz</w:t>
            </w:r>
          </w:p>
        </w:tc>
      </w:tr>
      <w:tr w14:paraId="3A92B8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77" w:type="dxa"/>
          </w:tcPr>
          <w:p w14:paraId="7163C052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仿真（0.01μF）</w:t>
            </w:r>
          </w:p>
        </w:tc>
        <w:tc>
          <w:tcPr>
            <w:tcW w:w="2001" w:type="dxa"/>
          </w:tcPr>
          <w:p w14:paraId="6E9D2606">
            <w:pPr>
              <w:pStyle w:val="12"/>
              <w:ind w:firstLine="0" w:firstLineChars="0"/>
              <w:rPr>
                <w:rFonts w:hint="default" w:asciiTheme="minorEastAsia" w:hAnsiTheme="minorEastAsia"/>
                <w:color w:val="FF0000"/>
                <w:szCs w:val="21"/>
                <w:lang w:val="en-US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22.89</w:t>
            </w:r>
          </w:p>
        </w:tc>
        <w:tc>
          <w:tcPr>
            <w:tcW w:w="1976" w:type="dxa"/>
          </w:tcPr>
          <w:p w14:paraId="12336047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31.25Hz</w:t>
            </w:r>
          </w:p>
        </w:tc>
        <w:tc>
          <w:tcPr>
            <w:tcW w:w="1982" w:type="dxa"/>
          </w:tcPr>
          <w:p w14:paraId="3EB1B19C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17.77kHz</w:t>
            </w:r>
          </w:p>
        </w:tc>
      </w:tr>
      <w:tr w14:paraId="1F9AC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5582DA11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测试（100pF）</w:t>
            </w:r>
          </w:p>
        </w:tc>
        <w:tc>
          <w:tcPr>
            <w:tcW w:w="2001" w:type="dxa"/>
          </w:tcPr>
          <w:p w14:paraId="50753EA5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22.06</w:t>
            </w:r>
          </w:p>
        </w:tc>
        <w:tc>
          <w:tcPr>
            <w:tcW w:w="1976" w:type="dxa"/>
          </w:tcPr>
          <w:p w14:paraId="10BF070E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34.4Hz</w:t>
            </w:r>
          </w:p>
        </w:tc>
        <w:tc>
          <w:tcPr>
            <w:tcW w:w="1982" w:type="dxa"/>
          </w:tcPr>
          <w:p w14:paraId="0FBAC494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1.55MHz</w:t>
            </w:r>
          </w:p>
        </w:tc>
      </w:tr>
      <w:tr w14:paraId="6BBA4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7" w:type="dxa"/>
          </w:tcPr>
          <w:p w14:paraId="254EC9F1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测试（0.01μF）</w:t>
            </w:r>
          </w:p>
        </w:tc>
        <w:tc>
          <w:tcPr>
            <w:tcW w:w="2001" w:type="dxa"/>
            <w:shd w:val="clear" w:color="auto" w:fill="auto"/>
            <w:vAlign w:val="top"/>
          </w:tcPr>
          <w:p w14:paraId="653CB1D4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22.01</w:t>
            </w:r>
          </w:p>
        </w:tc>
        <w:tc>
          <w:tcPr>
            <w:tcW w:w="1976" w:type="dxa"/>
          </w:tcPr>
          <w:p w14:paraId="5272AD3A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34.6Hz</w:t>
            </w:r>
          </w:p>
        </w:tc>
        <w:tc>
          <w:tcPr>
            <w:tcW w:w="1982" w:type="dxa"/>
          </w:tcPr>
          <w:p w14:paraId="2B253958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16.7kHz</w:t>
            </w:r>
          </w:p>
        </w:tc>
      </w:tr>
    </w:tbl>
    <w:p w14:paraId="7D9D094E"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1"/>
          <w:lang w:val="en-US" w:eastAsia="zh-CN" w:bidi="ar-SA"/>
        </w:rPr>
        <w:t>根据表格中的数据，C4电容的大小对电路的频率特性影响主要体现在上限截止频率上。增益和下限截止频率变化不大，但当C4取较小值（如100pF）时，上限截止频率较高，电路带宽较宽，能够处理更高频率的信号；而当C4变大（如0.01μF）时，上限截止频率明显降低，带宽变窄，电路的高频响应能力减弱。由此可见，C4的大小直接影响电路的高频性能，需根据实际需求在带宽和稳定性之间进行权衡选择。</w:t>
      </w:r>
    </w:p>
    <w:p w14:paraId="5B045E07">
      <w:pPr>
        <w:pStyle w:val="12"/>
        <w:ind w:left="360" w:firstLine="0" w:firstLineChars="0"/>
        <w:rPr>
          <w:rFonts w:asciiTheme="minorEastAsia" w:hAnsiTheme="minorEastAsia"/>
          <w:color w:val="FF0000"/>
          <w:szCs w:val="21"/>
        </w:rPr>
      </w:pPr>
    </w:p>
    <w:p w14:paraId="7E7BB1F6">
      <w:pPr>
        <w:pStyle w:val="12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深度负反馈频率特性分析</w:t>
      </w:r>
    </w:p>
    <w:p w14:paraId="2AE041C2">
      <w:pPr>
        <w:pStyle w:val="12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将发射极电阻R</w:t>
      </w:r>
      <w:r>
        <w:rPr>
          <w:rFonts w:hint="eastAsia" w:asciiTheme="minorEastAsia" w:hAnsiTheme="minorEastAsia"/>
          <w:szCs w:val="21"/>
          <w:vertAlign w:val="subscript"/>
        </w:rPr>
        <w:t>3</w:t>
      </w:r>
      <w:r>
        <w:rPr>
          <w:rFonts w:hint="eastAsia" w:asciiTheme="minorEastAsia" w:hAnsiTheme="minorEastAsia"/>
          <w:szCs w:val="21"/>
        </w:rPr>
        <w:t>和R</w:t>
      </w:r>
      <w:r>
        <w:rPr>
          <w:rFonts w:hint="eastAsia" w:asciiTheme="minorEastAsia" w:hAnsiTheme="minorEastAsia"/>
          <w:szCs w:val="21"/>
          <w:vertAlign w:val="subscript"/>
        </w:rPr>
        <w:t>4</w:t>
      </w:r>
      <w:r>
        <w:rPr>
          <w:rFonts w:hint="eastAsia" w:asciiTheme="minorEastAsia" w:hAnsiTheme="minorEastAsia"/>
          <w:szCs w:val="21"/>
        </w:rPr>
        <w:t>对调位置（即：改变交流负反馈深度，但静态工作点不变）。计算中频增益：</w:t>
      </w:r>
    </w:p>
    <w:p w14:paraId="623948B2">
      <w:pPr>
        <w:pStyle w:val="12"/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2475230" cy="4400550"/>
            <wp:effectExtent l="0" t="0" r="0" b="1270"/>
            <wp:docPr id="9" name="图片 9" descr="模电实验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模电实验五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752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BA29">
      <w:pPr>
        <w:ind w:firstLine="525" w:firstLineChars="250"/>
        <w:rPr>
          <w:position w:val="-12"/>
        </w:rPr>
      </w:pPr>
    </w:p>
    <w:p w14:paraId="49ACF3E3">
      <w:pPr>
        <w:pStyle w:val="12"/>
        <w:ind w:firstLine="0" w:firstLineChars="0"/>
        <w:rPr>
          <w:position w:val="-12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.1  C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为100pF时深度负反馈电路的频率特性分析</w:t>
      </w:r>
    </w:p>
    <w:p w14:paraId="4C40242E"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（1）电路中C</w:t>
      </w:r>
      <w:r>
        <w:rPr>
          <w:rFonts w:hint="eastAsia" w:asciiTheme="minorEastAsia" w:hAnsiTheme="minorEastAsia"/>
          <w:szCs w:val="21"/>
          <w:vertAlign w:val="subscript"/>
        </w:rPr>
        <w:t>4</w:t>
      </w:r>
      <w:r>
        <w:rPr>
          <w:rFonts w:hint="eastAsia" w:asciiTheme="minorEastAsia" w:hAnsiTheme="minorEastAsia"/>
          <w:szCs w:val="21"/>
        </w:rPr>
        <w:t>为100pF时，Multisim仿真频率特性，给出波特图（波特图屏幕拷贝贴于下方，标定中频增益、上限截频、下限截频，并将数值填入表2-</w:t>
      </w:r>
      <w:r>
        <w:rPr>
          <w:rFonts w:asciiTheme="minorEastAsia" w:hAnsiTheme="minorEastAsia"/>
          <w:szCs w:val="21"/>
        </w:rPr>
        <w:t>1</w:t>
      </w:r>
      <w:r>
        <w:rPr>
          <w:rFonts w:hint="eastAsia" w:asciiTheme="minorEastAsia" w:hAnsiTheme="minorEastAsia"/>
          <w:szCs w:val="21"/>
        </w:rPr>
        <w:t>）</w:t>
      </w:r>
    </w:p>
    <w:p w14:paraId="007DF031">
      <w:pPr>
        <w:rPr>
          <w:rFonts w:hint="eastAsia" w:asciiTheme="minorEastAsia" w:hAnsiTheme="minorEastAsia"/>
          <w:szCs w:val="21"/>
        </w:rPr>
      </w:pPr>
      <w:r>
        <w:drawing>
          <wp:inline distT="0" distB="0" distL="114300" distR="114300">
            <wp:extent cx="4003675" cy="2494915"/>
            <wp:effectExtent l="0" t="0" r="6350" b="63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3A31">
      <w:pPr>
        <w:rPr>
          <w:rFonts w:asciiTheme="minorEastAsia" w:hAnsiTheme="minorEastAsia"/>
          <w:szCs w:val="21"/>
        </w:rPr>
      </w:pPr>
    </w:p>
    <w:p w14:paraId="5428E93C">
      <w:pPr>
        <w:numPr>
          <w:ilvl w:val="0"/>
          <w:numId w:val="3"/>
        </w:num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利用AD2的网络分析功能实际测试频率特性，给出波特图（波特图屏幕拷贝贴于下方，标定中频增益、上限截频、下限截频，并将数值填入表2-</w:t>
      </w:r>
      <w:r>
        <w:rPr>
          <w:rFonts w:asciiTheme="minorEastAsia" w:hAnsiTheme="minorEastAsia"/>
          <w:szCs w:val="21"/>
        </w:rPr>
        <w:t>1</w:t>
      </w:r>
      <w:r>
        <w:rPr>
          <w:rFonts w:hint="eastAsia" w:asciiTheme="minorEastAsia" w:hAnsiTheme="minorEastAsia"/>
          <w:szCs w:val="21"/>
        </w:rPr>
        <w:t>）</w:t>
      </w:r>
    </w:p>
    <w:p w14:paraId="3BD14452">
      <w:pPr>
        <w:numPr>
          <w:ilvl w:val="0"/>
          <w:numId w:val="0"/>
        </w:num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inline distT="0" distB="0" distL="114300" distR="114300">
            <wp:extent cx="5264785" cy="3139440"/>
            <wp:effectExtent l="0" t="0" r="2540" b="3810"/>
            <wp:docPr id="8" name="图片 8" descr="98fe286ffeb00e45617e0a9864963e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8fe286ffeb00e45617e0a9864963ef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228F">
      <w:pPr>
        <w:pStyle w:val="12"/>
        <w:ind w:left="360" w:firstLine="0" w:firstLineChars="0"/>
      </w:pPr>
    </w:p>
    <w:p w14:paraId="6F0E57B5"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（3）对比分析仿真与测试的频率特性（含R</w:t>
      </w:r>
      <w:r>
        <w:rPr>
          <w:rFonts w:hint="eastAsia" w:asciiTheme="minorEastAsia" w:hAnsiTheme="minorEastAsia"/>
          <w:szCs w:val="21"/>
          <w:vertAlign w:val="subscript"/>
        </w:rPr>
        <w:t>3</w:t>
      </w:r>
      <w:r>
        <w:rPr>
          <w:rFonts w:hint="eastAsia" w:asciiTheme="minorEastAsia" w:hAnsiTheme="minorEastAsia"/>
          <w:szCs w:val="21"/>
        </w:rPr>
        <w:t>和R</w:t>
      </w:r>
      <w:r>
        <w:rPr>
          <w:rFonts w:hint="eastAsia" w:asciiTheme="minorEastAsia" w:hAnsiTheme="minorEastAsia"/>
          <w:szCs w:val="21"/>
          <w:vertAlign w:val="subscript"/>
        </w:rPr>
        <w:t>4</w:t>
      </w:r>
      <w:r>
        <w:rPr>
          <w:rFonts w:hint="eastAsia" w:asciiTheme="minorEastAsia" w:hAnsiTheme="minorEastAsia"/>
          <w:szCs w:val="21"/>
        </w:rPr>
        <w:t>未对调前的数据）：</w:t>
      </w:r>
    </w:p>
    <w:p w14:paraId="4660C517">
      <w:pPr>
        <w:pStyle w:val="12"/>
        <w:ind w:left="360" w:firstLine="0" w:firstLineChars="0"/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表2-</w:t>
      </w:r>
      <w:r>
        <w:rPr>
          <w:rFonts w:asciiTheme="minorEastAsia" w:hAnsiTheme="minorEastAsia"/>
          <w:szCs w:val="21"/>
        </w:rPr>
        <w:t>1</w:t>
      </w:r>
      <w:r>
        <w:rPr>
          <w:rFonts w:hint="eastAsia" w:asciiTheme="minorEastAsia" w:hAnsiTheme="minorEastAsia"/>
          <w:szCs w:val="21"/>
        </w:rPr>
        <w:t xml:space="preserve">  100pF电路加深反馈前、后的频率特性对比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1984"/>
        <w:gridCol w:w="1984"/>
      </w:tblGrid>
      <w:tr w14:paraId="39F10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 w14:paraId="60C74594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4" w:type="dxa"/>
          </w:tcPr>
          <w:p w14:paraId="5ABA65C7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增益（dB）</w:t>
            </w:r>
          </w:p>
        </w:tc>
        <w:tc>
          <w:tcPr>
            <w:tcW w:w="1984" w:type="dxa"/>
          </w:tcPr>
          <w:p w14:paraId="31377DE6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下限截频</w:t>
            </w:r>
          </w:p>
        </w:tc>
        <w:tc>
          <w:tcPr>
            <w:tcW w:w="1984" w:type="dxa"/>
          </w:tcPr>
          <w:p w14:paraId="29B727A2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上限截频</w:t>
            </w:r>
          </w:p>
        </w:tc>
      </w:tr>
      <w:tr w14:paraId="548BFE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 w14:paraId="42531731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14:paraId="0FAAE58F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22.86</w:t>
            </w:r>
          </w:p>
        </w:tc>
        <w:tc>
          <w:tcPr>
            <w:tcW w:w="1984" w:type="dxa"/>
            <w:tcBorders>
              <w:tr2bl w:val="single" w:color="auto" w:sz="4" w:space="0"/>
            </w:tcBorders>
          </w:tcPr>
          <w:p w14:paraId="46894D39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color="auto" w:sz="4" w:space="0"/>
            </w:tcBorders>
          </w:tcPr>
          <w:p w14:paraId="3C860828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14:paraId="583863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1984" w:type="dxa"/>
          </w:tcPr>
          <w:p w14:paraId="4B2C4D12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仿真（浅负反馈）</w:t>
            </w:r>
          </w:p>
        </w:tc>
        <w:tc>
          <w:tcPr>
            <w:tcW w:w="1984" w:type="dxa"/>
            <w:shd w:val="clear" w:color="auto" w:fill="auto"/>
            <w:vAlign w:val="top"/>
          </w:tcPr>
          <w:p w14:paraId="414DB8C5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22.84</w:t>
            </w:r>
          </w:p>
        </w:tc>
        <w:tc>
          <w:tcPr>
            <w:tcW w:w="1984" w:type="dxa"/>
            <w:shd w:val="clear" w:color="auto" w:fill="auto"/>
            <w:vAlign w:val="top"/>
          </w:tcPr>
          <w:p w14:paraId="0A45CF1A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35.01Hz</w:t>
            </w:r>
          </w:p>
        </w:tc>
        <w:tc>
          <w:tcPr>
            <w:tcW w:w="1984" w:type="dxa"/>
            <w:shd w:val="clear" w:color="auto" w:fill="auto"/>
            <w:vAlign w:val="top"/>
          </w:tcPr>
          <w:p w14:paraId="68E5CCA6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1.59MHz</w:t>
            </w:r>
          </w:p>
        </w:tc>
      </w:tr>
      <w:tr w14:paraId="77E71F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  <w:tcBorders>
              <w:bottom w:val="single" w:color="auto" w:sz="18" w:space="0"/>
            </w:tcBorders>
          </w:tcPr>
          <w:p w14:paraId="20000636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color="auto" w:sz="18" w:space="0"/>
            </w:tcBorders>
            <w:shd w:val="clear" w:color="auto" w:fill="auto"/>
            <w:vAlign w:val="top"/>
          </w:tcPr>
          <w:p w14:paraId="3046E588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22.06</w:t>
            </w:r>
          </w:p>
        </w:tc>
        <w:tc>
          <w:tcPr>
            <w:tcW w:w="1984" w:type="dxa"/>
            <w:tcBorders>
              <w:bottom w:val="single" w:color="auto" w:sz="18" w:space="0"/>
            </w:tcBorders>
            <w:shd w:val="clear" w:color="auto" w:fill="auto"/>
            <w:vAlign w:val="top"/>
          </w:tcPr>
          <w:p w14:paraId="385FF879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34.4Hz</w:t>
            </w:r>
          </w:p>
        </w:tc>
        <w:tc>
          <w:tcPr>
            <w:tcW w:w="1984" w:type="dxa"/>
            <w:tcBorders>
              <w:bottom w:val="single" w:color="auto" w:sz="18" w:space="0"/>
            </w:tcBorders>
            <w:shd w:val="clear" w:color="auto" w:fill="auto"/>
            <w:vAlign w:val="top"/>
          </w:tcPr>
          <w:p w14:paraId="4EE94472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1.55MHz</w:t>
            </w:r>
          </w:p>
        </w:tc>
      </w:tr>
      <w:tr w14:paraId="6C20AA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  <w:tcBorders>
              <w:top w:val="single" w:color="auto" w:sz="18" w:space="0"/>
            </w:tcBorders>
          </w:tcPr>
          <w:p w14:paraId="06923C12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color="auto" w:sz="18" w:space="0"/>
            </w:tcBorders>
          </w:tcPr>
          <w:p w14:paraId="5954041C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9.26</w:t>
            </w:r>
          </w:p>
        </w:tc>
        <w:tc>
          <w:tcPr>
            <w:tcW w:w="1984" w:type="dxa"/>
            <w:tcBorders>
              <w:top w:val="single" w:color="auto" w:sz="18" w:space="0"/>
              <w:tr2bl w:val="single" w:color="auto" w:sz="4" w:space="0"/>
            </w:tcBorders>
          </w:tcPr>
          <w:p w14:paraId="774A0717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color="auto" w:sz="18" w:space="0"/>
              <w:tr2bl w:val="single" w:color="auto" w:sz="4" w:space="0"/>
            </w:tcBorders>
          </w:tcPr>
          <w:p w14:paraId="2D18829D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14:paraId="14841C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 w14:paraId="410ADD76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14:paraId="6E0E693C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9.21</w:t>
            </w:r>
          </w:p>
        </w:tc>
        <w:tc>
          <w:tcPr>
            <w:tcW w:w="1984" w:type="dxa"/>
          </w:tcPr>
          <w:p w14:paraId="4F94AAD0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6.20Hz</w:t>
            </w:r>
          </w:p>
        </w:tc>
        <w:tc>
          <w:tcPr>
            <w:tcW w:w="1984" w:type="dxa"/>
          </w:tcPr>
          <w:p w14:paraId="2A6082B2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1.96MHz</w:t>
            </w:r>
          </w:p>
        </w:tc>
      </w:tr>
      <w:tr w14:paraId="31F3DB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984" w:type="dxa"/>
          </w:tcPr>
          <w:p w14:paraId="080E536E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14:paraId="5C4A202A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9.12</w:t>
            </w:r>
          </w:p>
        </w:tc>
        <w:tc>
          <w:tcPr>
            <w:tcW w:w="1984" w:type="dxa"/>
          </w:tcPr>
          <w:p w14:paraId="16D827B2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6.1Hz</w:t>
            </w:r>
          </w:p>
        </w:tc>
        <w:tc>
          <w:tcPr>
            <w:tcW w:w="1984" w:type="dxa"/>
          </w:tcPr>
          <w:p w14:paraId="5F8D9264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1.92MH</w:t>
            </w:r>
          </w:p>
        </w:tc>
      </w:tr>
    </w:tbl>
    <w:p w14:paraId="6D39C0F1">
      <w:pPr>
        <w:pStyle w:val="12"/>
        <w:ind w:left="569" w:leftChars="171" w:hanging="210" w:hangingChars="10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分析加深负反馈前后仿真与测试的指标差别，包括前后增益的变化、前后上下限截止频滤的变化等。</w:t>
      </w:r>
    </w:p>
    <w:p w14:paraId="45C88E7E"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1"/>
          <w:lang w:val="en-US" w:eastAsia="zh-CN" w:bidi="ar-SA"/>
        </w:rPr>
        <w:t>在对比分析中，电路在加深负反馈前后的频率特性发生了明显变化。浅负反馈时，增益保持在约22.7dB左右，下限截止频率约34Hz，上限截止频率约在1.5MHz，仿真和测试数据基本吻合，说明电路性能稳定。而加深负反馈后，增益明显降低至约9.1dB，说明负反馈抑制了增益；同时，下限截止频率降低至约6Hz，电路对低频信号的响应范围扩大；上限截止频率略有提高至约1.9MHz，说明高频响应有所增强。总结来看，加深负反馈导致电路增益下降，但有效扩展了频率响应范围，尤其是在低频段的性能提升明显，同时对高频的处理能力也有所增强。仿真与测试数据较为接近，验证了负反馈对电路频率特性的调节作用。</w:t>
      </w:r>
    </w:p>
    <w:p w14:paraId="0E24982D">
      <w:pPr>
        <w:pStyle w:val="12"/>
        <w:ind w:left="569" w:leftChars="171" w:hanging="210" w:hangingChars="100"/>
        <w:rPr>
          <w:rFonts w:hint="eastAsia" w:asciiTheme="minorEastAsia" w:hAnsiTheme="minorEastAsia"/>
          <w:szCs w:val="21"/>
        </w:rPr>
      </w:pPr>
    </w:p>
    <w:p w14:paraId="281EAF54">
      <w:pPr>
        <w:pStyle w:val="12"/>
        <w:ind w:firstLine="0" w:firstLineChars="0"/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3139C9B">
      <w:pPr>
        <w:pStyle w:val="12"/>
        <w:ind w:firstLine="0" w:firstLineChars="0"/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.2  C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为0.01uF时深度负反馈电路的频率特性分析</w:t>
      </w:r>
    </w:p>
    <w:p w14:paraId="4E978DAA"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（1）电路中C</w:t>
      </w:r>
      <w:r>
        <w:rPr>
          <w:rFonts w:hint="eastAsia" w:asciiTheme="minorEastAsia" w:hAnsiTheme="minorEastAsia"/>
          <w:szCs w:val="21"/>
          <w:vertAlign w:val="subscript"/>
        </w:rPr>
        <w:t>4</w:t>
      </w:r>
      <w:r>
        <w:rPr>
          <w:rFonts w:hint="eastAsia" w:asciiTheme="minorEastAsia" w:hAnsiTheme="minorEastAsia"/>
          <w:szCs w:val="21"/>
        </w:rPr>
        <w:t>为0.01uF时，Multisim仿真频率特性，给出波特图（波特图屏幕拷贝贴于下方，标定中频增益、上限截频、下限截频，并将数值填入表2-</w:t>
      </w:r>
      <w:r>
        <w:rPr>
          <w:rFonts w:asciiTheme="minorEastAsia" w:hAnsiTheme="minorEastAsia"/>
          <w:szCs w:val="21"/>
        </w:rPr>
        <w:t>2</w:t>
      </w:r>
      <w:r>
        <w:rPr>
          <w:rFonts w:hint="eastAsia" w:asciiTheme="minorEastAsia" w:hAnsiTheme="minorEastAsia"/>
          <w:szCs w:val="21"/>
        </w:rPr>
        <w:t>）</w:t>
      </w:r>
    </w:p>
    <w:p w14:paraId="67DE54B5">
      <w:pPr>
        <w:rPr>
          <w:rFonts w:asciiTheme="minorEastAsia" w:hAnsiTheme="minorEastAsia"/>
          <w:szCs w:val="21"/>
        </w:rPr>
      </w:pPr>
      <w:r>
        <w:drawing>
          <wp:inline distT="0" distB="0" distL="114300" distR="114300">
            <wp:extent cx="5271135" cy="3293745"/>
            <wp:effectExtent l="0" t="0" r="5715" b="19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B5CA">
      <w:r>
        <w:rPr>
          <w:rFonts w:hint="eastAsia" w:asciiTheme="minorEastAsia" w:hAnsiTheme="minorEastAsia"/>
          <w:szCs w:val="21"/>
        </w:rPr>
        <w:t>（2）利用AD2的网络分析功能实际测试频率特性，给出波特图（波特图屏幕拷贝贴于下方，标定中频增益、上限截频、下限截频，并将数值填入表2-</w:t>
      </w:r>
      <w:r>
        <w:rPr>
          <w:rFonts w:asciiTheme="minorEastAsia" w:hAnsiTheme="minorEastAsia"/>
          <w:szCs w:val="21"/>
        </w:rPr>
        <w:t>2</w:t>
      </w:r>
      <w:r>
        <w:rPr>
          <w:rFonts w:hint="eastAsia" w:asciiTheme="minorEastAsia" w:hAnsiTheme="minorEastAsia"/>
          <w:szCs w:val="21"/>
        </w:rPr>
        <w:t>）</w:t>
      </w:r>
    </w:p>
    <w:p w14:paraId="28DFFA04">
      <w:pPr>
        <w:pStyle w:val="12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133725"/>
            <wp:effectExtent l="0" t="0" r="2540" b="0"/>
            <wp:docPr id="7" name="图片 7" descr="e94bc540fc7b5dd405f207f205e0ce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94bc540fc7b5dd405f207f205e0cec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BCD">
      <w:pPr>
        <w:rPr>
          <w:rFonts w:hint="eastAsia" w:asciiTheme="minorEastAsia" w:hAnsiTheme="minorEastAsia"/>
          <w:szCs w:val="21"/>
        </w:rPr>
      </w:pPr>
    </w:p>
    <w:p w14:paraId="06AC8DEF">
      <w:pPr>
        <w:rPr>
          <w:rFonts w:hint="eastAsia" w:asciiTheme="minorEastAsia" w:hAnsiTheme="minorEastAsia"/>
          <w:szCs w:val="21"/>
        </w:rPr>
      </w:pPr>
    </w:p>
    <w:p w14:paraId="7DD931EE">
      <w:pPr>
        <w:rPr>
          <w:rFonts w:hint="eastAsia" w:asciiTheme="minorEastAsia" w:hAnsiTheme="minorEastAsia"/>
          <w:szCs w:val="21"/>
        </w:rPr>
      </w:pPr>
    </w:p>
    <w:p w14:paraId="58B15A33"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（3）对比分析仿真与测试的频率特性（含R</w:t>
      </w:r>
      <w:r>
        <w:rPr>
          <w:rFonts w:hint="eastAsia" w:asciiTheme="minorEastAsia" w:hAnsiTheme="minorEastAsia"/>
          <w:szCs w:val="21"/>
          <w:vertAlign w:val="subscript"/>
        </w:rPr>
        <w:t>3</w:t>
      </w:r>
      <w:r>
        <w:rPr>
          <w:rFonts w:hint="eastAsia" w:asciiTheme="minorEastAsia" w:hAnsiTheme="minorEastAsia"/>
          <w:szCs w:val="21"/>
        </w:rPr>
        <w:t>和R</w:t>
      </w:r>
      <w:r>
        <w:rPr>
          <w:rFonts w:hint="eastAsia" w:asciiTheme="minorEastAsia" w:hAnsiTheme="minorEastAsia"/>
          <w:szCs w:val="21"/>
          <w:vertAlign w:val="subscript"/>
        </w:rPr>
        <w:t>4</w:t>
      </w:r>
      <w:r>
        <w:rPr>
          <w:rFonts w:hint="eastAsia" w:asciiTheme="minorEastAsia" w:hAnsiTheme="minorEastAsia"/>
          <w:szCs w:val="21"/>
        </w:rPr>
        <w:t>未对调前的数据）：</w:t>
      </w:r>
    </w:p>
    <w:p w14:paraId="7E875E4B">
      <w:pPr>
        <w:pStyle w:val="12"/>
        <w:ind w:left="360" w:firstLine="0" w:firstLineChars="0"/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表2-</w:t>
      </w:r>
      <w:r>
        <w:rPr>
          <w:rFonts w:asciiTheme="minorEastAsia" w:hAnsiTheme="minorEastAsia"/>
          <w:szCs w:val="21"/>
        </w:rPr>
        <w:t>2</w:t>
      </w:r>
      <w:r>
        <w:rPr>
          <w:rFonts w:hint="eastAsia" w:asciiTheme="minorEastAsia" w:hAnsiTheme="minorEastAsia"/>
          <w:szCs w:val="21"/>
        </w:rPr>
        <w:t xml:space="preserve">  0.01uF电路加深反馈前、后的频率特性对比</w:t>
      </w:r>
    </w:p>
    <w:tbl>
      <w:tblPr>
        <w:tblStyle w:val="9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1984"/>
        <w:gridCol w:w="1984"/>
      </w:tblGrid>
      <w:tr w14:paraId="40F485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 w14:paraId="2EA33AB3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4" w:type="dxa"/>
          </w:tcPr>
          <w:p w14:paraId="4CEE0ABD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增益（dB）</w:t>
            </w:r>
          </w:p>
        </w:tc>
        <w:tc>
          <w:tcPr>
            <w:tcW w:w="1984" w:type="dxa"/>
          </w:tcPr>
          <w:p w14:paraId="3CA7FF19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下限截频</w:t>
            </w:r>
          </w:p>
        </w:tc>
        <w:tc>
          <w:tcPr>
            <w:tcW w:w="1984" w:type="dxa"/>
          </w:tcPr>
          <w:p w14:paraId="363C658A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上限截频</w:t>
            </w:r>
          </w:p>
        </w:tc>
      </w:tr>
      <w:tr w14:paraId="0CFA77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984" w:type="dxa"/>
          </w:tcPr>
          <w:p w14:paraId="28072CB4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14:paraId="45E4F909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22.86</w:t>
            </w:r>
          </w:p>
        </w:tc>
        <w:tc>
          <w:tcPr>
            <w:tcW w:w="1984" w:type="dxa"/>
            <w:tcBorders>
              <w:tr2bl w:val="single" w:color="auto" w:sz="4" w:space="0"/>
            </w:tcBorders>
          </w:tcPr>
          <w:p w14:paraId="796B5EEE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color="auto" w:sz="4" w:space="0"/>
            </w:tcBorders>
          </w:tcPr>
          <w:p w14:paraId="2613DC48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14:paraId="38DB03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 w14:paraId="1143A284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仿真（浅负反馈）</w:t>
            </w:r>
          </w:p>
        </w:tc>
        <w:tc>
          <w:tcPr>
            <w:tcW w:w="1984" w:type="dxa"/>
            <w:shd w:val="clear" w:color="auto" w:fill="auto"/>
            <w:vAlign w:val="top"/>
          </w:tcPr>
          <w:p w14:paraId="43105CC9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22.89</w:t>
            </w:r>
          </w:p>
        </w:tc>
        <w:tc>
          <w:tcPr>
            <w:tcW w:w="1984" w:type="dxa"/>
            <w:shd w:val="clear" w:color="auto" w:fill="auto"/>
            <w:vAlign w:val="top"/>
          </w:tcPr>
          <w:p w14:paraId="35E55316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31.25Hz</w:t>
            </w:r>
          </w:p>
        </w:tc>
        <w:tc>
          <w:tcPr>
            <w:tcW w:w="1984" w:type="dxa"/>
            <w:shd w:val="clear" w:color="auto" w:fill="auto"/>
            <w:vAlign w:val="top"/>
          </w:tcPr>
          <w:p w14:paraId="6569A097">
            <w:pPr>
              <w:pStyle w:val="12"/>
              <w:ind w:firstLine="0" w:firstLineChars="0"/>
              <w:rPr>
                <w:rFonts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17.77kHz</w:t>
            </w:r>
          </w:p>
        </w:tc>
      </w:tr>
      <w:tr w14:paraId="30F785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  <w:tcBorders>
              <w:bottom w:val="single" w:color="auto" w:sz="18" w:space="0"/>
            </w:tcBorders>
          </w:tcPr>
          <w:p w14:paraId="314333C0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color="auto" w:sz="18" w:space="0"/>
            </w:tcBorders>
            <w:shd w:val="clear" w:color="auto" w:fill="auto"/>
            <w:vAlign w:val="top"/>
          </w:tcPr>
          <w:p w14:paraId="50BB5698">
            <w:pPr>
              <w:pStyle w:val="12"/>
              <w:ind w:firstLine="0" w:firstLineChars="0"/>
              <w:rPr>
                <w:rFonts w:hint="default"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22.01</w:t>
            </w:r>
          </w:p>
        </w:tc>
        <w:tc>
          <w:tcPr>
            <w:tcW w:w="1984" w:type="dxa"/>
            <w:tcBorders>
              <w:bottom w:val="single" w:color="auto" w:sz="18" w:space="0"/>
            </w:tcBorders>
            <w:shd w:val="clear" w:color="auto" w:fill="auto"/>
            <w:vAlign w:val="top"/>
          </w:tcPr>
          <w:p w14:paraId="0AC1D1DF">
            <w:pPr>
              <w:pStyle w:val="12"/>
              <w:ind w:firstLine="0" w:firstLineChars="0"/>
              <w:rPr>
                <w:rFonts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34.6Hz</w:t>
            </w:r>
          </w:p>
        </w:tc>
        <w:tc>
          <w:tcPr>
            <w:tcW w:w="1984" w:type="dxa"/>
            <w:tcBorders>
              <w:bottom w:val="single" w:color="auto" w:sz="18" w:space="0"/>
            </w:tcBorders>
            <w:shd w:val="clear" w:color="auto" w:fill="auto"/>
            <w:vAlign w:val="top"/>
          </w:tcPr>
          <w:p w14:paraId="575A11A2">
            <w:pPr>
              <w:pStyle w:val="12"/>
              <w:ind w:firstLine="0" w:firstLineChars="0"/>
              <w:rPr>
                <w:rFonts w:asciiTheme="minorEastAsia" w:hAnsiTheme="minorEastAsia" w:eastAsiaTheme="minorEastAsia" w:cstheme="minorBidi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16.7kHz</w:t>
            </w:r>
          </w:p>
        </w:tc>
      </w:tr>
      <w:tr w14:paraId="37B574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  <w:tcBorders>
              <w:top w:val="single" w:color="auto" w:sz="18" w:space="0"/>
            </w:tcBorders>
          </w:tcPr>
          <w:p w14:paraId="3A2CE7F4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color="auto" w:sz="18" w:space="0"/>
            </w:tcBorders>
          </w:tcPr>
          <w:p w14:paraId="7BFAF3DF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8.26</w:t>
            </w:r>
          </w:p>
        </w:tc>
        <w:tc>
          <w:tcPr>
            <w:tcW w:w="1984" w:type="dxa"/>
            <w:tcBorders>
              <w:top w:val="single" w:color="auto" w:sz="18" w:space="0"/>
              <w:tr2bl w:val="single" w:color="auto" w:sz="4" w:space="0"/>
            </w:tcBorders>
          </w:tcPr>
          <w:p w14:paraId="0E86EAD7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color="auto" w:sz="18" w:space="0"/>
              <w:tr2bl w:val="single" w:color="auto" w:sz="4" w:space="0"/>
            </w:tcBorders>
          </w:tcPr>
          <w:p w14:paraId="43057E93">
            <w:pPr>
              <w:pStyle w:val="12"/>
              <w:ind w:firstLine="0" w:firstLineChars="0"/>
              <w:rPr>
                <w:rFonts w:asciiTheme="minorEastAsia" w:hAnsiTheme="minorEastAsia"/>
                <w:color w:val="FF0000"/>
                <w:szCs w:val="21"/>
              </w:rPr>
            </w:pPr>
          </w:p>
        </w:tc>
      </w:tr>
      <w:tr w14:paraId="5338D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 w14:paraId="3A22E57C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14:paraId="1D5C25C2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9.16</w:t>
            </w:r>
          </w:p>
        </w:tc>
        <w:tc>
          <w:tcPr>
            <w:tcW w:w="1984" w:type="dxa"/>
          </w:tcPr>
          <w:p w14:paraId="522866E1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4.47Hz</w:t>
            </w:r>
          </w:p>
        </w:tc>
        <w:tc>
          <w:tcPr>
            <w:tcW w:w="1984" w:type="dxa"/>
          </w:tcPr>
          <w:p w14:paraId="10EF58A9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20.14</w:t>
            </w:r>
            <w:bookmarkStart w:id="0" w:name="_GoBack"/>
            <w:bookmarkEnd w:id="0"/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kHz</w:t>
            </w:r>
          </w:p>
        </w:tc>
      </w:tr>
      <w:tr w14:paraId="45BDB8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 w14:paraId="25C045DD">
            <w:pPr>
              <w:pStyle w:val="12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14:paraId="310B8ADA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8.43</w:t>
            </w:r>
          </w:p>
        </w:tc>
        <w:tc>
          <w:tcPr>
            <w:tcW w:w="1984" w:type="dxa"/>
          </w:tcPr>
          <w:p w14:paraId="41E14202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4.61Hz</w:t>
            </w:r>
          </w:p>
        </w:tc>
        <w:tc>
          <w:tcPr>
            <w:tcW w:w="1984" w:type="dxa"/>
          </w:tcPr>
          <w:p w14:paraId="5378D270">
            <w:pPr>
              <w:pStyle w:val="12"/>
              <w:ind w:firstLine="0" w:firstLineChars="0"/>
              <w:rPr>
                <w:rFonts w:hint="default" w:asciiTheme="minorEastAsia" w:hAnsiTheme="minorEastAsia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FF0000"/>
                <w:szCs w:val="21"/>
                <w:lang w:val="en-US" w:eastAsia="zh-CN"/>
              </w:rPr>
              <w:t>20.8kHz</w:t>
            </w:r>
          </w:p>
        </w:tc>
      </w:tr>
    </w:tbl>
    <w:p w14:paraId="05F7A4CF">
      <w:pPr>
        <w:pStyle w:val="12"/>
        <w:ind w:left="569" w:leftChars="171" w:hanging="210" w:hangingChars="10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分析加深负反馈前后仿真与测试的指标差别，包括前后增益的变化、前后上下限截止频滤的变化等。</w:t>
      </w:r>
    </w:p>
    <w:p w14:paraId="020B49F9">
      <w:pPr>
        <w:pStyle w:val="12"/>
        <w:ind w:firstLine="0" w:firstLineChars="0"/>
        <w:rPr>
          <w:rFonts w:hint="default" w:asciiTheme="minorEastAsia" w:hAnsiTheme="minorEastAsia"/>
          <w:szCs w:val="21"/>
          <w:lang w:val="en-US" w:eastAsia="zh-CN"/>
        </w:rPr>
      </w:pPr>
      <w:r>
        <w:rPr>
          <w:rFonts w:hint="eastAsia" w:asciiTheme="minorEastAsia" w:hAnsiTheme="minorEastAsia"/>
          <w:szCs w:val="21"/>
          <w:lang w:val="en-US" w:eastAsia="zh-CN"/>
        </w:rPr>
        <w:t>加深负反馈使得增益降低，放大倍数减小，上限截止频率提高，加深负反馈增加了通频带的宽度，使得电路在高频段更加的稳定，下限截止频率变化不大，由于通频带和增益是一对trade-off，在牺牲部分增益的情况下增加了通频带的宽度</w:t>
      </w:r>
    </w:p>
    <w:p w14:paraId="621F8622">
      <w:pPr>
        <w:pStyle w:val="12"/>
        <w:numPr>
          <w:ilvl w:val="0"/>
          <w:numId w:val="1"/>
        </w:numPr>
        <w:ind w:firstLineChars="0"/>
        <w:rPr>
          <w:rFonts w:asciiTheme="minorEastAsia" w:hAnsiTheme="min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计算、仿真、测试共射放大电路过程中的体会。</w:t>
      </w:r>
    </w:p>
    <w:p w14:paraId="7C96127A">
      <w:pPr>
        <w:pStyle w:val="6"/>
        <w:keepNext w:val="0"/>
        <w:keepLines w:val="0"/>
        <w:widowControl/>
        <w:suppressLineNumbers w:val="0"/>
        <w:spacing w:line="360" w:lineRule="auto"/>
        <w:rPr>
          <w:rFonts w:asciiTheme="minorEastAsia" w:hAnsiTheme="minorEastAsia"/>
          <w:b/>
          <w:color w:val="0070C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</w:rPr>
        <w:t>通过本次共射放大电路的计算、仿真和测试实验，我深刻体会到理论计算与实际测量之间存在一定差异，主要源于晶体管参数的偏差和器件的非理想特性；仿真工具如Multisim在电路设计和调试中发挥了重要作用，但需要根据实测参数调整模型以提高准确性</w:t>
      </w:r>
      <w:r>
        <w:rPr>
          <w:rFonts w:hint="eastAsia" w:asciiTheme="minorEastAsia" w:hAnsiTheme="minorEastAsia" w:cstheme="minorEastAsia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</w:rPr>
        <w:t>此外，本次实验强化了我的电路测量技能和对电路细节的关注意识，如元件极性和接线质量对电路性能的影响都不可忽视，整体提升了我对模拟放大电路工作的理解和实践能力。</w:t>
      </w:r>
    </w:p>
    <w:p w14:paraId="1B1ACC20">
      <w:pPr>
        <w:pStyle w:val="12"/>
        <w:ind w:left="0" w:leftChars="0" w:firstLine="0" w:firstLineChars="0"/>
        <w:rPr>
          <w:rFonts w:asciiTheme="minorEastAsia" w:hAnsiTheme="minorEastAsia"/>
          <w:b/>
          <w:sz w:val="32"/>
          <w:szCs w:val="32"/>
        </w:rPr>
      </w:pPr>
      <w:r>
        <w:rPr>
          <w:rFonts w:hint="eastAsia" w:asciiTheme="minorEastAsia" w:hAnsiTheme="minorEastAsia"/>
          <w:b/>
          <w:sz w:val="32"/>
          <w:szCs w:val="32"/>
        </w:rPr>
        <w:t>附录：</w:t>
      </w:r>
      <w:r>
        <w:rPr>
          <w:rFonts w:hint="eastAsia"/>
          <w:sz w:val="36"/>
          <w:szCs w:val="36"/>
        </w:rPr>
        <w:t>Multisim中</w:t>
      </w:r>
      <w:r>
        <w:rPr>
          <w:rFonts w:hint="eastAsia" w:asciiTheme="minorEastAsia" w:hAnsiTheme="minorEastAsia"/>
          <w:b/>
          <w:sz w:val="32"/>
          <w:szCs w:val="32"/>
        </w:rPr>
        <w:t>晶体管模型参数修改表：</w:t>
      </w:r>
    </w:p>
    <w:p w14:paraId="71C695D2">
      <w:pP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调用2N5551晶体管模型，修改晶体管的相关参数（见下表，除表中各项需要修改外，其他不变）</w:t>
      </w:r>
    </w:p>
    <w:p w14:paraId="33812FEC">
      <w:pP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8647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4"/>
        <w:gridCol w:w="1490"/>
        <w:gridCol w:w="2740"/>
        <w:gridCol w:w="1483"/>
      </w:tblGrid>
      <w:tr w14:paraId="7E195E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2934" w:type="dxa"/>
          </w:tcPr>
          <w:p w14:paraId="65783D85"/>
        </w:tc>
        <w:tc>
          <w:tcPr>
            <w:tcW w:w="1490" w:type="dxa"/>
          </w:tcPr>
          <w:p w14:paraId="40A6EDAC">
            <w:r>
              <w:t>原</w:t>
            </w:r>
            <w:r>
              <w:rPr>
                <w:rFonts w:hint="eastAsia"/>
              </w:rPr>
              <w:t>2N5551编辑模型参数</w:t>
            </w:r>
          </w:p>
        </w:tc>
        <w:tc>
          <w:tcPr>
            <w:tcW w:w="2740" w:type="dxa"/>
            <w:tcBorders>
              <w:right w:val="single" w:color="auto" w:sz="18" w:space="0"/>
            </w:tcBorders>
          </w:tcPr>
          <w:p w14:paraId="314DE1A9">
            <w:r>
              <w:t>修改后</w:t>
            </w:r>
            <w:r>
              <w:rPr>
                <w:rFonts w:hint="eastAsia"/>
              </w:rPr>
              <w:t>2N5551模型参数</w:t>
            </w:r>
          </w:p>
        </w:tc>
        <w:tc>
          <w:tcPr>
            <w:tcW w:w="1483" w:type="dxa"/>
            <w:tcBorders>
              <w:left w:val="single" w:color="auto" w:sz="18" w:space="0"/>
            </w:tcBorders>
          </w:tcPr>
          <w:p w14:paraId="2D5A811F"/>
        </w:tc>
      </w:tr>
      <w:tr w14:paraId="29E3A6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2934" w:type="dxa"/>
          </w:tcPr>
          <w:p w14:paraId="3B65DCB5">
            <w:r>
              <w:t>传递饱和电流</w:t>
            </w:r>
            <w:r>
              <w:rPr>
                <w:rFonts w:hint="eastAsia"/>
              </w:rPr>
              <w:t xml:space="preserve"> IS</w:t>
            </w:r>
          </w:p>
        </w:tc>
        <w:tc>
          <w:tcPr>
            <w:tcW w:w="1490" w:type="dxa"/>
          </w:tcPr>
          <w:p w14:paraId="23C90741">
            <w:r>
              <w:t>2.511e</w:t>
            </w:r>
            <w:r>
              <w:rPr>
                <w:rFonts w:hint="eastAsia"/>
              </w:rPr>
              <w:t>-015(f)</w:t>
            </w:r>
            <w:r>
              <w:t xml:space="preserve"> </w:t>
            </w:r>
          </w:p>
        </w:tc>
        <w:tc>
          <w:tcPr>
            <w:tcW w:w="2740" w:type="dxa"/>
            <w:tcBorders>
              <w:right w:val="single" w:color="auto" w:sz="18" w:space="0"/>
            </w:tcBorders>
          </w:tcPr>
          <w:p w14:paraId="14C4BFC0">
            <w:r>
              <w:rPr>
                <w:rFonts w:hint="eastAsia"/>
              </w:rPr>
              <w:t>3.92e-014</w:t>
            </w:r>
          </w:p>
        </w:tc>
        <w:tc>
          <w:tcPr>
            <w:tcW w:w="1483" w:type="dxa"/>
            <w:tcBorders>
              <w:left w:val="single" w:color="auto" w:sz="18" w:space="0"/>
            </w:tcBorders>
          </w:tcPr>
          <w:p w14:paraId="55C42B09"/>
        </w:tc>
      </w:tr>
      <w:tr w14:paraId="23E6CF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2934" w:type="dxa"/>
          </w:tcPr>
          <w:p w14:paraId="109BF226">
            <w:r>
              <w:rPr>
                <w:rFonts w:hint="eastAsia"/>
              </w:rPr>
              <w:t>理想最大正向放大倍数BF</w:t>
            </w:r>
          </w:p>
        </w:tc>
        <w:tc>
          <w:tcPr>
            <w:tcW w:w="1490" w:type="dxa"/>
          </w:tcPr>
          <w:p w14:paraId="44375EEE">
            <w:pPr>
              <w:tabs>
                <w:tab w:val="left" w:pos="1324"/>
              </w:tabs>
            </w:pPr>
            <w:r>
              <w:rPr>
                <w:rFonts w:hint="eastAsia"/>
              </w:rPr>
              <w:t>242.6</w:t>
            </w:r>
            <w:r>
              <w:tab/>
            </w:r>
          </w:p>
        </w:tc>
        <w:tc>
          <w:tcPr>
            <w:tcW w:w="2740" w:type="dxa"/>
            <w:tcBorders>
              <w:right w:val="single" w:color="auto" w:sz="18" w:space="0"/>
            </w:tcBorders>
          </w:tcPr>
          <w:p w14:paraId="044B148E">
            <w:r>
              <w:rPr>
                <w:rFonts w:hint="eastAsia"/>
              </w:rPr>
              <w:t>（通过万用表实际测量β）</w:t>
            </w:r>
          </w:p>
        </w:tc>
        <w:tc>
          <w:tcPr>
            <w:tcW w:w="1483" w:type="dxa"/>
            <w:tcBorders>
              <w:left w:val="single" w:color="auto" w:sz="18" w:space="0"/>
            </w:tcBorders>
          </w:tcPr>
          <w:p w14:paraId="7F48F0FC"/>
        </w:tc>
      </w:tr>
      <w:tr w14:paraId="0C59C5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2934" w:type="dxa"/>
          </w:tcPr>
          <w:p w14:paraId="547122F5">
            <w:r>
              <w:rPr>
                <w:rFonts w:hint="eastAsia"/>
              </w:rPr>
              <w:t>正向厄尔利电压VAF</w:t>
            </w:r>
          </w:p>
        </w:tc>
        <w:tc>
          <w:tcPr>
            <w:tcW w:w="1490" w:type="dxa"/>
          </w:tcPr>
          <w:p w14:paraId="3D7292C4">
            <w:pPr>
              <w:tabs>
                <w:tab w:val="left" w:pos="1324"/>
              </w:tabs>
            </w:pPr>
            <w:r>
              <w:rPr>
                <w:rFonts w:hint="eastAsia"/>
              </w:rPr>
              <w:t>100</w:t>
            </w:r>
          </w:p>
        </w:tc>
        <w:tc>
          <w:tcPr>
            <w:tcW w:w="2740" w:type="dxa"/>
            <w:tcBorders>
              <w:right w:val="single" w:color="auto" w:sz="18" w:space="0"/>
            </w:tcBorders>
          </w:tcPr>
          <w:p w14:paraId="22871576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color="auto" w:sz="18" w:space="0"/>
            </w:tcBorders>
          </w:tcPr>
          <w:p w14:paraId="06D4B65B">
            <w:r>
              <w:rPr>
                <w:rFonts w:hint="eastAsia"/>
              </w:rPr>
              <w:t>修改目的是忽略基区调宽效应的影响</w:t>
            </w:r>
          </w:p>
        </w:tc>
      </w:tr>
      <w:tr w14:paraId="06232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2934" w:type="dxa"/>
          </w:tcPr>
          <w:p w14:paraId="6924080F">
            <w:r>
              <w:rPr>
                <w:rFonts w:hint="eastAsia"/>
              </w:rPr>
              <w:t>正向放大倍数高电流转角IKF</w:t>
            </w:r>
          </w:p>
        </w:tc>
        <w:tc>
          <w:tcPr>
            <w:tcW w:w="1490" w:type="dxa"/>
          </w:tcPr>
          <w:p w14:paraId="323C7646">
            <w:r>
              <w:rPr>
                <w:rFonts w:hint="eastAsia"/>
              </w:rPr>
              <w:t>0.3458</w:t>
            </w:r>
          </w:p>
        </w:tc>
        <w:tc>
          <w:tcPr>
            <w:tcW w:w="2740" w:type="dxa"/>
            <w:tcBorders>
              <w:right w:val="single" w:color="auto" w:sz="18" w:space="0"/>
            </w:tcBorders>
          </w:tcPr>
          <w:p w14:paraId="0B69BEEF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color="auto" w:sz="18" w:space="0"/>
            </w:tcBorders>
          </w:tcPr>
          <w:p w14:paraId="5A9C5350">
            <w:r>
              <w:rPr>
                <w:rFonts w:hint="eastAsia"/>
              </w:rPr>
              <w:t>不考虑大电流时β的下降</w:t>
            </w:r>
          </w:p>
        </w:tc>
      </w:tr>
      <w:tr w14:paraId="53E24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2934" w:type="dxa"/>
          </w:tcPr>
          <w:p w14:paraId="01EC88F1">
            <w:r>
              <w:rPr>
                <w:rFonts w:hint="eastAsia"/>
              </w:rPr>
              <w:t>B-E漏饱和电流 ISE</w:t>
            </w:r>
          </w:p>
        </w:tc>
        <w:tc>
          <w:tcPr>
            <w:tcW w:w="1490" w:type="dxa"/>
          </w:tcPr>
          <w:p w14:paraId="3650A3E4">
            <w:r>
              <w:rPr>
                <w:rFonts w:hint="eastAsia"/>
              </w:rPr>
              <w:t>2.511e-015(f)</w:t>
            </w:r>
          </w:p>
        </w:tc>
        <w:tc>
          <w:tcPr>
            <w:tcW w:w="2740" w:type="dxa"/>
            <w:tcBorders>
              <w:right w:val="single" w:color="auto" w:sz="18" w:space="0"/>
            </w:tcBorders>
          </w:tcPr>
          <w:p w14:paraId="171EDD96">
            <w:r>
              <w:rPr>
                <w:rFonts w:hint="eastAsia"/>
              </w:rPr>
              <w:t>0</w:t>
            </w:r>
          </w:p>
        </w:tc>
        <w:tc>
          <w:tcPr>
            <w:tcW w:w="1483" w:type="dxa"/>
            <w:tcBorders>
              <w:left w:val="single" w:color="auto" w:sz="18" w:space="0"/>
            </w:tcBorders>
          </w:tcPr>
          <w:p w14:paraId="0A471D55">
            <w:r>
              <w:rPr>
                <w:rFonts w:hint="eastAsia"/>
              </w:rPr>
              <w:t>不考虑小电流时β的下降</w:t>
            </w:r>
          </w:p>
        </w:tc>
      </w:tr>
    </w:tbl>
    <w:p w14:paraId="63A8B64C">
      <w:pPr>
        <w:rPr>
          <w:rFonts w:asciiTheme="minorEastAsia" w:hAnsiTheme="minorEastAsia"/>
          <w:b/>
          <w:color w:val="0070C0"/>
          <w:sz w:val="32"/>
          <w:szCs w:val="32"/>
        </w:rPr>
      </w:pPr>
    </w:p>
    <w:p w14:paraId="2F1016D3">
      <w:pPr>
        <w:rPr>
          <w:rFonts w:asciiTheme="minorEastAsia" w:hAnsiTheme="minorEastAsia"/>
          <w:b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6803C9"/>
    <w:multiLevelType w:val="singleLevel"/>
    <w:tmpl w:val="F16803C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7BA7497"/>
    <w:multiLevelType w:val="singleLevel"/>
    <w:tmpl w:val="F7BA7497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33C4323F"/>
    <w:multiLevelType w:val="multilevel"/>
    <w:tmpl w:val="33C4323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622"/>
    <w:rsid w:val="00000230"/>
    <w:rsid w:val="00004367"/>
    <w:rsid w:val="00015651"/>
    <w:rsid w:val="00026775"/>
    <w:rsid w:val="00027C97"/>
    <w:rsid w:val="000304D2"/>
    <w:rsid w:val="000345A3"/>
    <w:rsid w:val="00034FD5"/>
    <w:rsid w:val="00036BDC"/>
    <w:rsid w:val="0004436C"/>
    <w:rsid w:val="00044556"/>
    <w:rsid w:val="00052E41"/>
    <w:rsid w:val="00056F1A"/>
    <w:rsid w:val="0005777A"/>
    <w:rsid w:val="00062470"/>
    <w:rsid w:val="00071C32"/>
    <w:rsid w:val="00072EB6"/>
    <w:rsid w:val="00074DBA"/>
    <w:rsid w:val="0007540B"/>
    <w:rsid w:val="00086E22"/>
    <w:rsid w:val="00087606"/>
    <w:rsid w:val="00091D89"/>
    <w:rsid w:val="00095773"/>
    <w:rsid w:val="00095941"/>
    <w:rsid w:val="000A1A09"/>
    <w:rsid w:val="000B2571"/>
    <w:rsid w:val="000B57AA"/>
    <w:rsid w:val="000C5E9C"/>
    <w:rsid w:val="000D1504"/>
    <w:rsid w:val="000D22CB"/>
    <w:rsid w:val="000D2CE1"/>
    <w:rsid w:val="000E15BE"/>
    <w:rsid w:val="000E4705"/>
    <w:rsid w:val="000E7689"/>
    <w:rsid w:val="000F403B"/>
    <w:rsid w:val="000F489D"/>
    <w:rsid w:val="000F5A47"/>
    <w:rsid w:val="0010284B"/>
    <w:rsid w:val="00105B4E"/>
    <w:rsid w:val="00124F7B"/>
    <w:rsid w:val="00140D55"/>
    <w:rsid w:val="00143E41"/>
    <w:rsid w:val="00143FD3"/>
    <w:rsid w:val="00156F73"/>
    <w:rsid w:val="001631A9"/>
    <w:rsid w:val="0016424E"/>
    <w:rsid w:val="00165C40"/>
    <w:rsid w:val="00170F56"/>
    <w:rsid w:val="00172190"/>
    <w:rsid w:val="00173E3C"/>
    <w:rsid w:val="00177AF8"/>
    <w:rsid w:val="00177C5E"/>
    <w:rsid w:val="00184020"/>
    <w:rsid w:val="00186091"/>
    <w:rsid w:val="00187234"/>
    <w:rsid w:val="001A1D9E"/>
    <w:rsid w:val="001A242F"/>
    <w:rsid w:val="001A3CF6"/>
    <w:rsid w:val="001B0534"/>
    <w:rsid w:val="001C024A"/>
    <w:rsid w:val="001C4467"/>
    <w:rsid w:val="001C4F74"/>
    <w:rsid w:val="001C5C09"/>
    <w:rsid w:val="001D271E"/>
    <w:rsid w:val="001F1023"/>
    <w:rsid w:val="002077F8"/>
    <w:rsid w:val="00210823"/>
    <w:rsid w:val="002236AC"/>
    <w:rsid w:val="00223821"/>
    <w:rsid w:val="00224005"/>
    <w:rsid w:val="002378FB"/>
    <w:rsid w:val="00237A85"/>
    <w:rsid w:val="0024426C"/>
    <w:rsid w:val="00250F8F"/>
    <w:rsid w:val="00256013"/>
    <w:rsid w:val="00264DA8"/>
    <w:rsid w:val="00266589"/>
    <w:rsid w:val="00267D65"/>
    <w:rsid w:val="00270010"/>
    <w:rsid w:val="0027111C"/>
    <w:rsid w:val="00276F2E"/>
    <w:rsid w:val="00280B7A"/>
    <w:rsid w:val="00281B2F"/>
    <w:rsid w:val="00281BEA"/>
    <w:rsid w:val="00282FAF"/>
    <w:rsid w:val="0028575D"/>
    <w:rsid w:val="00285F01"/>
    <w:rsid w:val="00287628"/>
    <w:rsid w:val="00290116"/>
    <w:rsid w:val="002908AC"/>
    <w:rsid w:val="0029688C"/>
    <w:rsid w:val="00296BCE"/>
    <w:rsid w:val="00297939"/>
    <w:rsid w:val="00297DEF"/>
    <w:rsid w:val="002A1471"/>
    <w:rsid w:val="002A1723"/>
    <w:rsid w:val="002B5CB6"/>
    <w:rsid w:val="002D1F25"/>
    <w:rsid w:val="002D771D"/>
    <w:rsid w:val="002E57F5"/>
    <w:rsid w:val="002F1B2D"/>
    <w:rsid w:val="002F4A0E"/>
    <w:rsid w:val="00301BF9"/>
    <w:rsid w:val="00301E24"/>
    <w:rsid w:val="003031B6"/>
    <w:rsid w:val="003068F3"/>
    <w:rsid w:val="00312CB5"/>
    <w:rsid w:val="00315FCF"/>
    <w:rsid w:val="00332C9C"/>
    <w:rsid w:val="003428AC"/>
    <w:rsid w:val="00350E4E"/>
    <w:rsid w:val="0035104B"/>
    <w:rsid w:val="00352EDF"/>
    <w:rsid w:val="00353256"/>
    <w:rsid w:val="003535C7"/>
    <w:rsid w:val="003561A1"/>
    <w:rsid w:val="003577CA"/>
    <w:rsid w:val="003604F8"/>
    <w:rsid w:val="003609B3"/>
    <w:rsid w:val="00363137"/>
    <w:rsid w:val="00367F28"/>
    <w:rsid w:val="00372243"/>
    <w:rsid w:val="003742C9"/>
    <w:rsid w:val="003748CD"/>
    <w:rsid w:val="0037493B"/>
    <w:rsid w:val="00374CC2"/>
    <w:rsid w:val="00375414"/>
    <w:rsid w:val="003834AD"/>
    <w:rsid w:val="0039576C"/>
    <w:rsid w:val="003A101B"/>
    <w:rsid w:val="003A47A9"/>
    <w:rsid w:val="003A7A2E"/>
    <w:rsid w:val="003B038D"/>
    <w:rsid w:val="003B222D"/>
    <w:rsid w:val="003B24A9"/>
    <w:rsid w:val="003B686F"/>
    <w:rsid w:val="003B75CE"/>
    <w:rsid w:val="003C5F43"/>
    <w:rsid w:val="003C633D"/>
    <w:rsid w:val="003C6C48"/>
    <w:rsid w:val="003D00D5"/>
    <w:rsid w:val="003D2331"/>
    <w:rsid w:val="003D2D22"/>
    <w:rsid w:val="003E09CE"/>
    <w:rsid w:val="003E11AB"/>
    <w:rsid w:val="003E343B"/>
    <w:rsid w:val="003E4371"/>
    <w:rsid w:val="003E51C7"/>
    <w:rsid w:val="003F1D27"/>
    <w:rsid w:val="00411395"/>
    <w:rsid w:val="00414D6E"/>
    <w:rsid w:val="00423080"/>
    <w:rsid w:val="0042441E"/>
    <w:rsid w:val="00425723"/>
    <w:rsid w:val="00425CA7"/>
    <w:rsid w:val="004264FF"/>
    <w:rsid w:val="00426A5F"/>
    <w:rsid w:val="00437875"/>
    <w:rsid w:val="00437D77"/>
    <w:rsid w:val="004447A4"/>
    <w:rsid w:val="00445B2B"/>
    <w:rsid w:val="00445D15"/>
    <w:rsid w:val="004503A2"/>
    <w:rsid w:val="00454415"/>
    <w:rsid w:val="004552CA"/>
    <w:rsid w:val="0045684B"/>
    <w:rsid w:val="00461829"/>
    <w:rsid w:val="00465D68"/>
    <w:rsid w:val="00472429"/>
    <w:rsid w:val="00483246"/>
    <w:rsid w:val="00484D9D"/>
    <w:rsid w:val="004850ED"/>
    <w:rsid w:val="00485A28"/>
    <w:rsid w:val="00487F04"/>
    <w:rsid w:val="00493106"/>
    <w:rsid w:val="004A33D5"/>
    <w:rsid w:val="004A614E"/>
    <w:rsid w:val="004A65DA"/>
    <w:rsid w:val="004B43A3"/>
    <w:rsid w:val="004C23F6"/>
    <w:rsid w:val="004D348D"/>
    <w:rsid w:val="004D6990"/>
    <w:rsid w:val="004E149E"/>
    <w:rsid w:val="004E2599"/>
    <w:rsid w:val="004E6FBB"/>
    <w:rsid w:val="004F1F9B"/>
    <w:rsid w:val="004F3BF4"/>
    <w:rsid w:val="00505F15"/>
    <w:rsid w:val="00506891"/>
    <w:rsid w:val="00511759"/>
    <w:rsid w:val="00513B5B"/>
    <w:rsid w:val="005155AD"/>
    <w:rsid w:val="00515DC5"/>
    <w:rsid w:val="005225F6"/>
    <w:rsid w:val="005268A4"/>
    <w:rsid w:val="005357F3"/>
    <w:rsid w:val="00540A0E"/>
    <w:rsid w:val="005417AB"/>
    <w:rsid w:val="0054327F"/>
    <w:rsid w:val="00547304"/>
    <w:rsid w:val="00550DA1"/>
    <w:rsid w:val="00552976"/>
    <w:rsid w:val="00552CBC"/>
    <w:rsid w:val="005679A6"/>
    <w:rsid w:val="00580C65"/>
    <w:rsid w:val="00583712"/>
    <w:rsid w:val="005843EF"/>
    <w:rsid w:val="00584A2B"/>
    <w:rsid w:val="00591C4D"/>
    <w:rsid w:val="005A0C15"/>
    <w:rsid w:val="005A4838"/>
    <w:rsid w:val="005A6B28"/>
    <w:rsid w:val="005B6DAB"/>
    <w:rsid w:val="005C37C2"/>
    <w:rsid w:val="005E09DB"/>
    <w:rsid w:val="005E0E12"/>
    <w:rsid w:val="005E12A4"/>
    <w:rsid w:val="00607FEC"/>
    <w:rsid w:val="00621DE6"/>
    <w:rsid w:val="006254F7"/>
    <w:rsid w:val="00627D80"/>
    <w:rsid w:val="00636043"/>
    <w:rsid w:val="00645296"/>
    <w:rsid w:val="00651546"/>
    <w:rsid w:val="00654D79"/>
    <w:rsid w:val="006763B5"/>
    <w:rsid w:val="006966CC"/>
    <w:rsid w:val="006A6AB2"/>
    <w:rsid w:val="006B1349"/>
    <w:rsid w:val="006C63A8"/>
    <w:rsid w:val="006E654E"/>
    <w:rsid w:val="006E68FE"/>
    <w:rsid w:val="006F28D8"/>
    <w:rsid w:val="00701795"/>
    <w:rsid w:val="00705100"/>
    <w:rsid w:val="00711A99"/>
    <w:rsid w:val="007125EE"/>
    <w:rsid w:val="00714E19"/>
    <w:rsid w:val="00721C48"/>
    <w:rsid w:val="00723FCD"/>
    <w:rsid w:val="007307CA"/>
    <w:rsid w:val="00732B85"/>
    <w:rsid w:val="00733537"/>
    <w:rsid w:val="007343DF"/>
    <w:rsid w:val="00736D63"/>
    <w:rsid w:val="0074015F"/>
    <w:rsid w:val="00740CED"/>
    <w:rsid w:val="00741A16"/>
    <w:rsid w:val="00742F39"/>
    <w:rsid w:val="00744A8B"/>
    <w:rsid w:val="007506F2"/>
    <w:rsid w:val="0075458E"/>
    <w:rsid w:val="00755B24"/>
    <w:rsid w:val="00757C2D"/>
    <w:rsid w:val="00763494"/>
    <w:rsid w:val="00765CC7"/>
    <w:rsid w:val="00766117"/>
    <w:rsid w:val="00784515"/>
    <w:rsid w:val="007863CB"/>
    <w:rsid w:val="00790AB8"/>
    <w:rsid w:val="007B3873"/>
    <w:rsid w:val="007B690C"/>
    <w:rsid w:val="007C34C7"/>
    <w:rsid w:val="007C3C81"/>
    <w:rsid w:val="007C4C09"/>
    <w:rsid w:val="007D261F"/>
    <w:rsid w:val="007D4446"/>
    <w:rsid w:val="007D5266"/>
    <w:rsid w:val="007D792A"/>
    <w:rsid w:val="00824D32"/>
    <w:rsid w:val="00827007"/>
    <w:rsid w:val="00830E7C"/>
    <w:rsid w:val="00841861"/>
    <w:rsid w:val="00845513"/>
    <w:rsid w:val="00852E00"/>
    <w:rsid w:val="00854987"/>
    <w:rsid w:val="00857C81"/>
    <w:rsid w:val="00864D37"/>
    <w:rsid w:val="0086783C"/>
    <w:rsid w:val="0087050C"/>
    <w:rsid w:val="008812BE"/>
    <w:rsid w:val="00881963"/>
    <w:rsid w:val="0088757F"/>
    <w:rsid w:val="008957F3"/>
    <w:rsid w:val="008A15E2"/>
    <w:rsid w:val="008A411B"/>
    <w:rsid w:val="008C6ED1"/>
    <w:rsid w:val="008C7352"/>
    <w:rsid w:val="008D33B2"/>
    <w:rsid w:val="008D3D13"/>
    <w:rsid w:val="008D7D38"/>
    <w:rsid w:val="008E240E"/>
    <w:rsid w:val="008F161C"/>
    <w:rsid w:val="008F44CE"/>
    <w:rsid w:val="008F7D48"/>
    <w:rsid w:val="009018F0"/>
    <w:rsid w:val="00905449"/>
    <w:rsid w:val="00926636"/>
    <w:rsid w:val="00927D62"/>
    <w:rsid w:val="00936462"/>
    <w:rsid w:val="00936BF9"/>
    <w:rsid w:val="00936C53"/>
    <w:rsid w:val="00945220"/>
    <w:rsid w:val="00946A98"/>
    <w:rsid w:val="009515C3"/>
    <w:rsid w:val="00964F63"/>
    <w:rsid w:val="00965C1A"/>
    <w:rsid w:val="00980095"/>
    <w:rsid w:val="00994131"/>
    <w:rsid w:val="009A25CC"/>
    <w:rsid w:val="009A2CA9"/>
    <w:rsid w:val="009B27FC"/>
    <w:rsid w:val="009B39D7"/>
    <w:rsid w:val="009C1058"/>
    <w:rsid w:val="009C1BD8"/>
    <w:rsid w:val="009C5B07"/>
    <w:rsid w:val="009C5E10"/>
    <w:rsid w:val="009D0F04"/>
    <w:rsid w:val="009D2060"/>
    <w:rsid w:val="009D5B20"/>
    <w:rsid w:val="009E0969"/>
    <w:rsid w:val="009E0C9C"/>
    <w:rsid w:val="009E3B7E"/>
    <w:rsid w:val="009E739B"/>
    <w:rsid w:val="009E7911"/>
    <w:rsid w:val="009F166C"/>
    <w:rsid w:val="009F3539"/>
    <w:rsid w:val="009F4C79"/>
    <w:rsid w:val="009F5F3C"/>
    <w:rsid w:val="00A1288D"/>
    <w:rsid w:val="00A16F3E"/>
    <w:rsid w:val="00A2156C"/>
    <w:rsid w:val="00A252D8"/>
    <w:rsid w:val="00A32F58"/>
    <w:rsid w:val="00A3317E"/>
    <w:rsid w:val="00A35A40"/>
    <w:rsid w:val="00A40208"/>
    <w:rsid w:val="00A4409C"/>
    <w:rsid w:val="00A5301E"/>
    <w:rsid w:val="00A5450F"/>
    <w:rsid w:val="00A570FD"/>
    <w:rsid w:val="00A60ED7"/>
    <w:rsid w:val="00A778A3"/>
    <w:rsid w:val="00A825C6"/>
    <w:rsid w:val="00A85431"/>
    <w:rsid w:val="00A865DC"/>
    <w:rsid w:val="00A87A60"/>
    <w:rsid w:val="00A93795"/>
    <w:rsid w:val="00A96D7A"/>
    <w:rsid w:val="00AA0CC5"/>
    <w:rsid w:val="00AA7773"/>
    <w:rsid w:val="00AC1AD3"/>
    <w:rsid w:val="00AC4C37"/>
    <w:rsid w:val="00AD533F"/>
    <w:rsid w:val="00AD539E"/>
    <w:rsid w:val="00AD57D7"/>
    <w:rsid w:val="00AD5F93"/>
    <w:rsid w:val="00AE0506"/>
    <w:rsid w:val="00AE4AB1"/>
    <w:rsid w:val="00AE6771"/>
    <w:rsid w:val="00AE7BBF"/>
    <w:rsid w:val="00AF0452"/>
    <w:rsid w:val="00AF2BE4"/>
    <w:rsid w:val="00AF3908"/>
    <w:rsid w:val="00B13125"/>
    <w:rsid w:val="00B2491F"/>
    <w:rsid w:val="00B27C7C"/>
    <w:rsid w:val="00B324BD"/>
    <w:rsid w:val="00B45893"/>
    <w:rsid w:val="00B512A5"/>
    <w:rsid w:val="00B55CE3"/>
    <w:rsid w:val="00B62405"/>
    <w:rsid w:val="00B64502"/>
    <w:rsid w:val="00B77920"/>
    <w:rsid w:val="00B80660"/>
    <w:rsid w:val="00B911FD"/>
    <w:rsid w:val="00B9595D"/>
    <w:rsid w:val="00B97CC8"/>
    <w:rsid w:val="00BA0980"/>
    <w:rsid w:val="00BB7921"/>
    <w:rsid w:val="00BC035B"/>
    <w:rsid w:val="00BD0649"/>
    <w:rsid w:val="00BD442B"/>
    <w:rsid w:val="00BD4B10"/>
    <w:rsid w:val="00BD62FF"/>
    <w:rsid w:val="00BD679E"/>
    <w:rsid w:val="00BE076F"/>
    <w:rsid w:val="00BE1AE7"/>
    <w:rsid w:val="00BE4D6D"/>
    <w:rsid w:val="00BF498E"/>
    <w:rsid w:val="00C00320"/>
    <w:rsid w:val="00C11D01"/>
    <w:rsid w:val="00C12286"/>
    <w:rsid w:val="00C17741"/>
    <w:rsid w:val="00C27C08"/>
    <w:rsid w:val="00C27D17"/>
    <w:rsid w:val="00C27E31"/>
    <w:rsid w:val="00C37C6C"/>
    <w:rsid w:val="00C4738B"/>
    <w:rsid w:val="00C50134"/>
    <w:rsid w:val="00C53502"/>
    <w:rsid w:val="00C53C19"/>
    <w:rsid w:val="00C577F1"/>
    <w:rsid w:val="00C61BEE"/>
    <w:rsid w:val="00C62411"/>
    <w:rsid w:val="00C67520"/>
    <w:rsid w:val="00C72B9E"/>
    <w:rsid w:val="00C93248"/>
    <w:rsid w:val="00C96D97"/>
    <w:rsid w:val="00CA3446"/>
    <w:rsid w:val="00CA7FEF"/>
    <w:rsid w:val="00CB3021"/>
    <w:rsid w:val="00CB38CC"/>
    <w:rsid w:val="00CB7302"/>
    <w:rsid w:val="00CB7330"/>
    <w:rsid w:val="00CC11DF"/>
    <w:rsid w:val="00CC45DC"/>
    <w:rsid w:val="00CC5B41"/>
    <w:rsid w:val="00CD01D4"/>
    <w:rsid w:val="00CD20F8"/>
    <w:rsid w:val="00CE1918"/>
    <w:rsid w:val="00CE7D9B"/>
    <w:rsid w:val="00D072BD"/>
    <w:rsid w:val="00D13819"/>
    <w:rsid w:val="00D144F9"/>
    <w:rsid w:val="00D16B8E"/>
    <w:rsid w:val="00D25566"/>
    <w:rsid w:val="00D30C6C"/>
    <w:rsid w:val="00D33183"/>
    <w:rsid w:val="00D33603"/>
    <w:rsid w:val="00D44889"/>
    <w:rsid w:val="00D57776"/>
    <w:rsid w:val="00D62729"/>
    <w:rsid w:val="00D646F9"/>
    <w:rsid w:val="00D64F98"/>
    <w:rsid w:val="00D7555F"/>
    <w:rsid w:val="00D75977"/>
    <w:rsid w:val="00D836D0"/>
    <w:rsid w:val="00D86032"/>
    <w:rsid w:val="00D96D5C"/>
    <w:rsid w:val="00DA5368"/>
    <w:rsid w:val="00DA6B61"/>
    <w:rsid w:val="00DB0A21"/>
    <w:rsid w:val="00DB218C"/>
    <w:rsid w:val="00DC3732"/>
    <w:rsid w:val="00DD250B"/>
    <w:rsid w:val="00DD7228"/>
    <w:rsid w:val="00DE4C2C"/>
    <w:rsid w:val="00DE6622"/>
    <w:rsid w:val="00DF0E3A"/>
    <w:rsid w:val="00DF6C71"/>
    <w:rsid w:val="00DF72C0"/>
    <w:rsid w:val="00E11FB0"/>
    <w:rsid w:val="00E20F2D"/>
    <w:rsid w:val="00E36FEB"/>
    <w:rsid w:val="00E41184"/>
    <w:rsid w:val="00E42DD3"/>
    <w:rsid w:val="00E47B6B"/>
    <w:rsid w:val="00E536F7"/>
    <w:rsid w:val="00E67221"/>
    <w:rsid w:val="00E8355E"/>
    <w:rsid w:val="00E90F09"/>
    <w:rsid w:val="00EA5FC3"/>
    <w:rsid w:val="00EA7E2F"/>
    <w:rsid w:val="00EB02B8"/>
    <w:rsid w:val="00EB6A62"/>
    <w:rsid w:val="00EB7ED3"/>
    <w:rsid w:val="00EC7BBD"/>
    <w:rsid w:val="00EE7BAB"/>
    <w:rsid w:val="00F0224C"/>
    <w:rsid w:val="00F052CE"/>
    <w:rsid w:val="00F10396"/>
    <w:rsid w:val="00F12517"/>
    <w:rsid w:val="00F12FED"/>
    <w:rsid w:val="00F1632E"/>
    <w:rsid w:val="00F20014"/>
    <w:rsid w:val="00F31D1B"/>
    <w:rsid w:val="00F374E7"/>
    <w:rsid w:val="00F503BD"/>
    <w:rsid w:val="00F5222A"/>
    <w:rsid w:val="00F56A74"/>
    <w:rsid w:val="00F60CF3"/>
    <w:rsid w:val="00F72CD3"/>
    <w:rsid w:val="00F7329A"/>
    <w:rsid w:val="00F77926"/>
    <w:rsid w:val="00F77C3D"/>
    <w:rsid w:val="00F808F2"/>
    <w:rsid w:val="00F85710"/>
    <w:rsid w:val="00F87931"/>
    <w:rsid w:val="00F90A9B"/>
    <w:rsid w:val="00F914AE"/>
    <w:rsid w:val="00F948B8"/>
    <w:rsid w:val="00F97FAA"/>
    <w:rsid w:val="00FA0B5A"/>
    <w:rsid w:val="00FB5BA8"/>
    <w:rsid w:val="00FB7B52"/>
    <w:rsid w:val="00FC06AF"/>
    <w:rsid w:val="00FC27CC"/>
    <w:rsid w:val="00FC714D"/>
    <w:rsid w:val="00FD19FE"/>
    <w:rsid w:val="00FD44E6"/>
    <w:rsid w:val="00FD5083"/>
    <w:rsid w:val="00FE6772"/>
    <w:rsid w:val="00FF1493"/>
    <w:rsid w:val="00FF437B"/>
    <w:rsid w:val="00FF4744"/>
    <w:rsid w:val="036B3525"/>
    <w:rsid w:val="087B4365"/>
    <w:rsid w:val="0ACC3872"/>
    <w:rsid w:val="0B582F5C"/>
    <w:rsid w:val="0B845357"/>
    <w:rsid w:val="0DD73873"/>
    <w:rsid w:val="0E644B7F"/>
    <w:rsid w:val="166B1BE2"/>
    <w:rsid w:val="168D0E88"/>
    <w:rsid w:val="17F55F9F"/>
    <w:rsid w:val="1A973C89"/>
    <w:rsid w:val="1C7D1D6E"/>
    <w:rsid w:val="232A4FD6"/>
    <w:rsid w:val="23DF4673"/>
    <w:rsid w:val="27100386"/>
    <w:rsid w:val="2842037C"/>
    <w:rsid w:val="2BB57D18"/>
    <w:rsid w:val="3034062C"/>
    <w:rsid w:val="31D301A3"/>
    <w:rsid w:val="33A32775"/>
    <w:rsid w:val="35762DA6"/>
    <w:rsid w:val="36C519EB"/>
    <w:rsid w:val="38047899"/>
    <w:rsid w:val="380E63E5"/>
    <w:rsid w:val="38EF4C3B"/>
    <w:rsid w:val="3B0104D9"/>
    <w:rsid w:val="3C2512A8"/>
    <w:rsid w:val="3DF50308"/>
    <w:rsid w:val="400A07EE"/>
    <w:rsid w:val="4701014B"/>
    <w:rsid w:val="4792248F"/>
    <w:rsid w:val="4A0449F6"/>
    <w:rsid w:val="4DE660C8"/>
    <w:rsid w:val="4F6463E1"/>
    <w:rsid w:val="56165D70"/>
    <w:rsid w:val="56ED79CB"/>
    <w:rsid w:val="5DCB3ACF"/>
    <w:rsid w:val="623F4D36"/>
    <w:rsid w:val="62FB5799"/>
    <w:rsid w:val="6A0001AA"/>
    <w:rsid w:val="6B2558A6"/>
    <w:rsid w:val="6B4C4438"/>
    <w:rsid w:val="6C0F6866"/>
    <w:rsid w:val="6EF74436"/>
    <w:rsid w:val="71EB3488"/>
    <w:rsid w:val="73C86483"/>
    <w:rsid w:val="7C52040D"/>
    <w:rsid w:val="7D5C4E86"/>
    <w:rsid w:val="7E29495F"/>
    <w:rsid w:val="7F672B82"/>
    <w:rsid w:val="7FE5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6"/>
    <w:unhideWhenUsed/>
    <w:qFormat/>
    <w:uiPriority w:val="99"/>
    <w:pPr>
      <w:jc w:val="left"/>
    </w:pPr>
  </w:style>
  <w:style w:type="paragraph" w:styleId="3">
    <w:name w:val="Balloon Text"/>
    <w:basedOn w:val="1"/>
    <w:link w:val="13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annotation subject"/>
    <w:basedOn w:val="2"/>
    <w:next w:val="2"/>
    <w:link w:val="17"/>
    <w:unhideWhenUsed/>
    <w:qFormat/>
    <w:uiPriority w:val="99"/>
    <w:rPr>
      <w:b/>
      <w:bCs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annotation reference"/>
    <w:basedOn w:val="10"/>
    <w:unhideWhenUsed/>
    <w:qFormat/>
    <w:uiPriority w:val="99"/>
    <w:rPr>
      <w:sz w:val="21"/>
      <w:szCs w:val="21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字符"/>
    <w:basedOn w:val="10"/>
    <w:link w:val="3"/>
    <w:semiHidden/>
    <w:qFormat/>
    <w:uiPriority w:val="99"/>
    <w:rPr>
      <w:sz w:val="18"/>
      <w:szCs w:val="18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character" w:customStyle="1" w:styleId="16">
    <w:name w:val="批注文字 字符"/>
    <w:basedOn w:val="10"/>
    <w:link w:val="2"/>
    <w:semiHidden/>
    <w:qFormat/>
    <w:uiPriority w:val="99"/>
  </w:style>
  <w:style w:type="character" w:customStyle="1" w:styleId="17">
    <w:name w:val="批注主题 字符"/>
    <w:basedOn w:val="16"/>
    <w:link w:val="7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Microsoft_Visio_2003-2010___1.vsd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BEC11A-D2DD-4AEF-9FCC-81A628B318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SDWM</Company>
  <Pages>8</Pages>
  <Words>2538</Words>
  <Characters>3149</Characters>
  <Lines>15</Lines>
  <Paragraphs>4</Paragraphs>
  <TotalTime>38</TotalTime>
  <ScaleCrop>false</ScaleCrop>
  <LinksUpToDate>false</LinksUpToDate>
  <CharactersWithSpaces>3174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2017-11-08T06:01:00Z</dcterms:created>
  <dc:creator>Windows 用户</dc:creator>
  <cp:lastModifiedBy>.</cp:lastModifiedBy>
  <dcterms:modified xsi:type="dcterms:W3CDTF">2025-05-27T13:02:52Z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eyJoZGlkIjoiMGI2NTJkODVlNTU0Y2Q3ZTE3N2M3N2EzNjVjZDQzN2EiLCJ1c2VySWQiOiI2NzY0MDczNzQifQ==</vt:lpwstr>
  </property>
  <property fmtid="{D5CDD505-2E9C-101B-9397-08002B2CF9AE}" pid="4" name="ICV">
    <vt:lpwstr>9F048141387A41AB916AAB6DEA837EFA_12</vt:lpwstr>
  </property>
</Properties>
</file>