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66CA1" w14:textId="77777777" w:rsidR="00D26A32" w:rsidRDefault="00D26A32" w:rsidP="00D26A32">
      <w:pPr>
        <w:pStyle w:val="Titelblatt"/>
      </w:pPr>
      <w:bookmarkStart w:id="0" w:name="_Hlk39665811"/>
      <w:bookmarkEnd w:id="0"/>
    </w:p>
    <w:p w14:paraId="40F21788" w14:textId="77777777" w:rsidR="00D26A32" w:rsidRDefault="00D26A32" w:rsidP="00D26A32">
      <w:pPr>
        <w:pStyle w:val="Titelblatt"/>
      </w:pPr>
    </w:p>
    <w:p w14:paraId="227D9B58" w14:textId="77777777" w:rsidR="00D26A32" w:rsidRDefault="00D26A32" w:rsidP="00D26A32">
      <w:pPr>
        <w:pStyle w:val="Titelblatt"/>
      </w:pPr>
    </w:p>
    <w:p w14:paraId="47BD37C4" w14:textId="77777777" w:rsidR="00D26A32" w:rsidRDefault="00D26A32" w:rsidP="00D26A32">
      <w:pPr>
        <w:pStyle w:val="Titelblatt"/>
      </w:pPr>
    </w:p>
    <w:p w14:paraId="411127E7" w14:textId="77777777" w:rsidR="00A15F0B" w:rsidRDefault="00A15F0B" w:rsidP="00D26A32">
      <w:pPr>
        <w:pStyle w:val="Titelblatt"/>
      </w:pPr>
    </w:p>
    <w:p w14:paraId="4A34B09E" w14:textId="77777777" w:rsidR="002D46B3" w:rsidRDefault="002D46B3" w:rsidP="00D26A32">
      <w:pPr>
        <w:pStyle w:val="Titelblatt"/>
        <w:rPr>
          <w:sz w:val="24"/>
          <w:szCs w:val="24"/>
        </w:rPr>
      </w:pPr>
    </w:p>
    <w:p w14:paraId="62688639" w14:textId="77777777" w:rsidR="002D46B3" w:rsidRDefault="002D46B3" w:rsidP="00D26A32">
      <w:pPr>
        <w:pStyle w:val="Titelblatt"/>
        <w:rPr>
          <w:sz w:val="24"/>
          <w:szCs w:val="24"/>
        </w:rPr>
      </w:pPr>
    </w:p>
    <w:p w14:paraId="5EF216F7" w14:textId="77777777" w:rsidR="002D46B3" w:rsidRDefault="002D46B3" w:rsidP="00D26A32">
      <w:pPr>
        <w:pStyle w:val="Titelblatt"/>
        <w:rPr>
          <w:sz w:val="24"/>
          <w:szCs w:val="24"/>
        </w:rPr>
      </w:pPr>
    </w:p>
    <w:p w14:paraId="0867EEE8" w14:textId="322B4FF7" w:rsidR="00D26A32" w:rsidRPr="00027BB5" w:rsidRDefault="00D26A32" w:rsidP="00D26A32">
      <w:pPr>
        <w:pStyle w:val="Titelblatt"/>
        <w:rPr>
          <w:sz w:val="24"/>
          <w:szCs w:val="24"/>
        </w:rPr>
      </w:pPr>
      <w:r w:rsidRPr="00027BB5">
        <w:rPr>
          <w:sz w:val="24"/>
          <w:szCs w:val="24"/>
        </w:rPr>
        <w:t>Master Thesis</w:t>
      </w:r>
    </w:p>
    <w:p w14:paraId="1644E059" w14:textId="77777777" w:rsidR="00D26A32" w:rsidRPr="00027BB5" w:rsidRDefault="00D26A32" w:rsidP="00D26A32">
      <w:pPr>
        <w:pStyle w:val="Titelblatt"/>
        <w:rPr>
          <w:sz w:val="24"/>
          <w:szCs w:val="24"/>
        </w:rPr>
      </w:pPr>
    </w:p>
    <w:p w14:paraId="6B5F744C" w14:textId="77777777" w:rsidR="00027BB5" w:rsidRPr="00027BB5" w:rsidRDefault="00027BB5" w:rsidP="00D26A32">
      <w:pPr>
        <w:pStyle w:val="Titelblatt"/>
        <w:rPr>
          <w:sz w:val="24"/>
          <w:szCs w:val="24"/>
        </w:rPr>
      </w:pPr>
    </w:p>
    <w:p w14:paraId="47FD69C4" w14:textId="77777777" w:rsidR="00D26A32" w:rsidRDefault="00D26A32" w:rsidP="00D26A32">
      <w:pPr>
        <w:pStyle w:val="Titelblatt"/>
        <w:rPr>
          <w:sz w:val="24"/>
          <w:szCs w:val="24"/>
        </w:rPr>
      </w:pPr>
    </w:p>
    <w:p w14:paraId="5FCF5C3E" w14:textId="77777777" w:rsidR="005A044F" w:rsidRPr="00027BB5" w:rsidRDefault="005A044F" w:rsidP="00D26A32">
      <w:pPr>
        <w:pStyle w:val="Titelblatt"/>
        <w:rPr>
          <w:sz w:val="24"/>
          <w:szCs w:val="24"/>
        </w:rPr>
      </w:pPr>
    </w:p>
    <w:p w14:paraId="3112A0C6" w14:textId="20B61953" w:rsidR="00CC134D" w:rsidRPr="00027BB5" w:rsidRDefault="006466D5" w:rsidP="00CC134D">
      <w:pPr>
        <w:pStyle w:val="Titelblatt"/>
        <w:rPr>
          <w:b/>
          <w:bCs/>
          <w:sz w:val="28"/>
          <w:szCs w:val="28"/>
        </w:rPr>
      </w:pPr>
      <w:r>
        <w:rPr>
          <w:b/>
          <w:bCs/>
          <w:sz w:val="28"/>
          <w:szCs w:val="28"/>
        </w:rPr>
        <w:t xml:space="preserve">How to Distribute </w:t>
      </w:r>
      <w:r w:rsidR="004C71FD">
        <w:rPr>
          <w:b/>
          <w:bCs/>
          <w:sz w:val="28"/>
          <w:szCs w:val="28"/>
        </w:rPr>
        <w:t>New</w:t>
      </w:r>
      <w:r w:rsidR="00D370B9" w:rsidRPr="00D370B9">
        <w:rPr>
          <w:b/>
          <w:bCs/>
          <w:sz w:val="28"/>
          <w:szCs w:val="28"/>
        </w:rPr>
        <w:t xml:space="preserve"> Solar </w:t>
      </w:r>
      <w:r w:rsidR="00AE6C50">
        <w:rPr>
          <w:b/>
          <w:bCs/>
          <w:sz w:val="28"/>
          <w:szCs w:val="28"/>
        </w:rPr>
        <w:t>Systems</w:t>
      </w:r>
      <w:r w:rsidR="00D370B9" w:rsidRPr="00D370B9">
        <w:rPr>
          <w:b/>
          <w:bCs/>
          <w:sz w:val="28"/>
          <w:szCs w:val="28"/>
        </w:rPr>
        <w:t xml:space="preserve"> in Europe to Reduce</w:t>
      </w:r>
      <w:r>
        <w:rPr>
          <w:b/>
          <w:bCs/>
          <w:sz w:val="28"/>
          <w:szCs w:val="28"/>
        </w:rPr>
        <w:t xml:space="preserve"> Power </w:t>
      </w:r>
      <w:r w:rsidR="00D370B9" w:rsidRPr="00D370B9">
        <w:rPr>
          <w:b/>
          <w:bCs/>
          <w:sz w:val="28"/>
          <w:szCs w:val="28"/>
        </w:rPr>
        <w:t>Generation Variability</w:t>
      </w:r>
    </w:p>
    <w:p w14:paraId="32AE9523" w14:textId="77777777" w:rsidR="005A044F" w:rsidRPr="00027BB5" w:rsidRDefault="005A044F" w:rsidP="00D26A32">
      <w:pPr>
        <w:pStyle w:val="Titelblatt"/>
        <w:rPr>
          <w:b/>
          <w:bCs/>
          <w:sz w:val="24"/>
          <w:szCs w:val="24"/>
        </w:rPr>
      </w:pPr>
    </w:p>
    <w:p w14:paraId="6E9C24F2" w14:textId="77777777" w:rsidR="00027BB5" w:rsidRPr="00027BB5" w:rsidRDefault="00027BB5" w:rsidP="00D26A32">
      <w:pPr>
        <w:pStyle w:val="Titelblatt"/>
        <w:rPr>
          <w:b/>
          <w:bCs/>
          <w:sz w:val="24"/>
          <w:szCs w:val="24"/>
        </w:rPr>
      </w:pPr>
    </w:p>
    <w:p w14:paraId="774251D2" w14:textId="77777777" w:rsidR="00027BB5" w:rsidRPr="00027BB5" w:rsidRDefault="00027BB5" w:rsidP="00D26A32">
      <w:pPr>
        <w:pStyle w:val="Titelblatt"/>
        <w:rPr>
          <w:b/>
          <w:bCs/>
          <w:sz w:val="24"/>
          <w:szCs w:val="24"/>
        </w:rPr>
      </w:pPr>
    </w:p>
    <w:p w14:paraId="4649D382" w14:textId="77777777" w:rsidR="00182F6A" w:rsidRPr="00027BB5" w:rsidRDefault="00B67420" w:rsidP="00182F6A">
      <w:pPr>
        <w:pStyle w:val="Titelblatt"/>
        <w:rPr>
          <w:sz w:val="24"/>
          <w:szCs w:val="24"/>
        </w:rPr>
      </w:pPr>
      <w:r w:rsidRPr="00027BB5">
        <w:rPr>
          <w:sz w:val="24"/>
          <w:szCs w:val="24"/>
        </w:rPr>
        <w:t>Department</w:t>
      </w:r>
      <w:r w:rsidR="00182F6A" w:rsidRPr="00027BB5">
        <w:rPr>
          <w:sz w:val="24"/>
          <w:szCs w:val="24"/>
        </w:rPr>
        <w:t xml:space="preserve"> Environmental Systems Science / Earth Sciences, ETH Zürich</w:t>
      </w:r>
    </w:p>
    <w:p w14:paraId="19440390" w14:textId="77777777" w:rsidR="00D26A32" w:rsidRPr="00027BB5" w:rsidRDefault="00182F6A" w:rsidP="00182F6A">
      <w:pPr>
        <w:pStyle w:val="Titelblatt"/>
        <w:rPr>
          <w:sz w:val="24"/>
          <w:szCs w:val="24"/>
        </w:rPr>
      </w:pPr>
      <w:r w:rsidRPr="00027BB5">
        <w:rPr>
          <w:sz w:val="24"/>
          <w:szCs w:val="24"/>
        </w:rPr>
        <w:t>Institute for Atmospheric and Climate Science</w:t>
      </w:r>
    </w:p>
    <w:p w14:paraId="61495CEA" w14:textId="77777777" w:rsidR="005A044F" w:rsidRPr="00027BB5" w:rsidRDefault="005A044F" w:rsidP="00D26A32">
      <w:pPr>
        <w:pStyle w:val="Titelblatt"/>
        <w:rPr>
          <w:sz w:val="24"/>
          <w:szCs w:val="24"/>
        </w:rPr>
      </w:pPr>
    </w:p>
    <w:p w14:paraId="567E6049" w14:textId="77777777" w:rsidR="00B72974" w:rsidRDefault="00B72974" w:rsidP="00D26A32">
      <w:pPr>
        <w:pStyle w:val="Titelblatt"/>
        <w:rPr>
          <w:sz w:val="24"/>
          <w:szCs w:val="24"/>
        </w:rPr>
      </w:pPr>
    </w:p>
    <w:p w14:paraId="4940C435" w14:textId="77777777" w:rsidR="00027BB5" w:rsidRDefault="00027BB5" w:rsidP="00D26A32">
      <w:pPr>
        <w:pStyle w:val="Titelblatt"/>
        <w:rPr>
          <w:sz w:val="24"/>
          <w:szCs w:val="24"/>
        </w:rPr>
      </w:pPr>
    </w:p>
    <w:p w14:paraId="54B4107A" w14:textId="77777777" w:rsidR="00027BB5" w:rsidRPr="00027BB5" w:rsidRDefault="00027BB5" w:rsidP="00027BB5">
      <w:pPr>
        <w:pStyle w:val="Titelblatt"/>
        <w:rPr>
          <w:sz w:val="24"/>
          <w:szCs w:val="24"/>
        </w:rPr>
      </w:pPr>
      <w:r w:rsidRPr="00027BB5">
        <w:rPr>
          <w:sz w:val="24"/>
          <w:szCs w:val="24"/>
        </w:rPr>
        <w:t>Supervisors:</w:t>
      </w:r>
    </w:p>
    <w:p w14:paraId="1AE8EF64" w14:textId="77777777" w:rsidR="00B72974" w:rsidRPr="00027BB5" w:rsidRDefault="009B6820" w:rsidP="00B72974">
      <w:pPr>
        <w:pStyle w:val="Titelblatt"/>
        <w:rPr>
          <w:sz w:val="24"/>
          <w:szCs w:val="24"/>
        </w:rPr>
      </w:pPr>
      <w:proofErr w:type="spellStart"/>
      <w:r w:rsidRPr="00027BB5">
        <w:rPr>
          <w:sz w:val="24"/>
          <w:szCs w:val="24"/>
        </w:rPr>
        <w:t>Dr.</w:t>
      </w:r>
      <w:proofErr w:type="spellEnd"/>
      <w:r w:rsidRPr="00027BB5">
        <w:rPr>
          <w:sz w:val="24"/>
          <w:szCs w:val="24"/>
        </w:rPr>
        <w:t xml:space="preserve"> Jan Wohland</w:t>
      </w:r>
      <w:r w:rsidR="00BF41FE" w:rsidRPr="00027BB5">
        <w:rPr>
          <w:sz w:val="24"/>
          <w:szCs w:val="24"/>
        </w:rPr>
        <w:t>,</w:t>
      </w:r>
      <w:r w:rsidR="00B72974" w:rsidRPr="00027BB5">
        <w:rPr>
          <w:sz w:val="24"/>
          <w:szCs w:val="24"/>
        </w:rPr>
        <w:t xml:space="preserve"> Institute for Environmental Decisions, ETH Zürich</w:t>
      </w:r>
    </w:p>
    <w:p w14:paraId="75348559" w14:textId="77777777" w:rsidR="005A044F" w:rsidRDefault="009B6820" w:rsidP="00D26A32">
      <w:pPr>
        <w:pStyle w:val="Titelblatt"/>
        <w:rPr>
          <w:sz w:val="24"/>
          <w:szCs w:val="24"/>
        </w:rPr>
      </w:pPr>
      <w:r w:rsidRPr="00027BB5">
        <w:rPr>
          <w:sz w:val="24"/>
          <w:szCs w:val="24"/>
        </w:rPr>
        <w:t xml:space="preserve">Prof. </w:t>
      </w:r>
      <w:proofErr w:type="spellStart"/>
      <w:r w:rsidRPr="00027BB5">
        <w:rPr>
          <w:sz w:val="24"/>
          <w:szCs w:val="24"/>
        </w:rPr>
        <w:t>Dr.</w:t>
      </w:r>
      <w:proofErr w:type="spellEnd"/>
      <w:r w:rsidRPr="00027BB5">
        <w:rPr>
          <w:sz w:val="24"/>
          <w:szCs w:val="24"/>
        </w:rPr>
        <w:t xml:space="preserve"> Martin Wild</w:t>
      </w:r>
      <w:r w:rsidR="00D26A32" w:rsidRPr="00027BB5">
        <w:rPr>
          <w:sz w:val="24"/>
          <w:szCs w:val="24"/>
        </w:rPr>
        <w:t>, Institute for Atmospheric and Climate Science, ETH Zürich</w:t>
      </w:r>
    </w:p>
    <w:p w14:paraId="7AECA61C" w14:textId="77777777" w:rsidR="00E01E1B" w:rsidRDefault="00E01E1B" w:rsidP="00E01E1B">
      <w:pPr>
        <w:pStyle w:val="Titelblatt"/>
        <w:rPr>
          <w:sz w:val="24"/>
          <w:szCs w:val="24"/>
        </w:rPr>
      </w:pPr>
      <w:proofErr w:type="spellStart"/>
      <w:r w:rsidRPr="00E01E1B">
        <w:rPr>
          <w:sz w:val="24"/>
          <w:szCs w:val="24"/>
        </w:rPr>
        <w:t>Dr.</w:t>
      </w:r>
      <w:proofErr w:type="spellEnd"/>
      <w:r>
        <w:rPr>
          <w:sz w:val="24"/>
          <w:szCs w:val="24"/>
        </w:rPr>
        <w:t xml:space="preserve"> </w:t>
      </w:r>
      <w:r w:rsidRPr="00E01E1B">
        <w:rPr>
          <w:sz w:val="24"/>
          <w:szCs w:val="24"/>
        </w:rPr>
        <w:t>Doris Sylvia Folini,</w:t>
      </w:r>
      <w:r>
        <w:rPr>
          <w:sz w:val="24"/>
          <w:szCs w:val="24"/>
        </w:rPr>
        <w:t xml:space="preserve"> </w:t>
      </w:r>
      <w:r w:rsidRPr="00027BB5">
        <w:rPr>
          <w:sz w:val="24"/>
          <w:szCs w:val="24"/>
        </w:rPr>
        <w:t>Institute for Atmospheric and Climate Science, ETH Zürich</w:t>
      </w:r>
    </w:p>
    <w:p w14:paraId="63AD66E6" w14:textId="77777777" w:rsidR="00C251CD" w:rsidRDefault="00C251CD" w:rsidP="00E01E1B">
      <w:pPr>
        <w:pStyle w:val="Titelblatt"/>
        <w:rPr>
          <w:sz w:val="24"/>
          <w:szCs w:val="24"/>
        </w:rPr>
      </w:pPr>
      <w:proofErr w:type="spellStart"/>
      <w:r w:rsidRPr="00C251CD">
        <w:rPr>
          <w:sz w:val="24"/>
          <w:szCs w:val="24"/>
        </w:rPr>
        <w:t>Dr.</w:t>
      </w:r>
      <w:proofErr w:type="spellEnd"/>
      <w:r w:rsidRPr="00C251CD">
        <w:rPr>
          <w:sz w:val="24"/>
          <w:szCs w:val="24"/>
        </w:rPr>
        <w:t xml:space="preserve"> Stefan Pfenninger</w:t>
      </w:r>
      <w:r>
        <w:rPr>
          <w:sz w:val="24"/>
          <w:szCs w:val="24"/>
        </w:rPr>
        <w:t xml:space="preserve">, </w:t>
      </w:r>
      <w:r w:rsidRPr="00027BB5">
        <w:rPr>
          <w:sz w:val="24"/>
          <w:szCs w:val="24"/>
        </w:rPr>
        <w:t>Institute for Environmental Decisions, ETH Zürich</w:t>
      </w:r>
    </w:p>
    <w:p w14:paraId="0E516099" w14:textId="77777777" w:rsidR="00D26A32" w:rsidRPr="00027BB5" w:rsidRDefault="00D26A32" w:rsidP="000D0D43">
      <w:pPr>
        <w:pStyle w:val="Titelblatt"/>
        <w:ind w:firstLine="0"/>
        <w:jc w:val="both"/>
        <w:rPr>
          <w:sz w:val="24"/>
          <w:szCs w:val="24"/>
        </w:rPr>
      </w:pPr>
    </w:p>
    <w:p w14:paraId="30E7A26D" w14:textId="77777777" w:rsidR="00182F6A" w:rsidRPr="00027BB5" w:rsidRDefault="00182F6A" w:rsidP="00D26A32">
      <w:pPr>
        <w:pStyle w:val="Titelblatt"/>
        <w:rPr>
          <w:sz w:val="24"/>
          <w:szCs w:val="24"/>
        </w:rPr>
      </w:pPr>
    </w:p>
    <w:p w14:paraId="414F03D1" w14:textId="77777777" w:rsidR="00182F6A" w:rsidRPr="00027BB5" w:rsidRDefault="00182F6A" w:rsidP="00D26A32">
      <w:pPr>
        <w:pStyle w:val="Titelblatt"/>
        <w:rPr>
          <w:sz w:val="24"/>
          <w:szCs w:val="24"/>
        </w:rPr>
      </w:pPr>
    </w:p>
    <w:p w14:paraId="0F524910" w14:textId="77777777" w:rsidR="00D26A32" w:rsidRPr="00027BB5" w:rsidRDefault="00D26A32" w:rsidP="00D26A32">
      <w:pPr>
        <w:pStyle w:val="Titelblatt"/>
        <w:rPr>
          <w:sz w:val="24"/>
          <w:szCs w:val="24"/>
        </w:rPr>
      </w:pPr>
      <w:r w:rsidRPr="00027BB5">
        <w:rPr>
          <w:sz w:val="24"/>
          <w:szCs w:val="24"/>
        </w:rPr>
        <w:t>Submitted by</w:t>
      </w:r>
    </w:p>
    <w:p w14:paraId="62C9A003" w14:textId="77777777" w:rsidR="00D26A32" w:rsidRPr="00027BB5" w:rsidRDefault="005658E5" w:rsidP="00D26A32">
      <w:pPr>
        <w:pStyle w:val="Titelblatt"/>
        <w:rPr>
          <w:sz w:val="24"/>
          <w:szCs w:val="24"/>
        </w:rPr>
      </w:pPr>
      <w:r w:rsidRPr="00027BB5">
        <w:rPr>
          <w:sz w:val="24"/>
          <w:szCs w:val="24"/>
        </w:rPr>
        <w:t>Dirk Mühlemann</w:t>
      </w:r>
    </w:p>
    <w:p w14:paraId="6C0C6B94" w14:textId="77777777" w:rsidR="00D26A32" w:rsidRPr="00027BB5" w:rsidRDefault="005658E5" w:rsidP="00D26A32">
      <w:pPr>
        <w:pStyle w:val="Titelblatt"/>
        <w:rPr>
          <w:sz w:val="24"/>
          <w:szCs w:val="24"/>
        </w:rPr>
      </w:pPr>
      <w:r w:rsidRPr="00027BB5">
        <w:rPr>
          <w:sz w:val="24"/>
          <w:szCs w:val="24"/>
        </w:rPr>
        <w:t>13-732-037</w:t>
      </w:r>
    </w:p>
    <w:p w14:paraId="3387FA76" w14:textId="77777777" w:rsidR="00A15F0B" w:rsidRDefault="00027BB5" w:rsidP="00027BB5">
      <w:pPr>
        <w:pStyle w:val="Titelblatt"/>
      </w:pPr>
      <w:proofErr w:type="spellStart"/>
      <w:r>
        <w:rPr>
          <w:sz w:val="24"/>
          <w:szCs w:val="24"/>
        </w:rPr>
        <w:t>Uster</w:t>
      </w:r>
      <w:proofErr w:type="spellEnd"/>
      <w:r w:rsidR="005658E5" w:rsidRPr="00027BB5">
        <w:rPr>
          <w:sz w:val="24"/>
          <w:szCs w:val="24"/>
        </w:rPr>
        <w:t xml:space="preserve">, </w:t>
      </w:r>
      <w:r w:rsidR="00F63BA6">
        <w:rPr>
          <w:sz w:val="24"/>
          <w:szCs w:val="24"/>
        </w:rPr>
        <w:t>31</w:t>
      </w:r>
      <w:r w:rsidR="005658E5" w:rsidRPr="00027BB5">
        <w:rPr>
          <w:sz w:val="24"/>
          <w:szCs w:val="24"/>
        </w:rPr>
        <w:t>/0</w:t>
      </w:r>
      <w:r w:rsidR="00866661">
        <w:rPr>
          <w:sz w:val="24"/>
          <w:szCs w:val="24"/>
        </w:rPr>
        <w:t>5</w:t>
      </w:r>
      <w:r w:rsidR="005658E5" w:rsidRPr="00027BB5">
        <w:rPr>
          <w:sz w:val="24"/>
          <w:szCs w:val="24"/>
        </w:rPr>
        <w:t>/2020</w:t>
      </w:r>
      <w:r w:rsidR="00A15F0B">
        <w:br w:type="page"/>
      </w:r>
    </w:p>
    <w:p w14:paraId="02A057B7" w14:textId="77777777" w:rsidR="004D7AA2" w:rsidRPr="003327A0" w:rsidRDefault="004D7AA2" w:rsidP="00963B4B">
      <w:pPr>
        <w:pStyle w:val="berschrift0"/>
      </w:pPr>
      <w:r w:rsidRPr="003327A0">
        <w:lastRenderedPageBreak/>
        <w:t>Summary</w:t>
      </w:r>
    </w:p>
    <w:p w14:paraId="5C51A899" w14:textId="77777777" w:rsidR="002C2C01" w:rsidRDefault="002C2C01" w:rsidP="00E73121">
      <w:r>
        <w:t>To reduce greenhouse gas emissions and combat climate change</w:t>
      </w:r>
      <w:r w:rsidR="00166474">
        <w:t>,</w:t>
      </w:r>
      <w:r>
        <w:t xml:space="preserve"> </w:t>
      </w:r>
      <w:r w:rsidR="00166474">
        <w:t>the</w:t>
      </w:r>
      <w:r>
        <w:t xml:space="preserve"> electrical power production</w:t>
      </w:r>
      <w:r w:rsidR="00166474">
        <w:t xml:space="preserve"> sector</w:t>
      </w:r>
      <w:r>
        <w:t xml:space="preserve"> is facing a fundamental transition from conventional fossil to renewable technologies. The transition has already started</w:t>
      </w:r>
      <w:r w:rsidR="00A33A6A">
        <w:t>,</w:t>
      </w:r>
      <w:r>
        <w:t xml:space="preserve"> which can be seen by the great effort and ambitious targets of many nations around the globe. Installed</w:t>
      </w:r>
      <w:r w:rsidR="00A33A6A">
        <w:t xml:space="preserve"> power production</w:t>
      </w:r>
      <w:r>
        <w:t xml:space="preserve"> capacities of </w:t>
      </w:r>
      <w:r w:rsidR="00A33A6A">
        <w:t xml:space="preserve">solar </w:t>
      </w:r>
      <w:r w:rsidR="007358D5">
        <w:t>photovoltaics (PV)</w:t>
      </w:r>
      <w:r>
        <w:t xml:space="preserve"> are increasing every year and </w:t>
      </w:r>
      <w:r w:rsidR="00846664">
        <w:t xml:space="preserve">are already capable </w:t>
      </w:r>
      <w:r w:rsidR="00A33A6A">
        <w:t>of producing</w:t>
      </w:r>
      <w:r>
        <w:t xml:space="preserve"> around </w:t>
      </w:r>
      <w:r w:rsidR="003264D6">
        <w:t>5.5</w:t>
      </w:r>
      <w:r>
        <w:t xml:space="preserve">% of the Europeans </w:t>
      </w:r>
      <w:r w:rsidR="00E41C18">
        <w:t>electricity demand</w:t>
      </w:r>
      <w:r>
        <w:t>. Since</w:t>
      </w:r>
      <w:r w:rsidR="007358D5">
        <w:t xml:space="preserve"> PV</w:t>
      </w:r>
      <w:r>
        <w:t xml:space="preserve"> power </w:t>
      </w:r>
      <w:r w:rsidR="007923A8">
        <w:t>output</w:t>
      </w:r>
      <w:r>
        <w:t xml:space="preserve"> depends on weather and climate, it exhibits a highly variable production pattern. This variability challenges the electricity grids</w:t>
      </w:r>
      <w:r w:rsidR="00A33A6A">
        <w:t xml:space="preserve"> because </w:t>
      </w:r>
      <w:r w:rsidR="00AE6C50">
        <w:t>the</w:t>
      </w:r>
      <w:r w:rsidR="00A33A6A">
        <w:t xml:space="preserve"> stability</w:t>
      </w:r>
      <w:r w:rsidR="00AE6C50">
        <w:t xml:space="preserve"> of the grids</w:t>
      </w:r>
      <w:r w:rsidR="006C5F29">
        <w:t xml:space="preserve"> depends</w:t>
      </w:r>
      <w:r w:rsidR="00A33A6A">
        <w:t xml:space="preserve"> on balanced supply and demand. F</w:t>
      </w:r>
      <w:r>
        <w:t>urther</w:t>
      </w:r>
      <w:r w:rsidR="0071649B">
        <w:t xml:space="preserve"> massive deployment of PV</w:t>
      </w:r>
      <w:r>
        <w:t xml:space="preserve"> </w:t>
      </w:r>
      <w:r w:rsidR="00C7466F">
        <w:t>systems</w:t>
      </w:r>
      <w:r>
        <w:t xml:space="preserve"> could</w:t>
      </w:r>
      <w:r w:rsidR="00542D95">
        <w:t xml:space="preserve"> lead to an</w:t>
      </w:r>
      <w:r w:rsidR="00C7466F">
        <w:t xml:space="preserve"> increase</w:t>
      </w:r>
      <w:r w:rsidR="00542D95">
        <w:t xml:space="preserve"> of</w:t>
      </w:r>
      <w:r w:rsidR="00C7466F">
        <w:t xml:space="preserve"> the variability and therefore</w:t>
      </w:r>
      <w:r>
        <w:t xml:space="preserve"> add to this challenge. Different studies suggest strategies to reduce the PV power </w:t>
      </w:r>
      <w:r w:rsidR="007D296C">
        <w:t>output</w:t>
      </w:r>
      <w:r>
        <w:t xml:space="preserve"> variability on rather short (minutes to hours) or long (seasonal) timescales. </w:t>
      </w:r>
      <w:r w:rsidRPr="007D296C">
        <w:t xml:space="preserve">However, weather regimes </w:t>
      </w:r>
      <w:r w:rsidR="008C0C95" w:rsidRPr="007D296C">
        <w:t>lasting</w:t>
      </w:r>
      <w:r w:rsidRPr="007D296C">
        <w:t xml:space="preserve"> several days influence the PV power </w:t>
      </w:r>
      <w:r w:rsidR="007923A8">
        <w:t>output</w:t>
      </w:r>
      <w:r w:rsidRPr="007D296C">
        <w:t xml:space="preserve"> across Europe as well</w:t>
      </w:r>
      <w:r w:rsidR="008C0C95" w:rsidRPr="007D296C">
        <w:t>,</w:t>
      </w:r>
      <w:r w:rsidRPr="007D296C">
        <w:t xml:space="preserve"> and knowledge </w:t>
      </w:r>
      <w:r w:rsidR="00CD506E" w:rsidRPr="007D296C">
        <w:t xml:space="preserve">of its </w:t>
      </w:r>
      <w:r w:rsidR="00CD506E">
        <w:t>impact</w:t>
      </w:r>
      <w:r w:rsidR="008C0C95">
        <w:t xml:space="preserve"> on</w:t>
      </w:r>
      <w:r>
        <w:t xml:space="preserve"> multiday </w:t>
      </w:r>
      <w:r w:rsidR="008C0C95">
        <w:t xml:space="preserve">PV power </w:t>
      </w:r>
      <w:r w:rsidR="007923A8">
        <w:t>output</w:t>
      </w:r>
      <w:r w:rsidR="008C0C95">
        <w:t xml:space="preserve"> </w:t>
      </w:r>
      <w:r>
        <w:t>variability is still limited. In this thesis, we aim to identify</w:t>
      </w:r>
      <w:r w:rsidR="00E55843">
        <w:t xml:space="preserve"> spatial</w:t>
      </w:r>
      <w:r>
        <w:t xml:space="preserve"> distributions of </w:t>
      </w:r>
      <w:r w:rsidR="007D296C">
        <w:t xml:space="preserve">newly installed </w:t>
      </w:r>
      <w:r>
        <w:t xml:space="preserve">PV </w:t>
      </w:r>
      <w:r w:rsidR="006C5F29">
        <w:t>systems</w:t>
      </w:r>
      <w:r>
        <w:t xml:space="preserve"> that </w:t>
      </w:r>
      <w:r w:rsidR="009237DD">
        <w:t>minimize the</w:t>
      </w:r>
      <w:r w:rsidR="00E55843">
        <w:t xml:space="preserve"> </w:t>
      </w:r>
      <w:r>
        <w:t xml:space="preserve">multiday power </w:t>
      </w:r>
      <w:r w:rsidR="007D296C">
        <w:t>output</w:t>
      </w:r>
      <w:r>
        <w:t xml:space="preserve"> variability</w:t>
      </w:r>
      <w:r w:rsidR="00E55843">
        <w:t xml:space="preserve"> within Europe</w:t>
      </w:r>
      <w:r>
        <w:t>. To quantify the variability, we will perform empirical orthogonal function (EOF) analyses of solar downward radiation, which influence</w:t>
      </w:r>
      <w:r w:rsidR="001C0A72">
        <w:t>s</w:t>
      </w:r>
      <w:r>
        <w:t xml:space="preserve"> the PV</w:t>
      </w:r>
      <w:r w:rsidR="007D296C">
        <w:t xml:space="preserve"> power</w:t>
      </w:r>
      <w:r>
        <w:t xml:space="preserve"> </w:t>
      </w:r>
      <w:r w:rsidR="007D296C">
        <w:t>output</w:t>
      </w:r>
      <w:r>
        <w:t xml:space="preserve"> directly</w:t>
      </w:r>
      <w:r w:rsidR="001C0A72">
        <w:t>,</w:t>
      </w:r>
      <w:r>
        <w:t xml:space="preserve"> and geopotential height at 500hPa which </w:t>
      </w:r>
      <w:r w:rsidR="001C0A72">
        <w:t>reflects</w:t>
      </w:r>
      <w:r>
        <w:t xml:space="preserve"> weather </w:t>
      </w:r>
      <w:r w:rsidR="007923A8">
        <w:t xml:space="preserve">regimes </w:t>
      </w:r>
      <w:r>
        <w:t xml:space="preserve">and therefore has an indirect effect on the PV power </w:t>
      </w:r>
      <w:r w:rsidR="007D296C">
        <w:t>output</w:t>
      </w:r>
      <w:r>
        <w:t>. Both fields will be taken from the ERA5 reanalysis dataset</w:t>
      </w:r>
      <w:r w:rsidR="001C0A72">
        <w:t xml:space="preserve"> which covers the time period from 1979 to present</w:t>
      </w:r>
      <w:r>
        <w:t xml:space="preserve">. </w:t>
      </w:r>
      <w:r w:rsidR="00AE6C50">
        <w:t>The resulting subspace</w:t>
      </w:r>
      <w:r w:rsidR="0003638F">
        <w:t xml:space="preserve"> spanned by the leading EOFs</w:t>
      </w:r>
      <w:r w:rsidR="00AE6C50">
        <w:t xml:space="preserve"> </w:t>
      </w:r>
      <w:r w:rsidR="0003638F">
        <w:t>of our</w:t>
      </w:r>
      <w:r w:rsidR="00AE6C50">
        <w:t xml:space="preserve"> analysis will be grouped in different weather regimes with the k-mean clustering techniques. </w:t>
      </w:r>
      <w:r w:rsidR="00781277">
        <w:t>To assess the PV power output variability t</w:t>
      </w:r>
      <w:r>
        <w:t xml:space="preserve">he resulting </w:t>
      </w:r>
      <w:r w:rsidR="00AE6C50">
        <w:t>regimes</w:t>
      </w:r>
      <w:r>
        <w:t xml:space="preserve"> will be related to</w:t>
      </w:r>
      <w:r w:rsidR="00EB770A">
        <w:t xml:space="preserve"> country/region specific</w:t>
      </w:r>
      <w:r w:rsidR="001255AE">
        <w:t xml:space="preserve"> </w:t>
      </w:r>
      <w:r>
        <w:t>PV capacity factors</w:t>
      </w:r>
      <w:r w:rsidR="00EB770A">
        <w:t>, which</w:t>
      </w:r>
      <w:r w:rsidR="008D1560">
        <w:t xml:space="preserve"> are defined as the quotient of </w:t>
      </w:r>
      <w:r w:rsidR="00781277">
        <w:t xml:space="preserve">actual </w:t>
      </w:r>
      <w:r w:rsidR="008D1560">
        <w:t>power output and installed PV capacities.</w:t>
      </w:r>
      <w:r w:rsidR="00781277">
        <w:t xml:space="preserve"> </w:t>
      </w:r>
      <w:r w:rsidR="001255AE">
        <w:t xml:space="preserve">We will use hourly </w:t>
      </w:r>
      <w:r w:rsidR="00350121">
        <w:t xml:space="preserve">PV </w:t>
      </w:r>
      <w:r w:rsidR="001255AE">
        <w:t xml:space="preserve">capacity factors provided by the simulation of </w:t>
      </w:r>
      <w:proofErr w:type="spellStart"/>
      <w:r w:rsidR="001255AE">
        <w:t>renewable.ninja</w:t>
      </w:r>
      <w:proofErr w:type="spellEnd"/>
      <w:r w:rsidR="001255AE">
        <w:t xml:space="preserve"> from 1985-2019.</w:t>
      </w:r>
      <w:r>
        <w:t xml:space="preserve"> </w:t>
      </w:r>
      <w:r w:rsidR="0063764C">
        <w:t xml:space="preserve">Connecting the </w:t>
      </w:r>
      <w:r w:rsidR="00AE6C50">
        <w:t>regimes</w:t>
      </w:r>
      <w:r w:rsidR="0063764C">
        <w:t xml:space="preserve"> with the PV capacity factors will lead to an overview of under- </w:t>
      </w:r>
      <w:r w:rsidR="00DA73CD">
        <w:t>and</w:t>
      </w:r>
      <w:r w:rsidR="0063764C">
        <w:t xml:space="preserve"> overproduction</w:t>
      </w:r>
      <w:r w:rsidR="00E73121">
        <w:t xml:space="preserve"> (relative to the mean)</w:t>
      </w:r>
      <w:r w:rsidR="0063764C">
        <w:t xml:space="preserve"> per </w:t>
      </w:r>
      <w:r w:rsidR="00DA73CD">
        <w:t>country/</w:t>
      </w:r>
      <w:r w:rsidR="0063764C">
        <w:t xml:space="preserve">region and </w:t>
      </w:r>
      <w:r w:rsidR="00AE6C50">
        <w:t>weather regime</w:t>
      </w:r>
      <w:r w:rsidR="00E73121">
        <w:t>.</w:t>
      </w:r>
      <w:r>
        <w:t xml:space="preserve"> The current installed capacity of PV systems in Europe will then be used together with our findings to assess the current</w:t>
      </w:r>
      <w:r w:rsidR="0085133E">
        <w:t xml:space="preserve"> </w:t>
      </w:r>
      <w:r>
        <w:t>multiday</w:t>
      </w:r>
      <w:r w:rsidR="0085133E">
        <w:t xml:space="preserve"> </w:t>
      </w:r>
      <w:r w:rsidR="00264603">
        <w:t xml:space="preserve">PV </w:t>
      </w:r>
      <w:r w:rsidR="0085133E">
        <w:t xml:space="preserve">power </w:t>
      </w:r>
      <w:r w:rsidR="00264603">
        <w:t>output</w:t>
      </w:r>
      <w:r>
        <w:t xml:space="preserve"> variability in Europe. Furthermore, an optimal distribution of additional PV </w:t>
      </w:r>
      <w:r w:rsidR="0003638F">
        <w:t>systems</w:t>
      </w:r>
      <w:r>
        <w:t xml:space="preserve"> will be proposed with the goal to </w:t>
      </w:r>
      <w:r w:rsidR="00C64F76">
        <w:t>minimize</w:t>
      </w:r>
      <w:r>
        <w:t xml:space="preserve"> the multiday variability. </w:t>
      </w:r>
    </w:p>
    <w:p w14:paraId="43BDDA5D" w14:textId="77777777" w:rsidR="004D7AA2" w:rsidRDefault="004D7AA2">
      <w:r>
        <w:br w:type="page"/>
      </w:r>
    </w:p>
    <w:p w14:paraId="656EF807" w14:textId="77777777" w:rsidR="004D7AA2" w:rsidRPr="003327A0" w:rsidRDefault="008E3835" w:rsidP="00A70786">
      <w:pPr>
        <w:pStyle w:val="berschrift0"/>
      </w:pPr>
      <w:r w:rsidRPr="003327A0">
        <w:lastRenderedPageBreak/>
        <w:t>Contents</w:t>
      </w:r>
    </w:p>
    <w:sdt>
      <w:sdtPr>
        <w:id w:val="-889257482"/>
        <w:docPartObj>
          <w:docPartGallery w:val="Table of Contents"/>
          <w:docPartUnique/>
        </w:docPartObj>
      </w:sdtPr>
      <w:sdtEndPr>
        <w:rPr>
          <w:b/>
          <w:bCs/>
          <w:lang w:val="de-DE"/>
        </w:rPr>
      </w:sdtEndPr>
      <w:sdtContent>
        <w:p w14:paraId="6D2E0101" w14:textId="77777777" w:rsidR="008E3835" w:rsidRPr="003327A0" w:rsidRDefault="008E3835" w:rsidP="003327A0"/>
        <w:p w14:paraId="18E962C0" w14:textId="40098114" w:rsidR="00BE0F63" w:rsidRDefault="008E3835">
          <w:pPr>
            <w:pStyle w:val="Verzeichnis1"/>
            <w:rPr>
              <w:rFonts w:asciiTheme="minorHAnsi" w:eastAsiaTheme="minorEastAsia" w:hAnsiTheme="minorHAnsi" w:cstheme="minorBidi"/>
              <w:noProof/>
            </w:rPr>
          </w:pPr>
          <w:r>
            <w:fldChar w:fldCharType="begin"/>
          </w:r>
          <w:r>
            <w:instrText xml:space="preserve"> TOC \o "1-3" \h \z \u </w:instrText>
          </w:r>
          <w:r>
            <w:fldChar w:fldCharType="separate"/>
          </w:r>
          <w:hyperlink w:anchor="_Toc41830551" w:history="1">
            <w:r w:rsidR="00BE0F63" w:rsidRPr="00643614">
              <w:rPr>
                <w:rStyle w:val="Hyperlink"/>
                <w:noProof/>
                <w14:scene3d>
                  <w14:camera w14:prst="orthographicFront"/>
                  <w14:lightRig w14:rig="threePt" w14:dir="t">
                    <w14:rot w14:lat="0" w14:lon="0" w14:rev="0"/>
                  </w14:lightRig>
                </w14:scene3d>
              </w:rPr>
              <w:t>1.</w:t>
            </w:r>
            <w:r w:rsidR="00BE0F63">
              <w:rPr>
                <w:rFonts w:asciiTheme="minorHAnsi" w:eastAsiaTheme="minorEastAsia" w:hAnsiTheme="minorHAnsi" w:cstheme="minorBidi"/>
                <w:noProof/>
              </w:rPr>
              <w:tab/>
            </w:r>
            <w:r w:rsidR="00BE0F63" w:rsidRPr="00643614">
              <w:rPr>
                <w:rStyle w:val="Hyperlink"/>
                <w:noProof/>
              </w:rPr>
              <w:t>Background</w:t>
            </w:r>
            <w:r w:rsidR="00BE0F63">
              <w:rPr>
                <w:noProof/>
                <w:webHidden/>
              </w:rPr>
              <w:tab/>
            </w:r>
            <w:r w:rsidR="00BE0F63">
              <w:rPr>
                <w:noProof/>
                <w:webHidden/>
              </w:rPr>
              <w:fldChar w:fldCharType="begin"/>
            </w:r>
            <w:r w:rsidR="00BE0F63">
              <w:rPr>
                <w:noProof/>
                <w:webHidden/>
              </w:rPr>
              <w:instrText xml:space="preserve"> PAGEREF _Toc41830551 \h </w:instrText>
            </w:r>
            <w:r w:rsidR="00BE0F63">
              <w:rPr>
                <w:noProof/>
                <w:webHidden/>
              </w:rPr>
            </w:r>
            <w:r w:rsidR="00BE0F63">
              <w:rPr>
                <w:noProof/>
                <w:webHidden/>
              </w:rPr>
              <w:fldChar w:fldCharType="separate"/>
            </w:r>
            <w:r w:rsidR="002B03F6">
              <w:rPr>
                <w:noProof/>
                <w:webHidden/>
              </w:rPr>
              <w:t>4</w:t>
            </w:r>
            <w:r w:rsidR="00BE0F63">
              <w:rPr>
                <w:noProof/>
                <w:webHidden/>
              </w:rPr>
              <w:fldChar w:fldCharType="end"/>
            </w:r>
          </w:hyperlink>
        </w:p>
        <w:p w14:paraId="4C7E1C11" w14:textId="55F26D83" w:rsidR="00BE0F63" w:rsidRDefault="00F36F50">
          <w:pPr>
            <w:pStyle w:val="Verzeichnis1"/>
            <w:rPr>
              <w:rFonts w:asciiTheme="minorHAnsi" w:eastAsiaTheme="minorEastAsia" w:hAnsiTheme="minorHAnsi" w:cstheme="minorBidi"/>
              <w:noProof/>
            </w:rPr>
          </w:pPr>
          <w:hyperlink w:anchor="_Toc41830552" w:history="1">
            <w:r w:rsidR="00BE0F63" w:rsidRPr="00643614">
              <w:rPr>
                <w:rStyle w:val="Hyperlink"/>
                <w:noProof/>
                <w14:scene3d>
                  <w14:camera w14:prst="orthographicFront"/>
                  <w14:lightRig w14:rig="threePt" w14:dir="t">
                    <w14:rot w14:lat="0" w14:lon="0" w14:rev="0"/>
                  </w14:lightRig>
                </w14:scene3d>
              </w:rPr>
              <w:t>2.</w:t>
            </w:r>
            <w:r w:rsidR="00BE0F63">
              <w:rPr>
                <w:rFonts w:asciiTheme="minorHAnsi" w:eastAsiaTheme="minorEastAsia" w:hAnsiTheme="minorHAnsi" w:cstheme="minorBidi"/>
                <w:noProof/>
              </w:rPr>
              <w:tab/>
            </w:r>
            <w:r w:rsidR="00BE0F63" w:rsidRPr="00643614">
              <w:rPr>
                <w:rStyle w:val="Hyperlink"/>
                <w:noProof/>
              </w:rPr>
              <w:t>Objectives</w:t>
            </w:r>
            <w:r w:rsidR="00BE0F63">
              <w:rPr>
                <w:noProof/>
                <w:webHidden/>
              </w:rPr>
              <w:tab/>
            </w:r>
            <w:r w:rsidR="00BE0F63">
              <w:rPr>
                <w:noProof/>
                <w:webHidden/>
              </w:rPr>
              <w:fldChar w:fldCharType="begin"/>
            </w:r>
            <w:r w:rsidR="00BE0F63">
              <w:rPr>
                <w:noProof/>
                <w:webHidden/>
              </w:rPr>
              <w:instrText xml:space="preserve"> PAGEREF _Toc41830552 \h </w:instrText>
            </w:r>
            <w:r w:rsidR="00BE0F63">
              <w:rPr>
                <w:noProof/>
                <w:webHidden/>
              </w:rPr>
            </w:r>
            <w:r w:rsidR="00BE0F63">
              <w:rPr>
                <w:noProof/>
                <w:webHidden/>
              </w:rPr>
              <w:fldChar w:fldCharType="separate"/>
            </w:r>
            <w:r w:rsidR="002B03F6">
              <w:rPr>
                <w:noProof/>
                <w:webHidden/>
              </w:rPr>
              <w:t>6</w:t>
            </w:r>
            <w:r w:rsidR="00BE0F63">
              <w:rPr>
                <w:noProof/>
                <w:webHidden/>
              </w:rPr>
              <w:fldChar w:fldCharType="end"/>
            </w:r>
          </w:hyperlink>
        </w:p>
        <w:p w14:paraId="1D079A7C" w14:textId="1335B808" w:rsidR="00BE0F63" w:rsidRDefault="00F36F50">
          <w:pPr>
            <w:pStyle w:val="Verzeichnis1"/>
            <w:rPr>
              <w:rFonts w:asciiTheme="minorHAnsi" w:eastAsiaTheme="minorEastAsia" w:hAnsiTheme="minorHAnsi" w:cstheme="minorBidi"/>
              <w:noProof/>
            </w:rPr>
          </w:pPr>
          <w:hyperlink w:anchor="_Toc41830553" w:history="1">
            <w:r w:rsidR="00BE0F63" w:rsidRPr="00643614">
              <w:rPr>
                <w:rStyle w:val="Hyperlink"/>
                <w:noProof/>
                <w14:scene3d>
                  <w14:camera w14:prst="orthographicFront"/>
                  <w14:lightRig w14:rig="threePt" w14:dir="t">
                    <w14:rot w14:lat="0" w14:lon="0" w14:rev="0"/>
                  </w14:lightRig>
                </w14:scene3d>
              </w:rPr>
              <w:t>3.</w:t>
            </w:r>
            <w:r w:rsidR="00BE0F63">
              <w:rPr>
                <w:rFonts w:asciiTheme="minorHAnsi" w:eastAsiaTheme="minorEastAsia" w:hAnsiTheme="minorHAnsi" w:cstheme="minorBidi"/>
                <w:noProof/>
              </w:rPr>
              <w:tab/>
            </w:r>
            <w:r w:rsidR="00BE0F63" w:rsidRPr="00643614">
              <w:rPr>
                <w:rStyle w:val="Hyperlink"/>
                <w:noProof/>
              </w:rPr>
              <w:t>Data &amp; Methods</w:t>
            </w:r>
            <w:r w:rsidR="00BE0F63">
              <w:rPr>
                <w:noProof/>
                <w:webHidden/>
              </w:rPr>
              <w:tab/>
            </w:r>
            <w:r w:rsidR="00BE0F63">
              <w:rPr>
                <w:noProof/>
                <w:webHidden/>
              </w:rPr>
              <w:fldChar w:fldCharType="begin"/>
            </w:r>
            <w:r w:rsidR="00BE0F63">
              <w:rPr>
                <w:noProof/>
                <w:webHidden/>
              </w:rPr>
              <w:instrText xml:space="preserve"> PAGEREF _Toc41830553 \h </w:instrText>
            </w:r>
            <w:r w:rsidR="00BE0F63">
              <w:rPr>
                <w:noProof/>
                <w:webHidden/>
              </w:rPr>
            </w:r>
            <w:r w:rsidR="00BE0F63">
              <w:rPr>
                <w:noProof/>
                <w:webHidden/>
              </w:rPr>
              <w:fldChar w:fldCharType="separate"/>
            </w:r>
            <w:r w:rsidR="002B03F6">
              <w:rPr>
                <w:noProof/>
                <w:webHidden/>
              </w:rPr>
              <w:t>7</w:t>
            </w:r>
            <w:r w:rsidR="00BE0F63">
              <w:rPr>
                <w:noProof/>
                <w:webHidden/>
              </w:rPr>
              <w:fldChar w:fldCharType="end"/>
            </w:r>
          </w:hyperlink>
        </w:p>
        <w:p w14:paraId="47BE4683" w14:textId="03B399E6" w:rsidR="00BE0F63" w:rsidRDefault="00F36F50">
          <w:pPr>
            <w:pStyle w:val="Verzeichnis2"/>
            <w:tabs>
              <w:tab w:val="left" w:pos="1540"/>
            </w:tabs>
            <w:rPr>
              <w:rFonts w:asciiTheme="minorHAnsi" w:eastAsiaTheme="minorEastAsia" w:hAnsiTheme="minorHAnsi" w:cstheme="minorBidi"/>
              <w:noProof/>
            </w:rPr>
          </w:pPr>
          <w:hyperlink w:anchor="_Toc41830554" w:history="1">
            <w:r w:rsidR="00BE0F63" w:rsidRPr="00643614">
              <w:rPr>
                <w:rStyle w:val="Hyperlink"/>
                <w:noProof/>
              </w:rPr>
              <w:t>3.1</w:t>
            </w:r>
            <w:r w:rsidR="00BE0F63">
              <w:rPr>
                <w:rFonts w:asciiTheme="minorHAnsi" w:eastAsiaTheme="minorEastAsia" w:hAnsiTheme="minorHAnsi" w:cstheme="minorBidi"/>
                <w:noProof/>
              </w:rPr>
              <w:tab/>
            </w:r>
            <w:r w:rsidR="00BE0F63" w:rsidRPr="00643614">
              <w:rPr>
                <w:rStyle w:val="Hyperlink"/>
                <w:noProof/>
              </w:rPr>
              <w:t>Data</w:t>
            </w:r>
            <w:r w:rsidR="00BE0F63">
              <w:rPr>
                <w:noProof/>
                <w:webHidden/>
              </w:rPr>
              <w:tab/>
            </w:r>
            <w:r w:rsidR="00BE0F63">
              <w:rPr>
                <w:noProof/>
                <w:webHidden/>
              </w:rPr>
              <w:fldChar w:fldCharType="begin"/>
            </w:r>
            <w:r w:rsidR="00BE0F63">
              <w:rPr>
                <w:noProof/>
                <w:webHidden/>
              </w:rPr>
              <w:instrText xml:space="preserve"> PAGEREF _Toc41830554 \h </w:instrText>
            </w:r>
            <w:r w:rsidR="00BE0F63">
              <w:rPr>
                <w:noProof/>
                <w:webHidden/>
              </w:rPr>
            </w:r>
            <w:r w:rsidR="00BE0F63">
              <w:rPr>
                <w:noProof/>
                <w:webHidden/>
              </w:rPr>
              <w:fldChar w:fldCharType="separate"/>
            </w:r>
            <w:r w:rsidR="002B03F6">
              <w:rPr>
                <w:noProof/>
                <w:webHidden/>
              </w:rPr>
              <w:t>7</w:t>
            </w:r>
            <w:r w:rsidR="00BE0F63">
              <w:rPr>
                <w:noProof/>
                <w:webHidden/>
              </w:rPr>
              <w:fldChar w:fldCharType="end"/>
            </w:r>
          </w:hyperlink>
        </w:p>
        <w:p w14:paraId="69A3E3A8" w14:textId="252B6651" w:rsidR="00BE0F63" w:rsidRDefault="00F36F50">
          <w:pPr>
            <w:pStyle w:val="Verzeichnis3"/>
            <w:tabs>
              <w:tab w:val="left" w:pos="1820"/>
              <w:tab w:val="right" w:leader="dot" w:pos="9396"/>
            </w:tabs>
            <w:rPr>
              <w:rFonts w:asciiTheme="minorHAnsi" w:eastAsiaTheme="minorEastAsia" w:hAnsiTheme="minorHAnsi" w:cstheme="minorBidi"/>
              <w:noProof/>
            </w:rPr>
          </w:pPr>
          <w:hyperlink w:anchor="_Toc41830555" w:history="1">
            <w:r w:rsidR="00BE0F63" w:rsidRPr="00643614">
              <w:rPr>
                <w:rStyle w:val="Hyperlink"/>
                <w:noProof/>
              </w:rPr>
              <w:t>3.1.1</w:t>
            </w:r>
            <w:r w:rsidR="00BE0F63">
              <w:rPr>
                <w:rFonts w:asciiTheme="minorHAnsi" w:eastAsiaTheme="minorEastAsia" w:hAnsiTheme="minorHAnsi" w:cstheme="minorBidi"/>
                <w:noProof/>
              </w:rPr>
              <w:tab/>
            </w:r>
            <w:r w:rsidR="00BE0F63" w:rsidRPr="00643614">
              <w:rPr>
                <w:rStyle w:val="Hyperlink"/>
                <w:noProof/>
              </w:rPr>
              <w:t>ERA5</w:t>
            </w:r>
            <w:r w:rsidR="00BE0F63">
              <w:rPr>
                <w:noProof/>
                <w:webHidden/>
              </w:rPr>
              <w:tab/>
            </w:r>
            <w:r w:rsidR="00BE0F63">
              <w:rPr>
                <w:noProof/>
                <w:webHidden/>
              </w:rPr>
              <w:fldChar w:fldCharType="begin"/>
            </w:r>
            <w:r w:rsidR="00BE0F63">
              <w:rPr>
                <w:noProof/>
                <w:webHidden/>
              </w:rPr>
              <w:instrText xml:space="preserve"> PAGEREF _Toc41830555 \h </w:instrText>
            </w:r>
            <w:r w:rsidR="00BE0F63">
              <w:rPr>
                <w:noProof/>
                <w:webHidden/>
              </w:rPr>
            </w:r>
            <w:r w:rsidR="00BE0F63">
              <w:rPr>
                <w:noProof/>
                <w:webHidden/>
              </w:rPr>
              <w:fldChar w:fldCharType="separate"/>
            </w:r>
            <w:r w:rsidR="002B03F6">
              <w:rPr>
                <w:noProof/>
                <w:webHidden/>
              </w:rPr>
              <w:t>7</w:t>
            </w:r>
            <w:r w:rsidR="00BE0F63">
              <w:rPr>
                <w:noProof/>
                <w:webHidden/>
              </w:rPr>
              <w:fldChar w:fldCharType="end"/>
            </w:r>
          </w:hyperlink>
        </w:p>
        <w:p w14:paraId="4F619C97" w14:textId="7B3F8B33" w:rsidR="00BE0F63" w:rsidRDefault="00F36F50">
          <w:pPr>
            <w:pStyle w:val="Verzeichnis3"/>
            <w:tabs>
              <w:tab w:val="left" w:pos="1820"/>
              <w:tab w:val="right" w:leader="dot" w:pos="9396"/>
            </w:tabs>
            <w:rPr>
              <w:rFonts w:asciiTheme="minorHAnsi" w:eastAsiaTheme="minorEastAsia" w:hAnsiTheme="minorHAnsi" w:cstheme="minorBidi"/>
              <w:noProof/>
            </w:rPr>
          </w:pPr>
          <w:hyperlink w:anchor="_Toc41830556" w:history="1">
            <w:r w:rsidR="00BE0F63" w:rsidRPr="00643614">
              <w:rPr>
                <w:rStyle w:val="Hyperlink"/>
                <w:noProof/>
              </w:rPr>
              <w:t>3.1.2</w:t>
            </w:r>
            <w:r w:rsidR="00BE0F63">
              <w:rPr>
                <w:rFonts w:asciiTheme="minorHAnsi" w:eastAsiaTheme="minorEastAsia" w:hAnsiTheme="minorHAnsi" w:cstheme="minorBidi"/>
                <w:noProof/>
              </w:rPr>
              <w:tab/>
            </w:r>
            <w:r w:rsidR="00BE0F63" w:rsidRPr="00643614">
              <w:rPr>
                <w:rStyle w:val="Hyperlink"/>
                <w:noProof/>
              </w:rPr>
              <w:t>Renewables.ninja and the Global Solar Energy Estimator (GSEE)</w:t>
            </w:r>
            <w:r w:rsidR="00BE0F63">
              <w:rPr>
                <w:noProof/>
                <w:webHidden/>
              </w:rPr>
              <w:tab/>
            </w:r>
            <w:r w:rsidR="00BE0F63">
              <w:rPr>
                <w:noProof/>
                <w:webHidden/>
              </w:rPr>
              <w:fldChar w:fldCharType="begin"/>
            </w:r>
            <w:r w:rsidR="00BE0F63">
              <w:rPr>
                <w:noProof/>
                <w:webHidden/>
              </w:rPr>
              <w:instrText xml:space="preserve"> PAGEREF _Toc41830556 \h </w:instrText>
            </w:r>
            <w:r w:rsidR="00BE0F63">
              <w:rPr>
                <w:noProof/>
                <w:webHidden/>
              </w:rPr>
            </w:r>
            <w:r w:rsidR="00BE0F63">
              <w:rPr>
                <w:noProof/>
                <w:webHidden/>
              </w:rPr>
              <w:fldChar w:fldCharType="separate"/>
            </w:r>
            <w:r w:rsidR="002B03F6">
              <w:rPr>
                <w:noProof/>
                <w:webHidden/>
              </w:rPr>
              <w:t>7</w:t>
            </w:r>
            <w:r w:rsidR="00BE0F63">
              <w:rPr>
                <w:noProof/>
                <w:webHidden/>
              </w:rPr>
              <w:fldChar w:fldCharType="end"/>
            </w:r>
          </w:hyperlink>
        </w:p>
        <w:p w14:paraId="6EC130A8" w14:textId="6663C497" w:rsidR="00BE0F63" w:rsidRDefault="00F36F50">
          <w:pPr>
            <w:pStyle w:val="Verzeichnis3"/>
            <w:tabs>
              <w:tab w:val="left" w:pos="1820"/>
              <w:tab w:val="right" w:leader="dot" w:pos="9396"/>
            </w:tabs>
            <w:rPr>
              <w:rFonts w:asciiTheme="minorHAnsi" w:eastAsiaTheme="minorEastAsia" w:hAnsiTheme="minorHAnsi" w:cstheme="minorBidi"/>
              <w:noProof/>
            </w:rPr>
          </w:pPr>
          <w:hyperlink w:anchor="_Toc41830557" w:history="1">
            <w:r w:rsidR="00BE0F63" w:rsidRPr="00643614">
              <w:rPr>
                <w:rStyle w:val="Hyperlink"/>
                <w:noProof/>
              </w:rPr>
              <w:t>3.1.3</w:t>
            </w:r>
            <w:r w:rsidR="00BE0F63">
              <w:rPr>
                <w:rFonts w:asciiTheme="minorHAnsi" w:eastAsiaTheme="minorEastAsia" w:hAnsiTheme="minorHAnsi" w:cstheme="minorBidi"/>
                <w:noProof/>
              </w:rPr>
              <w:tab/>
            </w:r>
            <w:r w:rsidR="00BE0F63" w:rsidRPr="00643614">
              <w:rPr>
                <w:rStyle w:val="Hyperlink"/>
                <w:noProof/>
              </w:rPr>
              <w:t>Installed PV capacities</w:t>
            </w:r>
            <w:r w:rsidR="00BE0F63">
              <w:rPr>
                <w:noProof/>
                <w:webHidden/>
              </w:rPr>
              <w:tab/>
            </w:r>
            <w:r w:rsidR="00BE0F63">
              <w:rPr>
                <w:noProof/>
                <w:webHidden/>
              </w:rPr>
              <w:fldChar w:fldCharType="begin"/>
            </w:r>
            <w:r w:rsidR="00BE0F63">
              <w:rPr>
                <w:noProof/>
                <w:webHidden/>
              </w:rPr>
              <w:instrText xml:space="preserve"> PAGEREF _Toc41830557 \h </w:instrText>
            </w:r>
            <w:r w:rsidR="00BE0F63">
              <w:rPr>
                <w:noProof/>
                <w:webHidden/>
              </w:rPr>
            </w:r>
            <w:r w:rsidR="00BE0F63">
              <w:rPr>
                <w:noProof/>
                <w:webHidden/>
              </w:rPr>
              <w:fldChar w:fldCharType="separate"/>
            </w:r>
            <w:r w:rsidR="002B03F6">
              <w:rPr>
                <w:noProof/>
                <w:webHidden/>
              </w:rPr>
              <w:t>10</w:t>
            </w:r>
            <w:r w:rsidR="00BE0F63">
              <w:rPr>
                <w:noProof/>
                <w:webHidden/>
              </w:rPr>
              <w:fldChar w:fldCharType="end"/>
            </w:r>
          </w:hyperlink>
        </w:p>
        <w:p w14:paraId="04749B24" w14:textId="07BBDFF6" w:rsidR="00BE0F63" w:rsidRDefault="00F36F50">
          <w:pPr>
            <w:pStyle w:val="Verzeichnis2"/>
            <w:tabs>
              <w:tab w:val="left" w:pos="1540"/>
            </w:tabs>
            <w:rPr>
              <w:rFonts w:asciiTheme="minorHAnsi" w:eastAsiaTheme="minorEastAsia" w:hAnsiTheme="minorHAnsi" w:cstheme="minorBidi"/>
              <w:noProof/>
            </w:rPr>
          </w:pPr>
          <w:hyperlink w:anchor="_Toc41830558" w:history="1">
            <w:r w:rsidR="00BE0F63" w:rsidRPr="00643614">
              <w:rPr>
                <w:rStyle w:val="Hyperlink"/>
                <w:noProof/>
              </w:rPr>
              <w:t>3.2</w:t>
            </w:r>
            <w:r w:rsidR="00BE0F63">
              <w:rPr>
                <w:rFonts w:asciiTheme="minorHAnsi" w:eastAsiaTheme="minorEastAsia" w:hAnsiTheme="minorHAnsi" w:cstheme="minorBidi"/>
                <w:noProof/>
              </w:rPr>
              <w:tab/>
            </w:r>
            <w:r w:rsidR="00BE0F63" w:rsidRPr="00643614">
              <w:rPr>
                <w:rStyle w:val="Hyperlink"/>
                <w:noProof/>
              </w:rPr>
              <w:t>Method</w:t>
            </w:r>
            <w:r w:rsidR="00BE0F63">
              <w:rPr>
                <w:noProof/>
                <w:webHidden/>
              </w:rPr>
              <w:tab/>
            </w:r>
            <w:r w:rsidR="00BE0F63">
              <w:rPr>
                <w:noProof/>
                <w:webHidden/>
              </w:rPr>
              <w:fldChar w:fldCharType="begin"/>
            </w:r>
            <w:r w:rsidR="00BE0F63">
              <w:rPr>
                <w:noProof/>
                <w:webHidden/>
              </w:rPr>
              <w:instrText xml:space="preserve"> PAGEREF _Toc41830558 \h </w:instrText>
            </w:r>
            <w:r w:rsidR="00BE0F63">
              <w:rPr>
                <w:noProof/>
                <w:webHidden/>
              </w:rPr>
            </w:r>
            <w:r w:rsidR="00BE0F63">
              <w:rPr>
                <w:noProof/>
                <w:webHidden/>
              </w:rPr>
              <w:fldChar w:fldCharType="separate"/>
            </w:r>
            <w:r w:rsidR="002B03F6">
              <w:rPr>
                <w:noProof/>
                <w:webHidden/>
              </w:rPr>
              <w:t>10</w:t>
            </w:r>
            <w:r w:rsidR="00BE0F63">
              <w:rPr>
                <w:noProof/>
                <w:webHidden/>
              </w:rPr>
              <w:fldChar w:fldCharType="end"/>
            </w:r>
          </w:hyperlink>
        </w:p>
        <w:p w14:paraId="08705C2B" w14:textId="01799734" w:rsidR="00BE0F63" w:rsidRDefault="00F36F50">
          <w:pPr>
            <w:pStyle w:val="Verzeichnis3"/>
            <w:tabs>
              <w:tab w:val="left" w:pos="1820"/>
              <w:tab w:val="right" w:leader="dot" w:pos="9396"/>
            </w:tabs>
            <w:rPr>
              <w:rFonts w:asciiTheme="minorHAnsi" w:eastAsiaTheme="minorEastAsia" w:hAnsiTheme="minorHAnsi" w:cstheme="minorBidi"/>
              <w:noProof/>
            </w:rPr>
          </w:pPr>
          <w:hyperlink w:anchor="_Toc41830559" w:history="1">
            <w:r w:rsidR="00BE0F63" w:rsidRPr="00643614">
              <w:rPr>
                <w:rStyle w:val="Hyperlink"/>
                <w:noProof/>
              </w:rPr>
              <w:t>3.2.1</w:t>
            </w:r>
            <w:r w:rsidR="00BE0F63">
              <w:rPr>
                <w:rFonts w:asciiTheme="minorHAnsi" w:eastAsiaTheme="minorEastAsia" w:hAnsiTheme="minorHAnsi" w:cstheme="minorBidi"/>
                <w:noProof/>
              </w:rPr>
              <w:tab/>
            </w:r>
            <w:r w:rsidR="00BE0F63" w:rsidRPr="00643614">
              <w:rPr>
                <w:rStyle w:val="Hyperlink"/>
                <w:noProof/>
              </w:rPr>
              <w:t>Weather regime classification</w:t>
            </w:r>
            <w:r w:rsidR="00BE0F63">
              <w:rPr>
                <w:noProof/>
                <w:webHidden/>
              </w:rPr>
              <w:tab/>
            </w:r>
            <w:r w:rsidR="00BE0F63">
              <w:rPr>
                <w:noProof/>
                <w:webHidden/>
              </w:rPr>
              <w:fldChar w:fldCharType="begin"/>
            </w:r>
            <w:r w:rsidR="00BE0F63">
              <w:rPr>
                <w:noProof/>
                <w:webHidden/>
              </w:rPr>
              <w:instrText xml:space="preserve"> PAGEREF _Toc41830559 \h </w:instrText>
            </w:r>
            <w:r w:rsidR="00BE0F63">
              <w:rPr>
                <w:noProof/>
                <w:webHidden/>
              </w:rPr>
            </w:r>
            <w:r w:rsidR="00BE0F63">
              <w:rPr>
                <w:noProof/>
                <w:webHidden/>
              </w:rPr>
              <w:fldChar w:fldCharType="separate"/>
            </w:r>
            <w:r w:rsidR="002B03F6">
              <w:rPr>
                <w:noProof/>
                <w:webHidden/>
              </w:rPr>
              <w:t>10</w:t>
            </w:r>
            <w:r w:rsidR="00BE0F63">
              <w:rPr>
                <w:noProof/>
                <w:webHidden/>
              </w:rPr>
              <w:fldChar w:fldCharType="end"/>
            </w:r>
          </w:hyperlink>
        </w:p>
        <w:p w14:paraId="598C97EA" w14:textId="0F1140E8" w:rsidR="00BE0F63" w:rsidRDefault="00F36F50">
          <w:pPr>
            <w:pStyle w:val="Verzeichnis3"/>
            <w:tabs>
              <w:tab w:val="left" w:pos="1820"/>
              <w:tab w:val="right" w:leader="dot" w:pos="9396"/>
            </w:tabs>
            <w:rPr>
              <w:rFonts w:asciiTheme="minorHAnsi" w:eastAsiaTheme="minorEastAsia" w:hAnsiTheme="minorHAnsi" w:cstheme="minorBidi"/>
              <w:noProof/>
            </w:rPr>
          </w:pPr>
          <w:hyperlink w:anchor="_Toc41830560" w:history="1">
            <w:r w:rsidR="00BE0F63" w:rsidRPr="00643614">
              <w:rPr>
                <w:rStyle w:val="Hyperlink"/>
                <w:noProof/>
              </w:rPr>
              <w:t>3.2.2</w:t>
            </w:r>
            <w:r w:rsidR="00BE0F63">
              <w:rPr>
                <w:rFonts w:asciiTheme="minorHAnsi" w:eastAsiaTheme="minorEastAsia" w:hAnsiTheme="minorHAnsi" w:cstheme="minorBidi"/>
                <w:noProof/>
              </w:rPr>
              <w:tab/>
            </w:r>
            <w:r w:rsidR="00BE0F63" w:rsidRPr="00643614">
              <w:rPr>
                <w:rStyle w:val="Hyperlink"/>
                <w:noProof/>
              </w:rPr>
              <w:t>Capacity factor estimates</w:t>
            </w:r>
            <w:r w:rsidR="00BE0F63">
              <w:rPr>
                <w:noProof/>
                <w:webHidden/>
              </w:rPr>
              <w:tab/>
            </w:r>
            <w:r w:rsidR="00BE0F63">
              <w:rPr>
                <w:noProof/>
                <w:webHidden/>
              </w:rPr>
              <w:fldChar w:fldCharType="begin"/>
            </w:r>
            <w:r w:rsidR="00BE0F63">
              <w:rPr>
                <w:noProof/>
                <w:webHidden/>
              </w:rPr>
              <w:instrText xml:space="preserve"> PAGEREF _Toc41830560 \h </w:instrText>
            </w:r>
            <w:r w:rsidR="00BE0F63">
              <w:rPr>
                <w:noProof/>
                <w:webHidden/>
              </w:rPr>
            </w:r>
            <w:r w:rsidR="00BE0F63">
              <w:rPr>
                <w:noProof/>
                <w:webHidden/>
              </w:rPr>
              <w:fldChar w:fldCharType="separate"/>
            </w:r>
            <w:r w:rsidR="002B03F6">
              <w:rPr>
                <w:noProof/>
                <w:webHidden/>
              </w:rPr>
              <w:t>11</w:t>
            </w:r>
            <w:r w:rsidR="00BE0F63">
              <w:rPr>
                <w:noProof/>
                <w:webHidden/>
              </w:rPr>
              <w:fldChar w:fldCharType="end"/>
            </w:r>
          </w:hyperlink>
        </w:p>
        <w:p w14:paraId="01ACD1FD" w14:textId="595A3E03" w:rsidR="00BE0F63" w:rsidRDefault="00F36F50">
          <w:pPr>
            <w:pStyle w:val="Verzeichnis1"/>
            <w:rPr>
              <w:rFonts w:asciiTheme="minorHAnsi" w:eastAsiaTheme="minorEastAsia" w:hAnsiTheme="minorHAnsi" w:cstheme="minorBidi"/>
              <w:noProof/>
            </w:rPr>
          </w:pPr>
          <w:hyperlink w:anchor="_Toc41830561" w:history="1">
            <w:r w:rsidR="00BE0F63" w:rsidRPr="00643614">
              <w:rPr>
                <w:rStyle w:val="Hyperlink"/>
                <w:noProof/>
                <w14:scene3d>
                  <w14:camera w14:prst="orthographicFront"/>
                  <w14:lightRig w14:rig="threePt" w14:dir="t">
                    <w14:rot w14:lat="0" w14:lon="0" w14:rev="0"/>
                  </w14:lightRig>
                </w14:scene3d>
              </w:rPr>
              <w:t>4.</w:t>
            </w:r>
            <w:r w:rsidR="00BE0F63">
              <w:rPr>
                <w:rFonts w:asciiTheme="minorHAnsi" w:eastAsiaTheme="minorEastAsia" w:hAnsiTheme="minorHAnsi" w:cstheme="minorBidi"/>
                <w:noProof/>
              </w:rPr>
              <w:tab/>
            </w:r>
            <w:r w:rsidR="00BE0F63" w:rsidRPr="00643614">
              <w:rPr>
                <w:rStyle w:val="Hyperlink"/>
                <w:noProof/>
              </w:rPr>
              <w:t>Timeline and milestones</w:t>
            </w:r>
            <w:r w:rsidR="00BE0F63">
              <w:rPr>
                <w:noProof/>
                <w:webHidden/>
              </w:rPr>
              <w:tab/>
            </w:r>
            <w:r w:rsidR="00BE0F63">
              <w:rPr>
                <w:noProof/>
                <w:webHidden/>
              </w:rPr>
              <w:fldChar w:fldCharType="begin"/>
            </w:r>
            <w:r w:rsidR="00BE0F63">
              <w:rPr>
                <w:noProof/>
                <w:webHidden/>
              </w:rPr>
              <w:instrText xml:space="preserve"> PAGEREF _Toc41830561 \h </w:instrText>
            </w:r>
            <w:r w:rsidR="00BE0F63">
              <w:rPr>
                <w:noProof/>
                <w:webHidden/>
              </w:rPr>
            </w:r>
            <w:r w:rsidR="00BE0F63">
              <w:rPr>
                <w:noProof/>
                <w:webHidden/>
              </w:rPr>
              <w:fldChar w:fldCharType="separate"/>
            </w:r>
            <w:r w:rsidR="002B03F6">
              <w:rPr>
                <w:noProof/>
                <w:webHidden/>
              </w:rPr>
              <w:t>13</w:t>
            </w:r>
            <w:r w:rsidR="00BE0F63">
              <w:rPr>
                <w:noProof/>
                <w:webHidden/>
              </w:rPr>
              <w:fldChar w:fldCharType="end"/>
            </w:r>
          </w:hyperlink>
        </w:p>
        <w:p w14:paraId="5E00928D" w14:textId="7364E537" w:rsidR="00BE0F63" w:rsidRDefault="00F36F50">
          <w:pPr>
            <w:pStyle w:val="Verzeichnis1"/>
            <w:rPr>
              <w:rFonts w:asciiTheme="minorHAnsi" w:eastAsiaTheme="minorEastAsia" w:hAnsiTheme="minorHAnsi" w:cstheme="minorBidi"/>
              <w:noProof/>
            </w:rPr>
          </w:pPr>
          <w:hyperlink w:anchor="_Toc41830562" w:history="1">
            <w:r w:rsidR="00BE0F63" w:rsidRPr="00643614">
              <w:rPr>
                <w:rStyle w:val="Hyperlink"/>
                <w:noProof/>
                <w14:scene3d>
                  <w14:camera w14:prst="orthographicFront"/>
                  <w14:lightRig w14:rig="threePt" w14:dir="t">
                    <w14:rot w14:lat="0" w14:lon="0" w14:rev="0"/>
                  </w14:lightRig>
                </w14:scene3d>
              </w:rPr>
              <w:t>5.</w:t>
            </w:r>
            <w:r w:rsidR="00BE0F63">
              <w:rPr>
                <w:rFonts w:asciiTheme="minorHAnsi" w:eastAsiaTheme="minorEastAsia" w:hAnsiTheme="minorHAnsi" w:cstheme="minorBidi"/>
                <w:noProof/>
              </w:rPr>
              <w:tab/>
            </w:r>
            <w:r w:rsidR="00BE0F63" w:rsidRPr="00643614">
              <w:rPr>
                <w:rStyle w:val="Hyperlink"/>
                <w:noProof/>
              </w:rPr>
              <w:t>References</w:t>
            </w:r>
            <w:r w:rsidR="00BE0F63">
              <w:rPr>
                <w:noProof/>
                <w:webHidden/>
              </w:rPr>
              <w:tab/>
            </w:r>
            <w:r w:rsidR="00BE0F63">
              <w:rPr>
                <w:noProof/>
                <w:webHidden/>
              </w:rPr>
              <w:fldChar w:fldCharType="begin"/>
            </w:r>
            <w:r w:rsidR="00BE0F63">
              <w:rPr>
                <w:noProof/>
                <w:webHidden/>
              </w:rPr>
              <w:instrText xml:space="preserve"> PAGEREF _Toc41830562 \h </w:instrText>
            </w:r>
            <w:r w:rsidR="00BE0F63">
              <w:rPr>
                <w:noProof/>
                <w:webHidden/>
              </w:rPr>
            </w:r>
            <w:r w:rsidR="00BE0F63">
              <w:rPr>
                <w:noProof/>
                <w:webHidden/>
              </w:rPr>
              <w:fldChar w:fldCharType="separate"/>
            </w:r>
            <w:r w:rsidR="002B03F6">
              <w:rPr>
                <w:noProof/>
                <w:webHidden/>
              </w:rPr>
              <w:t>14</w:t>
            </w:r>
            <w:r w:rsidR="00BE0F63">
              <w:rPr>
                <w:noProof/>
                <w:webHidden/>
              </w:rPr>
              <w:fldChar w:fldCharType="end"/>
            </w:r>
          </w:hyperlink>
        </w:p>
        <w:p w14:paraId="57031B8B" w14:textId="77777777" w:rsidR="008E3835" w:rsidRDefault="008E3835">
          <w:r>
            <w:rPr>
              <w:b/>
              <w:bCs/>
              <w:lang w:val="de-DE"/>
            </w:rPr>
            <w:fldChar w:fldCharType="end"/>
          </w:r>
        </w:p>
      </w:sdtContent>
    </w:sdt>
    <w:p w14:paraId="2D4478B1" w14:textId="77777777" w:rsidR="00BE47CF" w:rsidRDefault="00BE47CF">
      <w:pPr>
        <w:ind w:firstLine="0"/>
        <w:jc w:val="left"/>
      </w:pPr>
      <w:r>
        <w:br w:type="page"/>
      </w:r>
    </w:p>
    <w:p w14:paraId="36D6E5EF" w14:textId="77777777" w:rsidR="008E3835" w:rsidRDefault="008E3835" w:rsidP="00842E2E">
      <w:pPr>
        <w:pStyle w:val="berschrift1"/>
      </w:pPr>
      <w:bookmarkStart w:id="1" w:name="_Toc41830551"/>
      <w:r w:rsidRPr="003327A0">
        <w:lastRenderedPageBreak/>
        <w:t>Background</w:t>
      </w:r>
      <w:bookmarkEnd w:id="1"/>
    </w:p>
    <w:p w14:paraId="6D3FCE2C" w14:textId="77777777" w:rsidR="002C2C01" w:rsidRDefault="003D7E40" w:rsidP="002C2C01">
      <w:r>
        <w:rPr>
          <w:color w:val="000000" w:themeColor="text1"/>
        </w:rPr>
        <w:t xml:space="preserve">Many governments undertake ambitious climate mitigation efforts to </w:t>
      </w:r>
      <w:r w:rsidR="00F50E67">
        <w:rPr>
          <w:color w:val="000000" w:themeColor="text1"/>
        </w:rPr>
        <w:t xml:space="preserve">reduce the adverse effect of global warming and </w:t>
      </w:r>
      <w:r w:rsidR="00AD0353">
        <w:rPr>
          <w:color w:val="000000" w:themeColor="text1"/>
        </w:rPr>
        <w:t>thereby</w:t>
      </w:r>
      <w:r w:rsidR="00F50E67">
        <w:rPr>
          <w:color w:val="000000" w:themeColor="text1"/>
        </w:rPr>
        <w:t xml:space="preserve"> </w:t>
      </w:r>
      <w:r w:rsidR="00AD0353">
        <w:rPr>
          <w:color w:val="000000" w:themeColor="text1"/>
        </w:rPr>
        <w:t>try</w:t>
      </w:r>
      <w:r w:rsidR="00F50E67">
        <w:rPr>
          <w:color w:val="000000" w:themeColor="text1"/>
        </w:rPr>
        <w:t xml:space="preserve"> to </w:t>
      </w:r>
      <w:r w:rsidR="00AD0353">
        <w:rPr>
          <w:color w:val="000000" w:themeColor="text1"/>
        </w:rPr>
        <w:t>meet</w:t>
      </w:r>
      <w:r w:rsidR="00F50E67">
        <w:rPr>
          <w:color w:val="000000" w:themeColor="text1"/>
        </w:rPr>
        <w:t xml:space="preserve"> </w:t>
      </w:r>
      <w:r w:rsidR="00A057AB">
        <w:rPr>
          <w:color w:val="000000" w:themeColor="text1"/>
        </w:rPr>
        <w:t xml:space="preserve">the 1.5°C goal from the Paris agreement </w:t>
      </w:r>
      <w:r w:rsidR="00A057AB">
        <w:rPr>
          <w:color w:val="000000" w:themeColor="text1"/>
        </w:rPr>
        <w:fldChar w:fldCharType="begin" w:fldLock="1"/>
      </w:r>
      <w:r w:rsidR="00BA094B">
        <w:rPr>
          <w:color w:val="000000" w:themeColor="text1"/>
        </w:rPr>
        <w:instrText>ADDIN CSL_CITATION {"citationItems":[{"id":"ITEM-1","itemData":{"DOI":"10.1038/nclimate2939","ISSN":"17586798","author":[{"dropping-particle":"","family":"Hulme","given":"Mike","non-dropping-particle":"","parse-names":false,"suffix":""}],"container-title":"Nature Climate Change","id":"ITEM-1","issue":"3","issued":{"date-parts":[["2016"]]},"page":"222-224","publisher":"Nature Publishing Group","title":"1.5 °C and climate research after the Paris Agreement","type":"article-journal","volume":"6"},"uris":["http://www.mendeley.com/documents/?uuid=7f88a212-11b6-4e52-a48c-44ec17f2488f"]}],"mendeley":{"formattedCitation":"(Hulme, 2016)","plainTextFormattedCitation":"(Hulme, 2016)","previouslyFormattedCitation":"(Hulme, 2016)"},"properties":{"noteIndex":0},"schema":"https://github.com/citation-style-language/schema/raw/master/csl-citation.json"}</w:instrText>
      </w:r>
      <w:r w:rsidR="00A057AB">
        <w:rPr>
          <w:color w:val="000000" w:themeColor="text1"/>
        </w:rPr>
        <w:fldChar w:fldCharType="separate"/>
      </w:r>
      <w:r w:rsidR="00BF2D26" w:rsidRPr="00BF2D26">
        <w:rPr>
          <w:noProof/>
          <w:color w:val="000000" w:themeColor="text1"/>
        </w:rPr>
        <w:t>(Hulme, 2016)</w:t>
      </w:r>
      <w:r w:rsidR="00A057AB">
        <w:rPr>
          <w:color w:val="000000" w:themeColor="text1"/>
        </w:rPr>
        <w:fldChar w:fldCharType="end"/>
      </w:r>
      <w:r>
        <w:rPr>
          <w:color w:val="000000" w:themeColor="text1"/>
        </w:rPr>
        <w:t>.</w:t>
      </w:r>
      <w:r w:rsidR="00A057AB">
        <w:rPr>
          <w:color w:val="000000" w:themeColor="text1"/>
        </w:rPr>
        <w:t xml:space="preserve"> </w:t>
      </w:r>
      <w:r>
        <w:rPr>
          <w:color w:val="000000" w:themeColor="text1"/>
        </w:rPr>
        <w:t xml:space="preserve"> </w:t>
      </w:r>
      <w:r w:rsidR="000023E4">
        <w:rPr>
          <w:color w:val="000000" w:themeColor="text1"/>
        </w:rPr>
        <w:t xml:space="preserve">To achieve this goal a </w:t>
      </w:r>
      <w:r w:rsidR="002C2C01">
        <w:rPr>
          <w:color w:val="000000" w:themeColor="text1"/>
        </w:rPr>
        <w:t xml:space="preserve">transition from conventional fossil to renewable energy technologies </w:t>
      </w:r>
      <w:r w:rsidR="000023E4">
        <w:rPr>
          <w:color w:val="000000" w:themeColor="text1"/>
        </w:rPr>
        <w:t>is substantial</w:t>
      </w:r>
      <w:r w:rsidR="002C2C01">
        <w:rPr>
          <w:color w:val="000000" w:themeColor="text1"/>
        </w:rPr>
        <w:t>.</w:t>
      </w:r>
      <w:r w:rsidR="000023E4">
        <w:rPr>
          <w:color w:val="000000" w:themeColor="text1"/>
        </w:rPr>
        <w:t xml:space="preserve"> </w:t>
      </w:r>
      <w:r w:rsidR="007A683C">
        <w:rPr>
          <w:color w:val="000000" w:themeColor="text1"/>
        </w:rPr>
        <w:t>Solar power generating p</w:t>
      </w:r>
      <w:r w:rsidR="002C2C01">
        <w:t xml:space="preserve">hotovoltaic (PV) systems, as one of the major renewable technologies, has seen a tremendous growth in recent years. According to the PV status report (2019) by the European commission, </w:t>
      </w:r>
      <w:r w:rsidR="00FD0ACB">
        <w:t xml:space="preserve">there was </w:t>
      </w:r>
      <w:r w:rsidR="002C2C01">
        <w:t>a global installed capacity of 520GW</w:t>
      </w:r>
      <w:r w:rsidR="003264D6">
        <w:t xml:space="preserve"> by the end of 2018</w:t>
      </w:r>
      <w:r w:rsidR="002C2C01">
        <w:t xml:space="preserve">. By the end of 2019 </w:t>
      </w:r>
      <w:r w:rsidR="003264D6">
        <w:t>the installed capacity</w:t>
      </w:r>
      <w:r w:rsidR="002C2C01">
        <w:t xml:space="preserve"> is expected to reach 650GW</w:t>
      </w:r>
      <w:r w:rsidR="003264D6">
        <w:t>,</w:t>
      </w:r>
      <w:r w:rsidR="002C2C01">
        <w:t xml:space="preserve"> which allows</w:t>
      </w:r>
      <w:r w:rsidR="003264D6">
        <w:t xml:space="preserve"> the PV systems</w:t>
      </w:r>
      <w:r w:rsidR="002C2C01">
        <w:t xml:space="preserve"> to produce roughly 4% of the global electricity demand. Europe's share</w:t>
      </w:r>
      <w:r w:rsidR="003264D6">
        <w:t xml:space="preserve"> of installed PV capacity</w:t>
      </w:r>
      <w:r w:rsidR="002C2C01">
        <w:t xml:space="preserve"> at the end of 2018 was about 117GW, </w:t>
      </w:r>
      <w:r w:rsidR="0097539B">
        <w:t>which allowed to</w:t>
      </w:r>
      <w:r w:rsidR="002C2C01">
        <w:t xml:space="preserve"> produce 5.5% of Europeans electricity demand. Furthermore, </w:t>
      </w:r>
      <w:r w:rsidR="007636B9" w:rsidRPr="007636B9">
        <w:t xml:space="preserve">recent scenarios for the necessary </w:t>
      </w:r>
      <w:r w:rsidR="00AA446C">
        <w:t xml:space="preserve">installed </w:t>
      </w:r>
      <w:r w:rsidR="007636B9" w:rsidRPr="007636B9">
        <w:t>PV capacity if the world is to reach 100 % renewable electricity production</w:t>
      </w:r>
      <w:r w:rsidR="002C2C01">
        <w:t xml:space="preserve"> </w:t>
      </w:r>
      <w:r w:rsidR="00D90587">
        <w:t>in 2050</w:t>
      </w:r>
      <w:r w:rsidR="004B53C4">
        <w:t>,</w:t>
      </w:r>
      <w:r w:rsidR="00D90587">
        <w:t xml:space="preserve"> </w:t>
      </w:r>
      <w:r w:rsidR="002C2C01">
        <w:t xml:space="preserve">suggest that the PV installed capacity must rise to more than 4TW by 2025 and 21.9TW by 2050. For Europe this would imply an PV installed capacity of 630GW by 2025 and 1.94TW by 2050 </w:t>
      </w:r>
      <w:r w:rsidR="002C2C01">
        <w:fldChar w:fldCharType="begin" w:fldLock="1"/>
      </w:r>
      <w:r w:rsidR="00BA094B">
        <w:instrText>ADDIN CSL_CITATION {"citationItems":[{"id":"ITEM-1","itemData":{"DOI":"10.2760/326629","ISBN":"978-92-76-12608-9","author":[{"dropping-particle":"","family":"Jäger-Waldau","given":"Arnulf","non-dropping-particle":"","parse-names":false,"suffix":""}],"container-title":"EUR 29938 EN, Publications Office of the European Union","id":"ITEM-1","issued":{"date-parts":[["2019"]]},"publisher-place":"Luxembourg","title":"PV Status Report 2019","type":"report"},"uris":["http://www.mendeley.com/documents/?uuid=6c06834c-1a5b-4eb7-be66-d8853f9a3121"]}],"mendeley":{"formattedCitation":"(Jäger-Waldau, 2019)","plainTextFormattedCitation":"(Jäger-Waldau, 2019)","previouslyFormattedCitation":"(Jäger-Waldau, 2019)"},"properties":{"noteIndex":0},"schema":"https://github.com/citation-style-language/schema/raw/master/csl-citation.json"}</w:instrText>
      </w:r>
      <w:r w:rsidR="002C2C01">
        <w:fldChar w:fldCharType="separate"/>
      </w:r>
      <w:bookmarkStart w:id="2" w:name="__Fieldmark__357_3718023903"/>
      <w:r w:rsidR="00BF2D26" w:rsidRPr="00BF2D26">
        <w:rPr>
          <w:noProof/>
        </w:rPr>
        <w:t>(Jäger-Waldau, 2019)</w:t>
      </w:r>
      <w:r w:rsidR="002C2C01">
        <w:fldChar w:fldCharType="end"/>
      </w:r>
      <w:bookmarkEnd w:id="2"/>
      <w:r w:rsidR="002C2C01">
        <w:t xml:space="preserve">. </w:t>
      </w:r>
    </w:p>
    <w:p w14:paraId="43D571B5" w14:textId="77777777" w:rsidR="002C2C01" w:rsidRDefault="00063AB5" w:rsidP="002C2C01">
      <w:r>
        <w:t>PV</w:t>
      </w:r>
      <w:r w:rsidR="002C2C01">
        <w:t xml:space="preserve"> power </w:t>
      </w:r>
      <w:r w:rsidR="007D296C">
        <w:t>output</w:t>
      </w:r>
      <w:r w:rsidR="002C2C01">
        <w:t xml:space="preserve"> depends on weather and climate and therefore challenges the current power grid by variable power input </w:t>
      </w:r>
      <w:r w:rsidR="002C2C01">
        <w:fldChar w:fldCharType="begin" w:fldLock="1"/>
      </w:r>
      <w:r w:rsidR="00BA094B">
        <w:instrText>ADDIN CSL_CITATION {"citationItems":[{"id":"ITEM-1","itemData":{"DOI":"10.3390/en9060449","ISSN":"1996-1073","abstract":"This paper reviews the most recent and relevant research into the variability characteristics of wind and solar power resources in Europe. The background for this study is that wind and solar resources will probably constitute major components of the future European power system. Such resources are variable, and EU plans to balance the variability with more grids and demand response. Thus, planning for the future power system requires an in-depth understanding of the variability. Resource variability is a multi-faceted concept best described using a range of distinct characteristics, and this review is structured on the basis of seven of these: Distribution Long-Term (hours to years), Distribution Short-Term (less than one hour), Step Changes, Autocorrelation, Spatial Correlation, Cross Correlation and Predictable Patterns. The review presents simulations and empirical results related to resource variability for each of these characteristics. Results to date reveal that the variability characteristics of the future power system is limited understood. This study recommends the development of a scheme for greater systematic assessment of variability. Such a scheme will contribute to the understanding of the impacts of variability and will make it possible to compare alternative power production portfolios and impacts of grid expansions, demand response and storage technologies.","author":[{"dropping-particle":"","family":"Graabak","given":"Ingeborg","non-dropping-particle":"","parse-names":false,"suffix":""},{"dropping-particle":"","family":"Korpås","given":"Magnus","non-dropping-particle":"","parse-names":false,"suffix":""}],"container-title":"Energies","id":"ITEM-1","issue":"6","issued":{"date-parts":[["2016"]]},"page":"1-31","title":"Variability Characteristics of European Wind and Solar Power Resources—A Review","type":"article-journal","volume":"9"},"uris":["http://www.mendeley.com/documents/?uuid=bbb8cada-82c1-4328-977e-a11f7d4fe8e8"]},{"id":"ITEM-2","itemData":{"DOI":"10.1016/j.enpol.2016.05.034","ISSN":"03014215","abstract":"The key advantage of renewables is that they are free of direct pollution and carbon emissions. Given concern over global warming caused by carbon emissions, there are substantial policy efforts to increase renewable penetrations. The purpose of this paper is to outline and evaluate the challenges presented by increasing penetrations of renewable electricity generation. These generation sources primarily include solar and wind which are growing rapidly and are new enough to the grid that the impact of high penetrations is not fully understood. The intrinsic nature of solar and wind power is very likely to present greater system challenges than “conventional” sources. Within limits, those challenges can be overcome, but at a cost. Later sections of the paper will draw on a variety of sources to identify a range of such costs, at least as they are foreseen by researchers helping prepare ambitious plans for grids to obtain high shares (30–50%) of their megawatt hours from primarily solar and wind generation. Energy poverty issues are outlined and related to renewable costs issues.","author":[{"dropping-particle":"","family":"Stram","given":"Bruce N.","non-dropping-particle":"","parse-names":false,"suffix":""}],"container-title":"Energy Policy","id":"ITEM-2","issued":{"date-parts":[["2016"]]},"page":"728-734","title":"Key challenges to expanding renewable energy","type":"article-journal","volume":"96"},"uris":["http://www.mendeley.com/documents/?uuid=2f2561d6-68e5-4c4a-9c03-70075d6e2fb1"]}],"mendeley":{"formattedCitation":"(Graabak and Korpås, 2016; Stram, 2016)","plainTextFormattedCitation":"(Graabak and Korpås, 2016; Stram, 2016)","previouslyFormattedCitation":"(Graabak and Korpås, 2016; Stram, 2016)"},"properties":{"noteIndex":0},"schema":"https://github.com/citation-style-language/schema/raw/master/csl-citation.json"}</w:instrText>
      </w:r>
      <w:r w:rsidR="002C2C01">
        <w:fldChar w:fldCharType="separate"/>
      </w:r>
      <w:bookmarkStart w:id="3" w:name="__Fieldmark__370_3718023903"/>
      <w:r w:rsidR="00BF2D26" w:rsidRPr="00BF2D26">
        <w:rPr>
          <w:noProof/>
        </w:rPr>
        <w:t>(Graabak and Korpås, 2016; Stram, 2016)</w:t>
      </w:r>
      <w:r w:rsidR="002C2C01">
        <w:fldChar w:fldCharType="end"/>
      </w:r>
      <w:bookmarkEnd w:id="3"/>
      <w:r w:rsidR="002C2C01">
        <w:t>. Within minutes</w:t>
      </w:r>
      <w:r w:rsidR="006D0345">
        <w:t>,</w:t>
      </w:r>
      <w:r w:rsidR="002C2C01">
        <w:t xml:space="preserve"> the power production from a PV system can vary by as much as  80% </w:t>
      </w:r>
      <w:r w:rsidR="006D0345">
        <w:t>due to</w:t>
      </w:r>
      <w:r w:rsidR="002C2C01">
        <w:t xml:space="preserve"> passing</w:t>
      </w:r>
      <w:r w:rsidR="006D0345">
        <w:t xml:space="preserve"> broken</w:t>
      </w:r>
      <w:r w:rsidR="002C2C01">
        <w:t xml:space="preserve"> cloud</w:t>
      </w:r>
      <w:r w:rsidR="006D0345">
        <w:t xml:space="preserve"> cover</w:t>
      </w:r>
      <w:r w:rsidR="002C2C01">
        <w:t xml:space="preserve"> </w:t>
      </w:r>
      <w:r w:rsidR="002C2C01">
        <w:fldChar w:fldCharType="begin" w:fldLock="1"/>
      </w:r>
      <w:r w:rsidR="00BA094B">
        <w:instrText>ADDIN CSL_CITATION {"citationItems":[{"id":"ITEM-1","itemData":{"DOI":"10.2172/986925","ISBN":"9781457710025","abstract":"Worldwide interest in the deployment of photovoltaic generation (PV) is rapidly increasing. Operating experience with large PV plants, however, demonstrates that large, rapid changes in the output of PV plants are possible. Early studies of PV grid impacts suggested that short-term variability could be a potential limiting factor in deploying PV. Many of these early studies, however, lacked high-quality data from multiple sites to assess the costs and impacts of increasing PV penetration. As is well known for wind, accounting for the po- tential for geographic diversity can significantly reduce the magnitude of extreme changes in aggregated PV output, the resources required to accommodate that variability, and the potential costs of managing variability. We use measured 1-min solar insolation for 23 time- synchronized sites in the Southern Great Plains network of the Atmospheric Radiation Mea- surement program and wind speed data from 10 sites in the same network to characterize the variability of PV with different degrees of geographic diversity and to compare the variabil- ity of PV to the variability of similarly sited wind. The relative aggregate variability of PV plants sited in a dense 10 10 array with 20 km spacing is six times less than the variability of a single site for variability on time scales less than 15-min. We find in our analysis of PV and wind plants similarly sited in a 5 5 grid with 50 km spacing that the variability of PV is only slightly more than the variability of wind on time scales of 5-15 min. Over shorter and longer time scales the level of variability is nearly identical. Finally, we use a simple approximation method to estimate the cost of carrying additional reserves to manage sub-hourly variability. We conclude that the costs of managing the short-term variability of PV are dramatically reduced by geographic diversity and are not substantially different from the costs for managing the short-term variability of similarly sited wind in this region.","author":[{"dropping-particle":"","family":"Mills","given":"Andrew","non-dropping-particle":"","parse-names":false,"suffix":""},{"dropping-particle":"","family":"Wiser","given":"Ryan","non-dropping-particle":"","parse-names":false,"suffix":""}],"container-title":"Energy","id":"ITEM-1","issued":{"date-parts":[["2010","8","23"]]},"number-of-pages":"1-10","publisher-place":"Berkeley, CA (United States)","title":"Implications of Wide-Area Geographic Diversity for Short- Term Variability of Solar Power","type":"report"},"uris":["http://www.mendeley.com/documents/?uuid=b8fa82aa-4847-46cb-b443-a4a3fffd855d"]}],"mendeley":{"formattedCitation":"(Mills and Wiser, 2010)","plainTextFormattedCitation":"(Mills and Wiser, 2010)","previouslyFormattedCitation":"(Mills and Wiser, 2010)"},"properties":{"noteIndex":0},"schema":"https://github.com/citation-style-language/schema/raw/master/csl-citation.json"}</w:instrText>
      </w:r>
      <w:r w:rsidR="002C2C01">
        <w:fldChar w:fldCharType="separate"/>
      </w:r>
      <w:bookmarkStart w:id="4" w:name="__Fieldmark__384_3718023903"/>
      <w:r w:rsidR="00BF2D26" w:rsidRPr="00BF2D26">
        <w:rPr>
          <w:noProof/>
        </w:rPr>
        <w:t>(Mills and Wiser, 2010)</w:t>
      </w:r>
      <w:r w:rsidR="002C2C01">
        <w:fldChar w:fldCharType="end"/>
      </w:r>
      <w:bookmarkEnd w:id="4"/>
      <w:r w:rsidR="002C2C01">
        <w:t xml:space="preserve">. </w:t>
      </w:r>
      <w:r w:rsidR="006D0345">
        <w:t>There is also a</w:t>
      </w:r>
      <w:r w:rsidR="002C2C01">
        <w:t xml:space="preserve"> diurnal cycle with highest power production during the day and no production during night. By analysing multiday fluctuation, a relation between long lasting weather regimes and PV power production can be observed</w:t>
      </w:r>
      <w:r w:rsidR="00C261D8">
        <w:t>. During one weather regime the PV production pattern varies substantially to the next weather regime</w:t>
      </w:r>
      <w:r w:rsidR="002C2C01">
        <w:t xml:space="preserve"> </w:t>
      </w:r>
      <w:r w:rsidR="002C2C01">
        <w:fldChar w:fldCharType="begin" w:fldLock="1"/>
      </w:r>
      <w:r w:rsidR="00BA094B">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regimes","type":"article-journal","volume":"7"},"uris":["http://www.mendeley.com/documents/?uuid=d83a18de-1e07-4281-ad3b-9b5f2db864e0"]}],"mendeley":{"formattedCitation":"(Grams &lt;i&gt;et al.&lt;/i&gt;, 2017)","plainTextFormattedCitation":"(Grams et al., 2017)","previouslyFormattedCitation":"(Grams &lt;i&gt;et al.&lt;/i&gt;, 2017)"},"properties":{"noteIndex":0},"schema":"https://github.com/citation-style-language/schema/raw/master/csl-citation.json"}</w:instrText>
      </w:r>
      <w:r w:rsidR="002C2C01">
        <w:fldChar w:fldCharType="separate"/>
      </w:r>
      <w:bookmarkStart w:id="5" w:name="__Fieldmark__398_3718023903"/>
      <w:r w:rsidR="00BF2D26" w:rsidRPr="00BF2D26">
        <w:rPr>
          <w:noProof/>
        </w:rPr>
        <w:t xml:space="preserve">(Grams </w:t>
      </w:r>
      <w:r w:rsidR="00BF2D26" w:rsidRPr="00BF2D26">
        <w:rPr>
          <w:i/>
          <w:noProof/>
        </w:rPr>
        <w:t>et al.</w:t>
      </w:r>
      <w:r w:rsidR="00BF2D26" w:rsidRPr="00BF2D26">
        <w:rPr>
          <w:noProof/>
        </w:rPr>
        <w:t>, 2017)</w:t>
      </w:r>
      <w:r w:rsidR="002C2C01">
        <w:fldChar w:fldCharType="end"/>
      </w:r>
      <w:bookmarkEnd w:id="5"/>
      <w:r w:rsidR="002C2C01">
        <w:t>. Furthermore, variability in the PV power production is caused by the seasonal cycle</w:t>
      </w:r>
      <w:r w:rsidR="003B59E3">
        <w:t xml:space="preserve"> </w:t>
      </w:r>
      <w:r w:rsidR="003B59E3">
        <w:fldChar w:fldCharType="begin" w:fldLock="1"/>
      </w:r>
      <w:r w:rsidR="00BA094B">
        <w:instrText>ADDIN CSL_CITATION {"citationItems":[{"id":"ITEM-1","itemData":{"DOI":"10.1016/j.renene.2010.03.012","ISSN":"09601481","abstract":"The renewable power generation aggregated across Europe exhibits strong seasonal behaviors. Wind power generation is much stronger in winter than in summer. The opposite is true for solar power generation. In a future Europe with a very high share of renewable power generation those two opposite behaviors are able to counterbalance each other to a certain extent to follow the seasonal load curve. The best point of counterbalancing represents the seasonal optimal mix between wind and solar power generation. It leads to a pronounced minimum in required stored energy. For a 100% renewable Europe the seasonal optimal mix becomes 55% wind and 45% solar power generation. For less than 100% renewable scenarios the fraction of wind power generation increases and that of solar power generation decreases. © 2010 Elsevier Ltd.","author":[{"dropping-particle":"","family":"Heide","given":"Dominik","non-dropping-particle":"","parse-names":false,"suffix":""},{"dropping-particle":"","family":"Bremen","given":"Lueder","non-dropping-particle":"von","parse-names":false,"suffix":""},{"dropping-particle":"","family":"Greiner","given":"Martin","non-dropping-particle":"","parse-names":false,"suffix":""},{"dropping-particle":"","family":"Hoffmann","given":"Clemens","non-dropping-particle":"","parse-names":false,"suffix":""},{"dropping-particle":"","family":"Speckmann","given":"Markus","non-dropping-particle":"","parse-names":false,"suffix":""},{"dropping-particle":"","family":"Bofinger","given":"Stefan","non-dropping-particle":"","parse-names":false,"suffix":""}],"container-title":"Renewable Energy","id":"ITEM-1","issue":"11","issued":{"date-parts":[["2010"]]},"page":"2483-2489","title":"Seasonal optimal mix of wind and solar power in a future, highly renewable Europe","type":"article-journal","volume":"35"},"uris":["http://www.mendeley.com/documents/?uuid=51d643c1-1d96-4e3d-abca-960e2a5ad2de"]}],"mendeley":{"formattedCitation":"(Heide &lt;i&gt;et al.&lt;/i&gt;, 2010)","plainTextFormattedCitation":"(Heide et al., 2010)","previouslyFormattedCitation":"(Heide &lt;i&gt;et al.&lt;/i&gt;, 2010)"},"properties":{"noteIndex":0},"schema":"https://github.com/citation-style-language/schema/raw/master/csl-citation.json"}</w:instrText>
      </w:r>
      <w:r w:rsidR="003B59E3">
        <w:fldChar w:fldCharType="separate"/>
      </w:r>
      <w:bookmarkStart w:id="6" w:name="__Fieldmark__415_3718023903"/>
      <w:r w:rsidR="00BF2D26" w:rsidRPr="00BF2D26">
        <w:rPr>
          <w:noProof/>
        </w:rPr>
        <w:t xml:space="preserve">(Heide </w:t>
      </w:r>
      <w:r w:rsidR="00BF2D26" w:rsidRPr="00BF2D26">
        <w:rPr>
          <w:i/>
          <w:noProof/>
        </w:rPr>
        <w:t>et al.</w:t>
      </w:r>
      <w:r w:rsidR="00BF2D26" w:rsidRPr="00BF2D26">
        <w:rPr>
          <w:noProof/>
        </w:rPr>
        <w:t>, 2010)</w:t>
      </w:r>
      <w:r w:rsidR="003B59E3">
        <w:fldChar w:fldCharType="end"/>
      </w:r>
      <w:bookmarkEnd w:id="6"/>
      <w:r w:rsidR="003B59E3">
        <w:t xml:space="preserve">. The efficiency of a PV panel is mainly dominated by the available surface solar radiation and the panel temperature </w:t>
      </w:r>
      <w:r w:rsidR="003B59E3">
        <w:fldChar w:fldCharType="begin" w:fldLock="1"/>
      </w:r>
      <w:r w:rsidR="00BA094B">
        <w:instrText>ADDIN CSL_CITATION {"citationItems":[{"id":"ITEM-1","itemData":{"DOI":"10.1016/j.solener.2009.12.002","ISSN":"0038092X","abstract":"A method is presented for estimating the energy yield of photovoltaic (PV) modules at arbitrary locations in a large geographical area. The method applies a mathematical model for the energy performance of PV modules as a function of in-plane irradiance and module temperature and combines this with solar irradiation estimates from satellite data and ambient temperature values from ground station measurements. The method is applied to three different PV technologies: crystalline silicon, CuInSe2 and CdTe based thin-film technology in order to map their performance in fixed installations across most of Europe and to identify and quantify regional performance factors. It is found that there is a clear technology dependence of the geographical variation in PV performance. It is also shown that using long-term average values of irradiance and temperature leads to a systematic positive bias in the results of up to 3%. It is suggested to use joint probability density functions of temperature and irradiance to overcome this bias. © 2009 Elsevier Ltd. All rights reserved.","author":[{"dropping-particle":"","family":"Huld","given":"Thomas","non-dropping-particle":"","parse-names":false,"suffix":""},{"dropping-particle":"","family":"Gottschalg","given":"Ralph","non-dropping-particle":"","parse-names":false,"suffix":""},{"dropping-particle":"","family":"Beyer","given":"Hans Georg","non-dropping-particle":"","parse-names":false,"suffix":""},{"dropping-particle":"","family":"Topič","given":"Marko","non-dropping-particle":"","parse-names":false,"suffix":""}],"container-title":"Solar Energy","id":"ITEM-1","issue":"2","issued":{"date-parts":[["2010"]]},"page":"324-338","title":"Mapping the performance of PV modules, effects of module type and data averaging","type":"article-journal","volume":"84"},"uris":["http://www.mendeley.com/documents/?uuid=eaf63a07-2d2d-4c52-bbc1-17ce264619bd"]}],"mendeley":{"formattedCitation":"(Huld &lt;i&gt;et al.&lt;/i&gt;, 2010)","plainTextFormattedCitation":"(Huld et al., 2010)","previouslyFormattedCitation":"(Huld &lt;i&gt;et al.&lt;/i&gt;, 2010)"},"properties":{"noteIndex":0},"schema":"https://github.com/citation-style-language/schema/raw/master/csl-citation.json"}</w:instrText>
      </w:r>
      <w:r w:rsidR="003B59E3">
        <w:fldChar w:fldCharType="separate"/>
      </w:r>
      <w:r w:rsidR="00BF2D26" w:rsidRPr="00BF2D26">
        <w:rPr>
          <w:noProof/>
        </w:rPr>
        <w:t xml:space="preserve">(Huld </w:t>
      </w:r>
      <w:r w:rsidR="00BF2D26" w:rsidRPr="00BF2D26">
        <w:rPr>
          <w:i/>
          <w:noProof/>
        </w:rPr>
        <w:t>et al.</w:t>
      </w:r>
      <w:r w:rsidR="00BF2D26" w:rsidRPr="00BF2D26">
        <w:rPr>
          <w:noProof/>
        </w:rPr>
        <w:t>, 2010)</w:t>
      </w:r>
      <w:r w:rsidR="003B59E3">
        <w:fldChar w:fldCharType="end"/>
      </w:r>
      <w:r w:rsidR="003B59E3">
        <w:t xml:space="preserve">. Since the seasonal cycle affects </w:t>
      </w:r>
      <w:r w:rsidR="00187922">
        <w:t>both,</w:t>
      </w:r>
      <w:r w:rsidR="003B59E3">
        <w:t xml:space="preserve"> </w:t>
      </w:r>
      <w:r w:rsidR="0076106C">
        <w:t>a direct effect can be observed</w:t>
      </w:r>
      <w:r w:rsidR="002C2C01">
        <w:t xml:space="preserve">. Even decadal to multidecadal analyses suggest that </w:t>
      </w:r>
      <w:r w:rsidR="00187922">
        <w:t>global warming</w:t>
      </w:r>
      <w:r w:rsidR="002C2C01">
        <w:t xml:space="preserve"> and solar brightening/dimming influences the PV power </w:t>
      </w:r>
      <w:r w:rsidR="007D296C">
        <w:t>output</w:t>
      </w:r>
      <w:r w:rsidR="00187922">
        <w:t xml:space="preserve">. Solar brightening/dimming is often caused by air pollution patterns, which influences the available surface solar radiation and therefore affects the PV power </w:t>
      </w:r>
      <w:r w:rsidR="007923A8">
        <w:t>output</w:t>
      </w:r>
      <w:r w:rsidR="00187922">
        <w:t xml:space="preserve">. </w:t>
      </w:r>
      <w:r w:rsidR="00060948">
        <w:t xml:space="preserve">Global warming </w:t>
      </w:r>
      <w:r w:rsidR="00187922">
        <w:t>lead</w:t>
      </w:r>
      <w:r w:rsidR="00060948">
        <w:t>s</w:t>
      </w:r>
      <w:r w:rsidR="00187922">
        <w:t xml:space="preserve"> to a</w:t>
      </w:r>
      <w:r w:rsidR="00060948">
        <w:t>n increase</w:t>
      </w:r>
      <w:r w:rsidR="00187922">
        <w:t xml:space="preserve"> of panel temperature</w:t>
      </w:r>
      <w:r w:rsidR="00060948">
        <w:t>s</w:t>
      </w:r>
      <w:r w:rsidR="00187922">
        <w:t xml:space="preserve"> and reduce</w:t>
      </w:r>
      <w:r w:rsidR="00060948">
        <w:t>s</w:t>
      </w:r>
      <w:r w:rsidR="00850996">
        <w:t xml:space="preserve"> the efficiency of the panel</w:t>
      </w:r>
      <w:r w:rsidR="00060948">
        <w:t>s</w:t>
      </w:r>
      <w:r w:rsidR="00850996">
        <w:t xml:space="preserve"> </w:t>
      </w:r>
      <w:r w:rsidR="002C2C01">
        <w:fldChar w:fldCharType="begin" w:fldLock="1"/>
      </w:r>
      <w:r w:rsidR="00AA3906">
        <w:instrText>ADDIN CSL_CITATION {"citationItems":[{"id":"ITEM-1","itemData":{"DOI":"10.1016/j.solener.2015.03.039","ISSN":"0038092X","abstract":"Traditionally, for the planning and assessment of solar energy systems, the amount of solar radiation (sunlight) incident on the Earth's surface is assumed to be constant over the years. However, with changing climate and air pollution levels, solar resources may no longer be stable over time and undergo substantial decadal changes. Observational records covering the past decades confirm long-term changes in this quantity. Here we examine how the latest generation of climate models used for the 5th IPCC report projects potential changes in surface solar radiation over the coming decades, and how this may affect, in combination with the expected greenhouse warming, solar power output from photovoltaic (PV) systems. For this purpose, projections up to the mid 21st century from 39 state of the art climate models from the Coupled Model Intercomparison Project Phase 5 (CMIP5) are analysed globally and for selected key regions with major solar power production capacity. The large model ensemble allows to assess the degree of consistency of their projections. Models are largely consistent in the sign of the projected changes in solar radiation under cloud-free conditions as well as surface temperatures over most of the globe, while still reasonably consistent over a considerable part of the globe in the sign of changes in cloudiness and associated changes in solar radiation. A first order estimate of the impact of solar radiation and temperature changes on energy yields of PV systems under the RPC8.5 scenario indicates statistically significant decreases in PV outputs in large parts of the world, but notable exceptions with positive trends in large parts of Europe, South-East of North America and the South-East of China. Projected changes between 2006 and 2049 under the RCP8.5 scenario overall are on the order of 1%/decade for horizontal planes, but may be larger for tilted or tracked planes as well as on shorter (decadal) timescales.","author":[{"dropping-particle":"","family":"Wild","given":"Martin","non-dropping-particle":"","parse-names":false,"suffix":""},{"dropping-particle":"","family":"Folini","given":"Doris","non-dropping-particle":"","parse-names":false,"suffix":""},{"dropping-particle":"","family":"Henschel","given":"Florian","non-dropping-particle":"","parse-names":false,"suffix":""},{"dropping-particle":"","family":"Fischer","given":"Natalie","non-dropping-particle":"","parse-names":false,"suffix":""},{"dropping-particle":"","family":"Müller","given":"Björn","non-dropping-particle":"","parse-names":false,"suffix":""}],"container-title":"Solar Energy","id":"ITEM-1","issued":{"date-parts":[["2015","6"]]},"page":"12-24","title":"Projections of long-term changes in solar radiation based on CMIP5 climate models and their influence on energy yields of photovoltaic systems","type":"article-journal","volume":"116"},"uris":["http://www.mendeley.com/documents/?uuid=d45f690c-c4b9-4d78-b05e-564c38c029da"]},{"id":"ITEM-2","itemData":{"DOI":"10.1038/s41560-019-0412-4","ISSN":"20587546","abstract":"China is the largest worldwide consumer of solar photovoltaic (PV) electricity, with 130 GW of installed capacity as of 2017. China’s PV capacity is expected to reach at least 400 GW by 2030, to provide 10% of its primary energy. However, anthropogenic aerosol emissions and changes in cloud cover affect solar radiation in China. Here, we use observational radiation data from 119 stations across China to show that the PV potential decreased on average by 11–15% between 1960 and 2015. The relationship between observed surface radiation and emissions of sulfur dioxide and black carbon suggests that strict air pollution control measures, combined with reduced fossil fuel consumption, would allow surface radiation to increase. We find that reverting back to 1960s radiation levels in China could yield a 12–13% increase in electricity generation, equivalent to an additional 14 TWh produced with 2016 PV capacities, and 51–74 TWh with the expected 2030 capacities. The corresponding economic benefits could amount to US$1.9 billion in 2016 and US$4.6–6.7 billion in 2030.","author":[{"dropping-particle":"","family":"Sweerts","given":"Bart","non-dropping-particle":"","parse-names":false,"suffix":""},{"dropping-particle":"","family":"Pfenninger","given":"Stefan","non-dropping-particle":"","parse-names":false,"suffix":""},{"dropping-particle":"","family":"Yang","given":"Su","non-dropping-particle":"","parse-names":false,"suffix":""},{"dropping-particle":"","family":"Folini","given":"Doris","non-dropping-particle":"","parse-names":false,"suffix":""},{"dropping-particle":"","family":"Zwaan","given":"Bob","non-dropping-particle":"van der","parse-names":false,"suffix":""},{"dropping-particle":"","family":"Wild","given":"Martin","non-dropping-particle":"","parse-names":false,"suffix":""}],"container-title":"Nature Energy","id":"ITEM-2","issue":"8","issued":{"date-parts":[["2019"]]},"page":"657-663","title":"Estimation of losses in solar energy production from air pollution in China since 1960 using surface radiation data","type":"article-journal","volume":"4"},"uris":["http://www.mendeley.com/documents/?uuid=c940bb82-5897-4c77-ae61-0f0f3a888d30"]}],"mendeley":{"formattedCitation":"(Wild &lt;i&gt;et al.&lt;/i&gt;, 2015; Sweerts &lt;i&gt;et al.&lt;/i&gt;, 2019)","plainTextFormattedCitation":"(Wild et al., 2015; Sweerts et al., 2019)","previouslyFormattedCitation":"(Wild &lt;i&gt;et al.&lt;/i&gt;, 2015; Sweerts &lt;i&gt;et al.&lt;/i&gt;, 2019)"},"properties":{"noteIndex":0},"schema":"https://github.com/citation-style-language/schema/raw/master/csl-citation.json"}</w:instrText>
      </w:r>
      <w:r w:rsidR="002C2C01">
        <w:fldChar w:fldCharType="separate"/>
      </w:r>
      <w:bookmarkStart w:id="7" w:name="__Fieldmark__437_3718023903"/>
      <w:r w:rsidR="00BF2D26" w:rsidRPr="00BF2D26">
        <w:rPr>
          <w:noProof/>
        </w:rPr>
        <w:t xml:space="preserve">(Wild </w:t>
      </w:r>
      <w:r w:rsidR="00BF2D26" w:rsidRPr="00BF2D26">
        <w:rPr>
          <w:i/>
          <w:noProof/>
        </w:rPr>
        <w:t>et al.</w:t>
      </w:r>
      <w:r w:rsidR="00BF2D26" w:rsidRPr="00BF2D26">
        <w:rPr>
          <w:noProof/>
        </w:rPr>
        <w:t xml:space="preserve">, 2015; Sweerts </w:t>
      </w:r>
      <w:r w:rsidR="00BF2D26" w:rsidRPr="00BF2D26">
        <w:rPr>
          <w:i/>
          <w:noProof/>
        </w:rPr>
        <w:t>et al.</w:t>
      </w:r>
      <w:r w:rsidR="00BF2D26" w:rsidRPr="00BF2D26">
        <w:rPr>
          <w:noProof/>
        </w:rPr>
        <w:t>, 2019)</w:t>
      </w:r>
      <w:r w:rsidR="002C2C01">
        <w:fldChar w:fldCharType="end"/>
      </w:r>
      <w:bookmarkEnd w:id="7"/>
      <w:r w:rsidR="002C2C01">
        <w:t>.</w:t>
      </w:r>
    </w:p>
    <w:p w14:paraId="6E78132E" w14:textId="77777777" w:rsidR="00587C98" w:rsidRDefault="002C2C01" w:rsidP="002C2C01">
      <w:r>
        <w:t xml:space="preserve">A stable power grid depends on balanced electrical supply and demand </w:t>
      </w:r>
      <w:r>
        <w:fldChar w:fldCharType="begin" w:fldLock="1"/>
      </w:r>
      <w:r w:rsidR="00BA094B">
        <w:instrText>ADDIN CSL_CITATION {"citationItems":[{"id":"ITEM-1","itemData":{"DOI":"10.1016/j.enpol.2016.05.034","ISSN":"03014215","abstract":"The key advantage of renewables is that they are free of direct pollution and carbon emissions. Given concern over global warming caused by carbon emissions, there are substantial policy efforts to increase renewable penetrations. The purpose of this paper is to outline and evaluate the challenges presented by increasing penetrations of renewable electricity generation. These generation sources primarily include solar and wind which are growing rapidly and are new enough to the grid that the impact of high penetrations is not fully understood. The intrinsic nature of solar and wind power is very likely to present greater system challenges than “conventional” sources. Within limits, those challenges can be overcome, but at a cost. Later sections of the paper will draw on a variety of sources to identify a range of such costs, at least as they are foreseen by researchers helping prepare ambitious plans for grids to obtain high shares (30–50%) of their megawatt hours from primarily solar and wind generation. Energy poverty issues are outlined and related to renewable costs issues.","author":[{"dropping-particle":"","family":"Stram","given":"Bruce N.","non-dropping-particle":"","parse-names":false,"suffix":""}],"container-title":"Energy Policy","id":"ITEM-1","issued":{"date-parts":[["2016"]]},"page":"728-734","title":"Key challenges to expanding renewable energy","type":"article-journal","volume":"96"},"uris":["http://www.mendeley.com/documents/?uuid=2f2561d6-68e5-4c4a-9c03-70075d6e2fb1"]}],"mendeley":{"formattedCitation":"(Stram, 2016)","plainTextFormattedCitation":"(Stram, 2016)","previouslyFormattedCitation":"(Stram, 2016)"},"properties":{"noteIndex":0},"schema":"https://github.com/citation-style-language/schema/raw/master/csl-citation.json"}</w:instrText>
      </w:r>
      <w:r>
        <w:fldChar w:fldCharType="separate"/>
      </w:r>
      <w:bookmarkStart w:id="8" w:name="__Fieldmark__454_3718023903"/>
      <w:r w:rsidR="00BF2D26" w:rsidRPr="00BF2D26">
        <w:rPr>
          <w:noProof/>
        </w:rPr>
        <w:t>(Stram, 2016)</w:t>
      </w:r>
      <w:r>
        <w:fldChar w:fldCharType="end"/>
      </w:r>
      <w:bookmarkEnd w:id="8"/>
      <w:r>
        <w:t>.</w:t>
      </w:r>
      <w:r w:rsidR="00DF2E19">
        <w:t xml:space="preserve"> Short time scale variability due to passing broken cloud cover can affect one PV system substantially.</w:t>
      </w:r>
      <w:r>
        <w:t xml:space="preserve"> </w:t>
      </w:r>
      <w:r w:rsidR="00B43BC1">
        <w:t>But w</w:t>
      </w:r>
      <w:r>
        <w:t>ider geographical distribution of</w:t>
      </w:r>
      <w:r w:rsidR="00DF2E19">
        <w:t xml:space="preserve"> multiple</w:t>
      </w:r>
      <w:r>
        <w:t xml:space="preserve"> interconnected PV </w:t>
      </w:r>
      <w:r w:rsidR="00DF2E19">
        <w:t>systems</w:t>
      </w:r>
      <w:r>
        <w:t xml:space="preserve"> can significantly smooth th</w:t>
      </w:r>
      <w:r w:rsidR="00DF2E19">
        <w:t>is</w:t>
      </w:r>
      <w:r>
        <w:t xml:space="preserve"> short time </w:t>
      </w:r>
      <w:r w:rsidR="007D296C">
        <w:t>PV</w:t>
      </w:r>
      <w:r>
        <w:t xml:space="preserve"> power </w:t>
      </w:r>
      <w:r w:rsidR="007D296C">
        <w:t>output</w:t>
      </w:r>
      <w:r>
        <w:t xml:space="preserve"> variability </w:t>
      </w:r>
      <w:r>
        <w:fldChar w:fldCharType="begin" w:fldLock="1"/>
      </w:r>
      <w:r w:rsidR="00BA094B">
        <w:instrText>ADDIN CSL_CITATION {"citationItems":[{"id":"ITEM-1","itemData":{"DOI":"10.1016/j.enpol.2010.11.045","ISSN":"03014215","abstract":"This is Part II of two papers evaluating the feasibility of providing all energy for all purposes (electric power, transportation, and heating/cooling), everywhere in the world, from wind, water, and the sun (WWS). In Part I, we described the prominent renewable energy plans that have been proposed and discussed the characteristics of WWS energy systems, the global demand for and availability of WWS energy, quantities and areas required for WWS infrastructure, and supplies of critical materials. Here, we discuss methods of addressing the variability of WWS energy to ensure that power supply reliably matches demand (including interconnecting geographically dispersed resources, using hydroelectricity, using demand-response management, storing electric power on site, over-sizing peak generation capacity and producing hydrogen with the excess, storing electric power in vehicle batteries, and forecasting weather to project energy supplies), the economics of WWS generation and transmission, the economics of WWS use in transportation, and policy measures needed to enhance the viability of a WWS system. We find that the cost of energy in a 100% WWS will be similar to the cost today. We conclude that barriers to a 100% conversion to WWS power worldwide are primarily social and political, not technological or even economic. © 2010 Elsevier Ltd.","author":[{"dropping-particle":"","family":"Delucchi","given":"Mark A.","non-dropping-particle":"","parse-names":false,"suffix":""},{"dropping-particle":"","family":"Jacobson","given":"Mark Z.","non-dropping-particle":"","parse-names":false,"suffix":""}],"container-title":"Energy Policy","id":"ITEM-1","issue":"3","issued":{"date-parts":[["2011"]]},"page":"1170-1190","publisher":"Elsevier","title":"Providing all global energy with wind, water, and solar power, Part II: Reliability, system and transmission costs, and policies","type":"article-journal","volume":"39"},"uris":["http://www.mendeley.com/documents/?uuid=24fe9035-17ca-4c1e-91d0-083ef0bf9364"]},{"id":"ITEM-2","itemData":{"DOI":"10.3390/en9060449","ISSN":"1996-1073","abstract":"This paper reviews the most recent and relevant research into the variability characteristics of wind and solar power resources in Europe. The background for this study is that wind and solar resources will probably constitute major components of the future European power system. Such resources are variable, and EU plans to balance the variability with more grids and demand response. Thus, planning for the future power system requires an in-depth understanding of the variability. Resource variability is a multi-faceted concept best described using a range of distinct characteristics, and this review is structured on the basis of seven of these: Distribution Long-Term (hours to years), Distribution Short-Term (less than one hour), Step Changes, Autocorrelation, Spatial Correlation, Cross Correlation and Predictable Patterns. The review presents simulations and empirical results related to resource variability for each of these characteristics. Results to date reveal that the variability characteristics of the future power system is limited understood. This study recommends the development of a scheme for greater systematic assessment of variability. Such a scheme will contribute to the understanding of the impacts of variability and will make it possible to compare alternative power production portfolios and impacts of grid expansions, demand response and storage technologies.","author":[{"dropping-particle":"","family":"Graabak","given":"Ingeborg","non-dropping-particle":"","parse-names":false,"suffix":""},{"dropping-particle":"","family":"Korpås","given":"Magnus","non-dropping-particle":"","parse-names":false,"suffix":""}],"container-title":"Energies","id":"ITEM-2","issue":"6","issued":{"date-parts":[["2016"]]},"page":"1-31","title":"Variability Characteristics of European Wind and Solar Power Resources—A Review","type":"article-journal","volume":"9"},"uris":["http://www.mendeley.com/documents/?uuid=bbb8cada-82c1-4328-977e-a11f7d4fe8e8"]}],"mendeley":{"formattedCitation":"(Delucchi and Jacobson, 2011; Graabak and Korpås, 2016)","plainTextFormattedCitation":"(Delucchi and Jacobson, 2011; Graabak and Korpås, 2016)","previouslyFormattedCitation":"(Delucchi and Jacobson, 2011; Graabak and Korpås, 2016)"},"properties":{"noteIndex":0},"schema":"https://github.com/citation-style-language/schema/raw/master/csl-citation.json"}</w:instrText>
      </w:r>
      <w:r>
        <w:fldChar w:fldCharType="separate"/>
      </w:r>
      <w:bookmarkStart w:id="9" w:name="__Fieldmark__474_3718023903"/>
      <w:r w:rsidR="00BF2D26" w:rsidRPr="00BF2D26">
        <w:rPr>
          <w:noProof/>
        </w:rPr>
        <w:t>(Delucchi and Jacobson, 2011; Graabak and Korpås, 2016)</w:t>
      </w:r>
      <w:r>
        <w:fldChar w:fldCharType="end"/>
      </w:r>
      <w:bookmarkEnd w:id="9"/>
      <w:r>
        <w:t xml:space="preserve">. </w:t>
      </w:r>
      <w:r w:rsidR="003B45E4">
        <w:t>C</w:t>
      </w:r>
      <w:r>
        <w:t xml:space="preserve">o-deployment of renewable energy system (water, wind and solar) can counteract the variable power </w:t>
      </w:r>
      <w:r w:rsidR="007D296C">
        <w:t>output</w:t>
      </w:r>
      <w:r>
        <w:t xml:space="preserve"> caused by diurnal and seasonal cycles</w:t>
      </w:r>
      <w:r w:rsidR="003B45E4">
        <w:t>.</w:t>
      </w:r>
      <w:r w:rsidR="00526982">
        <w:t xml:space="preserve"> The basis </w:t>
      </w:r>
      <w:r w:rsidR="003F36C2">
        <w:t>for these approaches is the</w:t>
      </w:r>
      <w:r w:rsidR="00526982">
        <w:t xml:space="preserve"> different diurnal </w:t>
      </w:r>
      <w:r w:rsidR="003F36C2">
        <w:t>and</w:t>
      </w:r>
      <w:r w:rsidR="00526982">
        <w:t xml:space="preserve"> seasonal production pattern of </w:t>
      </w:r>
      <w:r w:rsidR="00587C98">
        <w:t xml:space="preserve">water, </w:t>
      </w:r>
      <w:r w:rsidR="00526982">
        <w:t>wind</w:t>
      </w:r>
      <w:r w:rsidR="00587C98">
        <w:t xml:space="preserve"> and</w:t>
      </w:r>
      <w:r w:rsidR="00526982">
        <w:t xml:space="preserve"> solar power plants.</w:t>
      </w:r>
      <w:r w:rsidR="003B45E4">
        <w:t xml:space="preserve"> For example, wind power </w:t>
      </w:r>
      <w:r w:rsidR="007D296C">
        <w:t>output</w:t>
      </w:r>
      <w:r w:rsidR="003B45E4">
        <w:t xml:space="preserve"> exhibits highe</w:t>
      </w:r>
      <w:r w:rsidR="00AA02DE">
        <w:t>st</w:t>
      </w:r>
      <w:r w:rsidR="003B45E4">
        <w:t xml:space="preserve"> production rates during winter</w:t>
      </w:r>
      <w:r w:rsidR="004C43CA">
        <w:t xml:space="preserve"> whereas</w:t>
      </w:r>
      <w:r w:rsidR="003B45E4">
        <w:t xml:space="preserve"> solar power production is highest in summer. </w:t>
      </w:r>
      <w:r w:rsidR="004C43CA">
        <w:t>Co-deployment of wind and solar can therefore reduce the seasonal power production variability.</w:t>
      </w:r>
      <w:r w:rsidR="00587C98">
        <w:t xml:space="preserve"> Other combination are possible</w:t>
      </w:r>
      <w:r w:rsidR="00AA02DE">
        <w:t xml:space="preserve"> as well</w:t>
      </w:r>
      <w:r w:rsidR="004C43CA">
        <w:t xml:space="preserve"> </w:t>
      </w:r>
      <w:r>
        <w:fldChar w:fldCharType="begin" w:fldLock="1"/>
      </w:r>
      <w:r w:rsidR="00BA094B">
        <w:instrText>ADDIN CSL_CITATION {"citationItems":[{"id":"ITEM-1","itemData":{"DOI":"10.1016/j.renene.2010.03.012","ISSN":"09601481","abstract":"The renewable power generation aggregated across Europe exhibits strong seasonal behaviors. Wind power generation is much stronger in winter than in summer. The opposite is true for solar power generation. In a future Europe with a very high share of renewable power generation those two opposite behaviors are able to counterbalance each other to a certain extent to follow the seasonal load curve. The best point of counterbalancing represents the seasonal optimal mix between wind and solar power generation. It leads to a pronounced minimum in required stored energy. For a 100% renewable Europe the seasonal optimal mix becomes 55% wind and 45% solar power generation. For less than 100% renewable scenarios the fraction of wind power generation increases and that of solar power generation decreases. © 2010 Elsevier Ltd.","author":[{"dropping-particle":"","family":"Heide","given":"Dominik","non-dropping-particle":"","parse-names":false,"suffix":""},{"dropping-particle":"","family":"Bremen","given":"Lueder","non-dropping-particle":"von","parse-names":false,"suffix":""},{"dropping-particle":"","family":"Greiner","given":"Martin","non-dropping-particle":"","parse-names":false,"suffix":""},{"dropping-particle":"","family":"Hoffmann","given":"Clemens","non-dropping-particle":"","parse-names":false,"suffix":""},{"dropping-particle":"","family":"Speckmann","given":"Markus","non-dropping-particle":"","parse-names":false,"suffix":""},{"dropping-particle":"","family":"Bofinger","given":"Stefan","non-dropping-particle":"","parse-names":false,"suffix":""}],"container-title":"Renewable Energy","id":"ITEM-1","issue":"11","issued":{"date-parts":[["2010"]]},"page":"2483-2489","title":"Seasonal optimal mix of wind and solar power in a future, highly renewable Europe","type":"article-journal","volume":"35"},"uris":["http://www.mendeley.com/documents/?uuid=51d643c1-1d96-4e3d-abca-960e2a5ad2de"]},{"id":"ITEM-2","itemData":{"DOI":"10.3390/en9060449","ISSN":"1996-1073","abstract":"This paper reviews the most recent and relevant research into the variability characteristics of wind and solar power resources in Europe. The background for this study is that wind and solar resources will probably constitute major components of the future European power system. Such resources are variable, and EU plans to balance the variability with more grids and demand response. Thus, planning for the future power system requires an in-depth understanding of the variability. Resource variability is a multi-faceted concept best described using a range of distinct characteristics, and this review is structured on the basis of seven of these: Distribution Long-Term (hours to years), Distribution Short-Term (less than one hour), Step Changes, Autocorrelation, Spatial Correlation, Cross Correlation and Predictable Patterns. The review presents simulations and empirical results related to resource variability for each of these characteristics. Results to date reveal that the variability characteristics of the future power system is limited understood. This study recommends the development of a scheme for greater systematic assessment of variability. Such a scheme will contribute to the understanding of the impacts of variability and will make it possible to compare alternative power production portfolios and impacts of grid expansions, demand response and storage technologies.","author":[{"dropping-particle":"","family":"Graabak","given":"Ingeborg","non-dropping-particle":"","parse-names":false,"suffix":""},{"dropping-particle":"","family":"Korpås","given":"Magnus","non-dropping-particle":"","parse-names":false,"suffix":""}],"container-title":"Energies","id":"ITEM-2","issue":"6","issued":{"date-parts":[["2016"]]},"page":"1-31","title":"Variability Characteristics of European Wind and Solar Power Resources—A Review","type":"article-journal","volume":"9"},"uris":["http://www.mendeley.com/documents/?uuid=bbb8cada-82c1-4328-977e-a11f7d4fe8e8"]},{"id":"ITEM-3","itemData":{"DOI":"10.1016/j.renene.2014.11.055","ISSN":"18790682","abstract":"We evaluate the extent to which a combination of wind power and concentrating solar power (CSP) may lead to stable and even baseload power by taking advantage of: 1) spatiotemporal balancing of solar and wind energy resources and 2) storage capabilities of CSP plants. A case study is conducted for the region of Andalusia in Spain. To this end, spatiotemporal variability of modeled CSP and wind capacity factors in a 3-km spatial resolution grid were analyzed based on principal component analysis (PCA) and canonical correlation analysis (CCA). Results reveal that renewable baseload power can be obtained in the study region by locating wind farms and CSP plants using balancing patterns derived from CCA and PCA. In addition, the power fluctuation reduction attained from these patterns was substantially higher than those obtained by interconnecting randomly-located wind farms and CSP plants across the study region. Results were particularly meaningful for the winter season. Upon considering storage capability of the CSP plants, results proved better. The main difference was a higher firm capacity value associated with spring and summer seasons. For the other seasons, the contribution of thermal storage capabilities of th</w:instrText>
      </w:r>
      <w:r w:rsidR="00BA094B" w:rsidRPr="00BA094B">
        <w:rPr>
          <w:lang w:val="fr-CH"/>
        </w:rPr>
        <w:instrText>e CSP plants to stable power proved less relevant.","author":[{"dropping-particle":"","family":"Santos-Alamillos","given":"F. J.","non-dropping-particle":"","parse-names":false,"suffix":""},{"dropping-particle":"","family":"Pozo-Vázquez","given":"D.","non-dropping-particle":"","parse-names":false,"suffix":""},{"dropping-particle":"","family":"Ruiz-Arias","given":"J. A.","non-dropping-particle":"","parse-names":false,"suffix":""},{"dropping-particle":"","family":"Bremen","given":"L.","non-dropping-particle":"Von","parse-names":false,"suffix":""},{"dropping-particle":"","family":"Tovar-Pescador","given":"J.","non-dropping-particle":"","parse-names":false,"suffix":""}],"container-title":"Renewable Energy","id":"ITEM-3","issue":"2015","issued":{"date-parts":[["2015"]]},"page":"539-550","title":"Combining wind farms with concentrating solar plants to provide stable renewable power","type":"article-journal","volume":"76"},"uris":["http://www.mendeley.com/documents/?uuid=2e20ed9d-c9ee-46c3-8b5a-718902e998a6"]}],"mendeley":{"formattedCitation":"(Heide &lt;i&gt;et al.&lt;/i&gt;, 2010; Santos-Alamillos &lt;i&gt;et al.&lt;/i&gt;, 2015; Graabak and Korpås, 2016)","plainTextFormattedCitation":"(Heide et al., 2010; Santos-Alamillos et al., 2015; Graabak and Korpås, 2016)","previouslyFormattedCitation":"(Heide &lt;i&gt;et al.&lt;/i&gt;, 2010; Santos-Alamillos &lt;i&gt;et al.&lt;/i&gt;, 2015; Graabak and Korpås, 2016)"},"properties":{"noteIndex":0},"schema":"https://github.com/citation-style-language/schema/raw/master/csl-citation.json"}</w:instrText>
      </w:r>
      <w:r>
        <w:fldChar w:fldCharType="separate"/>
      </w:r>
      <w:bookmarkStart w:id="10" w:name="__Fieldmark__492_3718023903"/>
      <w:r w:rsidR="00BF2D26" w:rsidRPr="00BF2D26">
        <w:rPr>
          <w:noProof/>
          <w:lang w:val="fr-CH"/>
        </w:rPr>
        <w:t xml:space="preserve">(Heide </w:t>
      </w:r>
      <w:r w:rsidR="00BF2D26" w:rsidRPr="00BF2D26">
        <w:rPr>
          <w:i/>
          <w:noProof/>
          <w:lang w:val="fr-CH"/>
        </w:rPr>
        <w:t>et al.</w:t>
      </w:r>
      <w:r w:rsidR="00BF2D26" w:rsidRPr="00BF2D26">
        <w:rPr>
          <w:noProof/>
          <w:lang w:val="fr-CH"/>
        </w:rPr>
        <w:t xml:space="preserve">, 2010; Santos-Alamillos </w:t>
      </w:r>
      <w:r w:rsidR="00BF2D26" w:rsidRPr="00BF2D26">
        <w:rPr>
          <w:i/>
          <w:noProof/>
          <w:lang w:val="fr-CH"/>
        </w:rPr>
        <w:t>et al.</w:t>
      </w:r>
      <w:r w:rsidR="00BF2D26" w:rsidRPr="00BF2D26">
        <w:rPr>
          <w:noProof/>
          <w:lang w:val="fr-CH"/>
        </w:rPr>
        <w:t>, 2015; Graabak and Korpås, 2016)</w:t>
      </w:r>
      <w:r>
        <w:fldChar w:fldCharType="end"/>
      </w:r>
      <w:bookmarkEnd w:id="10"/>
      <w:r w:rsidRPr="00062207">
        <w:rPr>
          <w:lang w:val="fr-CH"/>
        </w:rPr>
        <w:t>.</w:t>
      </w:r>
      <w:r w:rsidR="00DF2E19" w:rsidRPr="00062207">
        <w:rPr>
          <w:lang w:val="fr-CH"/>
        </w:rPr>
        <w:t xml:space="preserve"> </w:t>
      </w:r>
      <w:r w:rsidR="00DF2E19" w:rsidRPr="00587C98">
        <w:t>To summarize</w:t>
      </w:r>
      <w:r w:rsidR="00AA02DE">
        <w:t>,</w:t>
      </w:r>
      <w:r w:rsidR="00DF2E19" w:rsidRPr="00587C98">
        <w:t xml:space="preserve"> </w:t>
      </w:r>
      <w:r w:rsidR="00587C98">
        <w:t xml:space="preserve">different studies </w:t>
      </w:r>
      <w:r w:rsidR="00A8724D">
        <w:t xml:space="preserve">already </w:t>
      </w:r>
      <w:r w:rsidR="00587C98">
        <w:t xml:space="preserve">have </w:t>
      </w:r>
      <w:r w:rsidR="00A12980">
        <w:t>proposed</w:t>
      </w:r>
      <w:r w:rsidR="00587C98">
        <w:t xml:space="preserve"> </w:t>
      </w:r>
      <w:r w:rsidR="000C0DF1">
        <w:t>methods</w:t>
      </w:r>
      <w:r w:rsidR="00587C98">
        <w:t xml:space="preserve"> to reduce short, diurnal </w:t>
      </w:r>
      <w:r w:rsidR="00201D64">
        <w:t xml:space="preserve">or seasonal </w:t>
      </w:r>
      <w:r w:rsidR="00AA02DE">
        <w:t xml:space="preserve">solar </w:t>
      </w:r>
      <w:r w:rsidR="00201D64">
        <w:t>power production variability.</w:t>
      </w:r>
    </w:p>
    <w:p w14:paraId="0F84B12B" w14:textId="77777777" w:rsidR="001F414A" w:rsidRDefault="002C2C01" w:rsidP="002C2C01">
      <w:r w:rsidRPr="00BA76BE">
        <w:lastRenderedPageBreak/>
        <w:t>Fewer studies have investigated</w:t>
      </w:r>
      <w:r w:rsidR="00AA02DE">
        <w:t xml:space="preserve"> in reduction of</w:t>
      </w:r>
      <w:r w:rsidRPr="00BA76BE">
        <w:t xml:space="preserve"> multiday </w:t>
      </w:r>
      <w:r w:rsidR="00AA02DE">
        <w:t>solar</w:t>
      </w:r>
      <w:r w:rsidRPr="00BA76BE">
        <w:t xml:space="preserve"> power output variability from a meteorological standpoint. </w:t>
      </w:r>
      <w:r w:rsidR="00AA02DE" w:rsidRPr="00BA76BE">
        <w:fldChar w:fldCharType="begin" w:fldLock="1"/>
      </w:r>
      <w:r w:rsidR="00BA094B">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regimes","type":"article-journal","volume":"7"},"uris":["http://www.mendeley.com/documents/?uuid=e16f18ec-f45b-4455-8d32-625e1f80da0f"]}],"mendeley":{"formattedCitation":"(Grams &lt;i&gt;et al.&lt;/i&gt;, 2017)","manualFormatting":"Grams et al. (2017)","plainTextFormattedCitation":"(Grams et al., 2017)","previouslyFormattedCitation":"(Grams &lt;i&gt;et al.&lt;/i&gt;, 2017)"},"properties":{"noteIndex":0},"schema":"https://github.com/citation-style-language/schema/raw/master/csl-citation.json"}</w:instrText>
      </w:r>
      <w:r w:rsidR="00AA02DE" w:rsidRPr="00BA76BE">
        <w:fldChar w:fldCharType="separate"/>
      </w:r>
      <w:bookmarkStart w:id="11" w:name="__Fieldmark__506_3718023903"/>
      <w:r w:rsidR="00AA02DE" w:rsidRPr="00BA76BE">
        <w:rPr>
          <w:noProof/>
        </w:rPr>
        <w:t xml:space="preserve">Grams </w:t>
      </w:r>
      <w:r w:rsidR="00AA02DE" w:rsidRPr="00BA76BE">
        <w:rPr>
          <w:i/>
          <w:noProof/>
        </w:rPr>
        <w:t>et al.</w:t>
      </w:r>
      <w:r w:rsidR="00AA02DE" w:rsidRPr="00BA76BE">
        <w:rPr>
          <w:noProof/>
        </w:rPr>
        <w:t xml:space="preserve"> (2017)</w:t>
      </w:r>
      <w:r w:rsidR="00AA02DE" w:rsidRPr="00BA76BE">
        <w:fldChar w:fldCharType="end"/>
      </w:r>
      <w:bookmarkEnd w:id="11"/>
      <w:r w:rsidR="00AA02DE" w:rsidRPr="00BA76BE">
        <w:t xml:space="preserve"> </w:t>
      </w:r>
      <w:r w:rsidR="00AA02DE">
        <w:t xml:space="preserve">did but </w:t>
      </w:r>
      <w:r w:rsidR="00AA02DE" w:rsidRPr="00BA76BE">
        <w:t>rejected the idea</w:t>
      </w:r>
      <w:r w:rsidR="00A12980">
        <w:t xml:space="preserve"> to further invest in it</w:t>
      </w:r>
      <w:r w:rsidR="002F2FB9">
        <w:t>,</w:t>
      </w:r>
      <w:r w:rsidR="00AA02DE" w:rsidRPr="00BA76BE">
        <w:t xml:space="preserve"> based on their findings that it would need a tenfold increase of installed PV capacity in Europe to be comparable to the variability of wind power </w:t>
      </w:r>
      <w:r w:rsidR="007D296C">
        <w:t>output</w:t>
      </w:r>
      <w:r w:rsidR="00AA02DE" w:rsidRPr="00BA76BE">
        <w:t>.</w:t>
      </w:r>
      <w:r w:rsidR="00130696">
        <w:t xml:space="preserve"> </w:t>
      </w:r>
      <w:r w:rsidR="00A12980">
        <w:t>Therefore,</w:t>
      </w:r>
      <w:r w:rsidR="00130696">
        <w:t xml:space="preserve"> they </w:t>
      </w:r>
      <w:r w:rsidR="00FC3BBD">
        <w:t>focused</w:t>
      </w:r>
      <w:r w:rsidR="00130696">
        <w:t xml:space="preserve"> their study </w:t>
      </w:r>
      <w:r w:rsidR="00FC3BBD">
        <w:t>on</w:t>
      </w:r>
      <w:r w:rsidR="00130696">
        <w:t xml:space="preserve"> wind and </w:t>
      </w:r>
      <w:r w:rsidR="00130696" w:rsidRPr="00BA76BE">
        <w:t>concluded</w:t>
      </w:r>
      <w:r w:rsidR="002F2FB9">
        <w:t>,</w:t>
      </w:r>
      <w:r w:rsidR="00130696" w:rsidRPr="00BA76BE">
        <w:t xml:space="preserve"> that spatial deployment of wind fleets based on</w:t>
      </w:r>
      <w:r w:rsidR="00130696">
        <w:t xml:space="preserve"> </w:t>
      </w:r>
      <w:r w:rsidR="00130696" w:rsidRPr="00BA76BE">
        <w:t xml:space="preserve">information of different weather regimes can reduce </w:t>
      </w:r>
      <w:r w:rsidR="00130696">
        <w:t xml:space="preserve">the wind power </w:t>
      </w:r>
      <w:r w:rsidR="007923A8">
        <w:t>output</w:t>
      </w:r>
      <w:r w:rsidR="00130696">
        <w:t xml:space="preserve"> variability</w:t>
      </w:r>
      <w:r w:rsidR="00130696" w:rsidRPr="00BA76BE">
        <w:t xml:space="preserve"> within Europe substantially.</w:t>
      </w:r>
      <w:r w:rsidR="004B2458">
        <w:t xml:space="preserve"> </w:t>
      </w:r>
      <w:r w:rsidR="004C346F">
        <w:t>Nevertheless,</w:t>
      </w:r>
      <w:r w:rsidR="001D29F8">
        <w:t xml:space="preserve"> they showed that </w:t>
      </w:r>
      <w:r w:rsidR="00FC3BBD">
        <w:t xml:space="preserve">connecting </w:t>
      </w:r>
      <w:r w:rsidR="004B2458">
        <w:t xml:space="preserve">weather regime to </w:t>
      </w:r>
      <w:r w:rsidR="004D049B">
        <w:t xml:space="preserve">PV </w:t>
      </w:r>
      <w:r w:rsidR="004B2458">
        <w:t xml:space="preserve">power </w:t>
      </w:r>
      <w:r w:rsidR="007D296C">
        <w:t>output</w:t>
      </w:r>
      <w:r w:rsidR="004B2458">
        <w:t xml:space="preserve"> variability is also possible. </w:t>
      </w:r>
      <w:r w:rsidR="00A12980">
        <w:t>Even though</w:t>
      </w:r>
      <w:r w:rsidR="004B2458">
        <w:t xml:space="preserve"> the </w:t>
      </w:r>
      <w:r w:rsidR="0010770F">
        <w:t>decision to focus on wind</w:t>
      </w:r>
      <w:r w:rsidR="004B2458">
        <w:t xml:space="preserve"> </w:t>
      </w:r>
      <w:r w:rsidR="0010770F">
        <w:t xml:space="preserve">rather than solar power </w:t>
      </w:r>
      <w:r w:rsidR="007923A8">
        <w:t>output</w:t>
      </w:r>
      <w:r w:rsidR="0010770F">
        <w:t xml:space="preserve"> variability </w:t>
      </w:r>
      <w:r w:rsidR="002F2FB9">
        <w:t xml:space="preserve">is comprehendible, </w:t>
      </w:r>
      <w:r w:rsidR="004B2458">
        <w:t>calculations</w:t>
      </w:r>
      <w:r w:rsidR="002F2FB9">
        <w:t xml:space="preserve"> of </w:t>
      </w:r>
      <w:r w:rsidR="004B2458">
        <w:t xml:space="preserve">necessary </w:t>
      </w:r>
      <w:r w:rsidR="002F2FB9">
        <w:t xml:space="preserve">future installed </w:t>
      </w:r>
      <w:r w:rsidR="004B2458">
        <w:t xml:space="preserve">PV </w:t>
      </w:r>
      <w:r w:rsidR="002F2FB9">
        <w:t xml:space="preserve">capacities </w:t>
      </w:r>
      <w:r w:rsidR="004B2458">
        <w:t>gives reason to do the investigations anyway</w:t>
      </w:r>
      <w:r w:rsidR="002F2FB9">
        <w:t>.</w:t>
      </w:r>
      <w:r w:rsidRPr="00BA76BE">
        <w:t xml:space="preserve"> </w:t>
      </w:r>
      <w:r w:rsidRPr="00BA76BE">
        <w:fldChar w:fldCharType="begin" w:fldLock="1"/>
      </w:r>
      <w:r w:rsidR="00AA3906">
        <w:instrText>ADDIN CSL_CITATION {"citationItems":[{"id":"ITEM-1","itemData":{"ISBN":"978-952-335-339-8","author":[{"dropping-particle":"","family":"Ram","given":"Manish","non-dropping-particle":"","parse-names":false,"suffix":""},{"dropping-particle":"","family":"Bogdanov","given":"Dmitrii","non-dropping-particle":"","parse-names":false,"suffix":""},{"dropping-particle":"","family":"Aghahosseini","given":"Arman","non-dropping-particle":"","parse-names":false,"suffix":""},{"dropping-particle":"","family":"Oyewo","given":"Ayobami","non-dropping-particle":"","parse-names":false,"suffix":""},{"dropping-particle":"","family":"Gulagi","given":"Ashish","non-dropping-particle":"","parse-names":false,"suffix":""},{"dropping-particle":"","family":"Child","given":"Michael","non-dropping-particle":"","parse-names":false,"suffix":""},{"dropping-particle":"","family":"Fell","given":"Hans-Josef","non-dropping-particle":"","parse-names":false,"suffix":""}],"container-title":"Study by Lappeenranta University of Technology and Energy Watch Group","id":"ITEM-1","issue":"March","issued":{"date-parts":[["2019"]]},"page":"1-321","publisher-place":"Berlin","title":"Global Energy System based on 100% Renewable Energy – Power, Heat, Transport and Desalination Sectors","type":"article-journal","volume":"1"},"uris":["http://www.mendeley.com/documents/?uuid=436588c0-ab2c-4933-9651-89221db24419"]}],"mendeley":{"formattedCitation":"(Ram &lt;i&gt;et al.&lt;/i&gt;, 2019)","manualFormatting":"Ram et al. (2017)","plainTextFormattedCitation":"(Ram et al., 2019)","previouslyFormattedCitation":"(Ram &lt;i&gt;et al.&lt;/i&gt;, 2019)"},"properties":{"noteIndex":0},"schema":"https://github.com/citation-style-language/schema/raw/master/csl-citation.json"}</w:instrText>
      </w:r>
      <w:r w:rsidRPr="00BA76BE">
        <w:fldChar w:fldCharType="separate"/>
      </w:r>
      <w:r w:rsidRPr="00BA76BE">
        <w:rPr>
          <w:noProof/>
        </w:rPr>
        <w:t xml:space="preserve">Ram </w:t>
      </w:r>
      <w:r w:rsidRPr="00BA76BE">
        <w:rPr>
          <w:i/>
          <w:noProof/>
        </w:rPr>
        <w:t>et al.</w:t>
      </w:r>
      <w:r w:rsidRPr="00BA76BE">
        <w:rPr>
          <w:noProof/>
        </w:rPr>
        <w:t xml:space="preserve"> (2017)</w:t>
      </w:r>
      <w:r w:rsidRPr="00BA76BE">
        <w:fldChar w:fldCharType="end"/>
      </w:r>
      <w:r w:rsidRPr="00BA76BE">
        <w:t xml:space="preserve"> estimated that the installed PV </w:t>
      </w:r>
      <w:r w:rsidRPr="00773A84">
        <w:t>capacity for a 100% renewable scenario</w:t>
      </w:r>
      <w:r w:rsidR="004D18E5">
        <w:t xml:space="preserve"> in </w:t>
      </w:r>
      <w:r w:rsidR="004C346F">
        <w:t>Europe</w:t>
      </w:r>
      <w:r w:rsidRPr="00773A84">
        <w:t xml:space="preserve"> must rise to 1.94TW</w:t>
      </w:r>
      <w:r w:rsidR="004C346F">
        <w:t xml:space="preserve"> by 2050</w:t>
      </w:r>
      <w:r w:rsidRPr="00773A84">
        <w:t xml:space="preserve">. </w:t>
      </w:r>
      <w:r w:rsidR="004D18E5">
        <w:t>This</w:t>
      </w:r>
      <w:r w:rsidRPr="00773A84">
        <w:t xml:space="preserve"> is roughly a twentyfold increase of installed PV capacity compared to the 87.19GW installed PV capacity </w:t>
      </w:r>
      <w:r>
        <w:t>used</w:t>
      </w:r>
      <w:r w:rsidRPr="00773A84">
        <w:t xml:space="preserve"> in </w:t>
      </w:r>
      <w:r w:rsidRPr="00773A84">
        <w:fldChar w:fldCharType="begin" w:fldLock="1"/>
      </w:r>
      <w:r w:rsidR="00BA094B">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regimes","type":"article-journal","volume":"7"},"uris":["http://www.mendeley.com/documents/?uuid=d83a18de-1e07-4281-ad3b-9b5f2db864e0"]}],"mendeley":{"formattedCitation":"(Grams &lt;i&gt;et al.&lt;/i&gt;, 2017)","manualFormatting":"Grams et al. (2017)","plainTextFormattedCitation":"(Grams et al., 2017)","previouslyFormattedCitation":"(Grams &lt;i&gt;et al.&lt;/i&gt;, 2017)"},"properties":{"noteIndex":0},"schema":"https://github.com/citation-style-language/schema/raw/master/csl-citation.json"}</w:instrText>
      </w:r>
      <w:r w:rsidRPr="00773A84">
        <w:fldChar w:fldCharType="separate"/>
      </w:r>
      <w:r w:rsidRPr="00773A84">
        <w:rPr>
          <w:noProof/>
        </w:rPr>
        <w:t xml:space="preserve">Grams </w:t>
      </w:r>
      <w:r w:rsidRPr="00773A84">
        <w:rPr>
          <w:i/>
          <w:noProof/>
        </w:rPr>
        <w:t>et al.</w:t>
      </w:r>
      <w:r w:rsidRPr="00773A84">
        <w:rPr>
          <w:noProof/>
        </w:rPr>
        <w:t xml:space="preserve"> (2017)</w:t>
      </w:r>
      <w:r w:rsidRPr="00773A84">
        <w:fldChar w:fldCharType="end"/>
      </w:r>
      <w:r w:rsidRPr="00773A84">
        <w:t xml:space="preserve"> study. </w:t>
      </w:r>
      <w:r w:rsidR="00B04017">
        <w:t>Therefore,</w:t>
      </w:r>
      <w:r w:rsidRPr="00773A84">
        <w:t xml:space="preserve"> the impact of multiday PV power </w:t>
      </w:r>
      <w:r w:rsidR="007923A8">
        <w:t>output</w:t>
      </w:r>
      <w:r w:rsidR="004D049B">
        <w:t xml:space="preserve"> variability</w:t>
      </w:r>
      <w:r w:rsidR="009678F8">
        <w:t xml:space="preserve"> caused by different weather regimes</w:t>
      </w:r>
      <w:r w:rsidRPr="00773A84">
        <w:t xml:space="preserve"> could</w:t>
      </w:r>
      <w:r>
        <w:t xml:space="preserve"> also become </w:t>
      </w:r>
      <w:r w:rsidRPr="00773A84">
        <w:t>substantial</w:t>
      </w:r>
      <w:r w:rsidR="004B2458">
        <w:t>,</w:t>
      </w:r>
      <w:r w:rsidR="00B04017">
        <w:t xml:space="preserve"> which makes i</w:t>
      </w:r>
      <w:r>
        <w:t>nvestigation</w:t>
      </w:r>
      <w:r w:rsidRPr="00773A84">
        <w:t xml:space="preserve"> </w:t>
      </w:r>
      <w:r w:rsidR="004B2458">
        <w:t>of</w:t>
      </w:r>
      <w:r w:rsidRPr="00773A84">
        <w:t xml:space="preserve"> the optimal spatial deployment of</w:t>
      </w:r>
      <w:r w:rsidR="00A8724D">
        <w:t xml:space="preserve"> future</w:t>
      </w:r>
      <w:r w:rsidRPr="00773A84">
        <w:t xml:space="preserve"> PV system</w:t>
      </w:r>
      <w:r w:rsidR="00A8724D">
        <w:t>s</w:t>
      </w:r>
      <w:r w:rsidRPr="00773A84">
        <w:t xml:space="preserve"> in Europe before further massive deployment</w:t>
      </w:r>
      <w:r>
        <w:t xml:space="preserve"> of great </w:t>
      </w:r>
      <w:r w:rsidR="00B04017">
        <w:t>interest</w:t>
      </w:r>
      <w:r w:rsidRPr="00773A84">
        <w:t xml:space="preserve">. The results </w:t>
      </w:r>
      <w:r>
        <w:t>could</w:t>
      </w:r>
      <w:r w:rsidRPr="00773A84">
        <w:t xml:space="preserve"> support current planning activities and </w:t>
      </w:r>
      <w:r>
        <w:t>could</w:t>
      </w:r>
      <w:r w:rsidRPr="00773A84">
        <w:t xml:space="preserve"> help to reduce future grid balancing problems.</w:t>
      </w:r>
      <w:r w:rsidR="001F414A">
        <w:br w:type="page"/>
      </w:r>
    </w:p>
    <w:p w14:paraId="2AF6B3CB" w14:textId="77777777" w:rsidR="006A7980" w:rsidRPr="006A7980" w:rsidRDefault="00731224" w:rsidP="00842E2E">
      <w:pPr>
        <w:pStyle w:val="berschrift1"/>
      </w:pPr>
      <w:bookmarkStart w:id="12" w:name="_Toc41830553"/>
      <w:r>
        <w:lastRenderedPageBreak/>
        <w:t>Data</w:t>
      </w:r>
      <w:r w:rsidR="008E3835" w:rsidRPr="003327A0">
        <w:t xml:space="preserve"> </w:t>
      </w:r>
      <w:r w:rsidR="00842E2E">
        <w:t>&amp;</w:t>
      </w:r>
      <w:r w:rsidR="008E3835" w:rsidRPr="003327A0">
        <w:t xml:space="preserve"> </w:t>
      </w:r>
      <w:r>
        <w:t>Meth</w:t>
      </w:r>
      <w:r w:rsidR="00E507F8">
        <w:t>ods</w:t>
      </w:r>
      <w:bookmarkEnd w:id="12"/>
    </w:p>
    <w:p w14:paraId="555C3F06" w14:textId="77777777" w:rsidR="00C15A9F" w:rsidRDefault="006154F9" w:rsidP="00842E2E">
      <w:pPr>
        <w:pStyle w:val="berschrift2"/>
      </w:pPr>
      <w:bookmarkStart w:id="13" w:name="_Toc41830554"/>
      <w:r>
        <w:t>Data</w:t>
      </w:r>
      <w:bookmarkEnd w:id="13"/>
    </w:p>
    <w:p w14:paraId="4EEA9F92" w14:textId="77777777" w:rsidR="00842E2E" w:rsidRPr="00842E2E" w:rsidRDefault="006154F9" w:rsidP="00842E2E">
      <w:pPr>
        <w:pStyle w:val="berschrift3"/>
      </w:pPr>
      <w:bookmarkStart w:id="14" w:name="_Toc41830555"/>
      <w:r>
        <w:t>ERA5</w:t>
      </w:r>
      <w:bookmarkEnd w:id="14"/>
    </w:p>
    <w:p w14:paraId="19F88E71" w14:textId="5D8D52DB" w:rsidR="00842E2E" w:rsidRDefault="00014E07" w:rsidP="00203817">
      <w:r>
        <w:t>The</w:t>
      </w:r>
      <w:r w:rsidR="00F92AA9">
        <w:t xml:space="preserve"> reanalyse dataset</w:t>
      </w:r>
      <w:r w:rsidR="00E507F8">
        <w:t>,</w:t>
      </w:r>
      <w:r w:rsidR="00F92AA9">
        <w:t xml:space="preserve"> ERA5</w:t>
      </w:r>
      <w:r w:rsidR="00E507F8">
        <w:t>,</w:t>
      </w:r>
      <w:r w:rsidR="00220BD8">
        <w:t xml:space="preserve"> which is published by the European Centre for Medium-Range Weather Forecasts (ECMWF)</w:t>
      </w:r>
      <w:r>
        <w:t xml:space="preserve">, is used </w:t>
      </w:r>
      <w:r w:rsidR="00A5516E">
        <w:t xml:space="preserve">as source </w:t>
      </w:r>
      <w:r>
        <w:t>for the weather regime definition</w:t>
      </w:r>
      <w:r w:rsidR="00220BD8">
        <w:t>. It</w:t>
      </w:r>
      <w:r w:rsidR="00F92AA9">
        <w:t xml:space="preserve"> provides atmospheric, land and oceanic variables from 1979 to present with a temporal resolution of an hour.</w:t>
      </w:r>
      <w:r w:rsidR="00220BD8">
        <w:t xml:space="preserve"> </w:t>
      </w:r>
      <w:r w:rsidR="00F92AA9">
        <w:t>The grid of ERA5 has a horizontal spatial resolution of 0.28 degrees (~31km) and 37 pressure levels</w:t>
      </w:r>
      <w:r w:rsidR="00E507F8">
        <w:t xml:space="preserve"> in the vertical</w:t>
      </w:r>
      <w:r w:rsidR="00F92AA9">
        <w:t xml:space="preserve">. A detailed documentation about ERA5 reanalyse dataset can be found on the ECMWF confluence web page </w:t>
      </w:r>
      <w:r w:rsidR="00F92AA9">
        <w:fldChar w:fldCharType="begin" w:fldLock="1"/>
      </w:r>
      <w:r w:rsidR="00BA094B">
        <w:instrText>ADDIN CSL_CITATION {"citationItems":[{"id":"ITEM-1","itemData":{"URL":"https://confluence.ecmwf.int/display/CKB/ERA5+data+documentation","abstract":"Here we document the ERA5 dataset, which, eventually, will cover the period from January 1950. ERA5 data released so far covers the period from 1979 and continues to be extended forward in near real time. ERA5 was produced using 4D-Var data assimilation in CY41R2 of ECMWF’s Integrated Forecast System (IFS), with 137 hybrid sigma/pressure (model) levels in the vertical, with the top level at 0.01 hPa. Atmospheric data are available on these levels and they are also interpolated to 37 pressure, 16 potential temperature and 1 potential vorticity level(s). \"Surface or single level\" data are also available, containing 2D parameters such as precipitation, 2m temperature, top of atmosphere radiation and vertical integrals over the entire atmosphere. The IFS is coupled to a soil model, the parameters of which are also designated as surface parameters, and an ocean wave model. The ERA5 dataset contains one (31 km) high resolution realisation (HRES) and a reduced resolution ten member ensemble (EDA). Generally, the data are available at a sub-daily and monthly frequency and consist of analyses and short (18 hour) forecasts, initialised twice daily from analyses at 06 and 18 UTC. Most analysed parameters are also available from the forecasts. There are a number of forecast parameters, e.g. mean rates and accumulations, that are not available from the analyses.","accessed":{"date-parts":[["2020","4","22"]]},"author":[{"dropping-particle":"","family":"Hennermann","given":"Karl","non-dropping-particle":"","parse-names":false,"suffix":""},{"dropping-particle":"","family":"Yang","given":"Xiaobo","non-dropping-particle":"","parse-names":false,"suffix":""}],"container-title":"European Centre for Medium-Range Weather Forecasts","id":"ITEM-1","issued":{"date-parts":[["2018"]]},"page":"1-24","title":"ERA5 data documentation","type":"webpage"},"uris":["http://www.mendeley.com/documents/?uuid=200e0b3f-d06c-36f3-a900-60ee9b8065e5"]}],"mendeley":{"formattedCitation":"(Hennermann and Yang, 2018)","plainTextFormattedCitation":"(Hennermann and Yang, 2018)","previouslyFormattedCitation":"(Hennermann and Yang, 2018)"},"properties":{"noteIndex":0},"schema":"https://github.com/citation-style-language/schema/raw/master/csl-citation.json"}</w:instrText>
      </w:r>
      <w:r w:rsidR="00F92AA9">
        <w:fldChar w:fldCharType="separate"/>
      </w:r>
      <w:bookmarkStart w:id="15" w:name="__Fieldmark__722_3718023903"/>
      <w:r w:rsidR="00BF2D26" w:rsidRPr="00BF2D26">
        <w:rPr>
          <w:noProof/>
        </w:rPr>
        <w:t>(Hennermann and Yang, 2018)</w:t>
      </w:r>
      <w:r w:rsidR="00F92AA9">
        <w:fldChar w:fldCharType="end"/>
      </w:r>
      <w:bookmarkEnd w:id="15"/>
      <w:r w:rsidR="00F92AA9">
        <w:t>.</w:t>
      </w:r>
    </w:p>
    <w:p w14:paraId="134554C9" w14:textId="25B2AE73" w:rsidR="00220BD8" w:rsidRDefault="00220BD8" w:rsidP="00203817">
      <w:r>
        <w:t xml:space="preserve">We use the 500hPa geopotential height and surface downward solar radiation variables from ERA5 </w:t>
      </w:r>
      <w:r w:rsidR="00133CB5">
        <w:t>in the</w:t>
      </w:r>
      <w:r w:rsidR="00133CB5" w:rsidRPr="009D240E">
        <w:t xml:space="preserve"> domain 80°W to 40°E, 30°N to 90°N. </w:t>
      </w:r>
      <w:r w:rsidR="00117A82">
        <w:t xml:space="preserve">Geopotential height is commonly used for weather regime definition (REF) and since the surface downward solar radiation is more related to solar power production we investigate in this variable as well. </w:t>
      </w:r>
      <w:r w:rsidR="00014E07">
        <w:t>Th</w:t>
      </w:r>
      <w:r w:rsidR="00117A82">
        <w:t>e</w:t>
      </w:r>
      <w:r w:rsidR="00133CB5" w:rsidRPr="009D240E">
        <w:t xml:space="preserve"> domain </w:t>
      </w:r>
      <w:r w:rsidR="00014E07">
        <w:t xml:space="preserve">specification is reasonable </w:t>
      </w:r>
      <w:r w:rsidR="00133CB5">
        <w:t xml:space="preserve">for our meteorological field investigates since it captures the largescale circulation that affects Europe. </w:t>
      </w:r>
      <w:r w:rsidR="00014E07">
        <w:t xml:space="preserve">The </w:t>
      </w:r>
      <w:r w:rsidR="00A5516E">
        <w:t xml:space="preserve">hourly </w:t>
      </w:r>
      <w:r w:rsidR="00014E07">
        <w:t>dataset covers the time from 01.01.19</w:t>
      </w:r>
      <w:r w:rsidR="00014E07" w:rsidRPr="00933346">
        <w:rPr>
          <w:color w:val="FF0000"/>
        </w:rPr>
        <w:t>79</w:t>
      </w:r>
      <w:r w:rsidR="00014E07">
        <w:t xml:space="preserve"> until 31.05.2020</w:t>
      </w:r>
      <w:r w:rsidR="00A5516E">
        <w:t xml:space="preserve">, which yields in </w:t>
      </w:r>
      <w:r w:rsidR="00A5516E" w:rsidRPr="00A5516E">
        <w:t>363</w:t>
      </w:r>
      <w:r w:rsidR="00A5516E">
        <w:t>’</w:t>
      </w:r>
      <w:r w:rsidR="00A5516E" w:rsidRPr="00A5516E">
        <w:t>048</w:t>
      </w:r>
      <w:r w:rsidR="00A5516E">
        <w:t xml:space="preserve"> datapoints</w:t>
      </w:r>
      <w:r w:rsidR="00014E07">
        <w:t xml:space="preserve">. </w:t>
      </w:r>
      <w:r w:rsidR="00E8585C">
        <w:t>The following chapter describes the pre-processing of the raw ERA5 data which is needed before the weather regime definition can take place.</w:t>
      </w:r>
    </w:p>
    <w:p w14:paraId="2F49B723" w14:textId="77777777" w:rsidR="00BB0494" w:rsidRDefault="00BB0494" w:rsidP="00BB0494">
      <w:pPr>
        <w:pStyle w:val="berschrift3"/>
      </w:pPr>
      <w:bookmarkStart w:id="16" w:name="_Toc41830556"/>
      <w:bookmarkStart w:id="17" w:name="_GoBack"/>
      <w:bookmarkEnd w:id="17"/>
      <w:proofErr w:type="spellStart"/>
      <w:r>
        <w:t>Renewables.ninja</w:t>
      </w:r>
      <w:proofErr w:type="spellEnd"/>
      <w:r>
        <w:t xml:space="preserve"> and the </w:t>
      </w:r>
      <w:r w:rsidRPr="00FF4030">
        <w:t>Global Solar Energy Estimator</w:t>
      </w:r>
      <w:r>
        <w:t xml:space="preserve"> (GSEE)</w:t>
      </w:r>
      <w:bookmarkEnd w:id="16"/>
    </w:p>
    <w:p w14:paraId="3A039427" w14:textId="77777777" w:rsidR="00BB0494" w:rsidRDefault="00BB0494" w:rsidP="00BB0494">
      <w:proofErr w:type="spellStart"/>
      <w:r w:rsidRPr="003B2308">
        <w:t>Renewables.ninja</w:t>
      </w:r>
      <w:proofErr w:type="spellEnd"/>
      <w:r w:rsidRPr="003B2308">
        <w:t xml:space="preserve"> (</w:t>
      </w:r>
      <w:hyperlink r:id="rId8">
        <w:r w:rsidRPr="003B2308">
          <w:rPr>
            <w:rStyle w:val="InternetLink"/>
            <w:color w:val="auto"/>
          </w:rPr>
          <w:t>www.renewables.ninja</w:t>
        </w:r>
      </w:hyperlink>
      <w:r w:rsidRPr="003B2308">
        <w:t xml:space="preserve">) is an interactive web platform that simulates hourly power output of wind and solar power plants all over the world. To calculate the PV power output, it uses the so-called Global Solar </w:t>
      </w:r>
      <w:r>
        <w:t xml:space="preserve">Energy Estimator (GSEE). The source code of the GSEE is freely available on </w:t>
      </w:r>
      <w:hyperlink r:id="rId9" w:history="1">
        <w:r w:rsidRPr="003211E0">
          <w:rPr>
            <w:rStyle w:val="Hyperlink"/>
          </w:rPr>
          <w:t>GitHub</w:t>
        </w:r>
      </w:hyperlink>
      <w:r>
        <w:t xml:space="preserve"> and a detailed description of the GSEE can be found in </w:t>
      </w:r>
      <w:r>
        <w:fldChar w:fldCharType="begin" w:fldLock="1"/>
      </w:r>
      <w:r>
        <w:instrText>ADDIN CSL_CITATION {"citationItems":[{"id":"ITEM-1","itemData":{"DOI":"10.1016/j.energy.2016.08.060","ISSN":"03605442","abstract":"Solar PV is rapidly growing globally, creating difficult questions around how to efficiently integrate it into national electricity grids. Its time-varying power output is difficult to model credibly because it depends on complex and variable weather systems, leading to difficulty in understanding its potential and limitations. We demonstrate how the MERRA and MERRA-2 global meteorological reanalyses as well as the Meteosat-based CM-SAF SARAH satellite dataset can be used to produce hourly PV simulations across Europe. To validate these simulations, we gather metered time series from more than 1000 PV systems as well as national aggregate output reported by transmission network operators. We find slightly better accuracy from satellite data, but greater stability from reanalysis data. We correct for systematic bias by matching our simulations to the mean bias in modeling individual sites, then examine the long-term patterns, variability and correlation with power demand across Europe, using thirty years of simulated outputs. The results quantify how the increasing deployment of PV substantially changes net power demand and affects system adequacy and ramping requirements, with heterogeneous impacts across different European countries. The simulation code and the hourly simulations for all European countries are available freely via an interactive web platform, www.renewables.ninja.","author":[{"dropping-particle":"","family":"Pfenninger","given":"Stefan","non-dropping-particle":"","parse-names":false,"suffix":""},{"dropping-particle":"","family":"Staffell","given":"Iain","non-dropping-particle":"","parse-names":false,"suffix":""}],"container-title":"Energy","id":"ITEM-1","issued":{"date-parts":[["2016"]]},"page":"1251-1265","title":"Long-term patterns of European PV output using 30 years of validated hourly reanalysis and satellite data","type":"article-journal","volume":"114"},"uris":["http://www.mendeley.com/documents/?uuid=15c6c10a-9985-461d-8cae-dea60ca4b8a2"]}],"mendeley":{"formattedCitation":"(Pfenninger and Staffell, 2016)","manualFormatting":"Pfenninger and Staffell (2016)","plainTextFormattedCitation":"(Pfenninger and Staffell, 2016)","previouslyFormattedCitation":"(Pfenninger and Staffell, 2016)"},"properties":{"noteIndex":0},"schema":"https://github.com/citation-style-language/schema/raw/master/csl-citation.json"}</w:instrText>
      </w:r>
      <w:r>
        <w:fldChar w:fldCharType="separate"/>
      </w:r>
      <w:bookmarkStart w:id="18" w:name="__Fieldmark__884_3718023903"/>
      <w:r>
        <w:rPr>
          <w:noProof/>
        </w:rPr>
        <w:t>Pfenninger and Staffell (2016)</w:t>
      </w:r>
      <w:r>
        <w:fldChar w:fldCharType="end"/>
      </w:r>
      <w:bookmarkEnd w:id="18"/>
      <w:r>
        <w:t xml:space="preserve">. The theoretical background of the GSEE is based on </w:t>
      </w:r>
      <w:r>
        <w:fldChar w:fldCharType="begin" w:fldLock="1"/>
      </w:r>
      <w:r>
        <w:instrText>ADDIN CSL_CITATION {"citationItems":[{"id":"ITEM-1","itemData":{"DOI":"10.1016/j.solener.2009.12.002","ISSN":"0038092X","abstract":"A method is presented for estimating the energy yield of photovoltaic (PV) modules at arbitrary locations in a large geographical area. The method applies a mathematical model for the energy performance of PV modules as a function of in-plane irradiance and module temperature and combines this with solar irradiation estimates from satellite data and ambient temperature values from ground station measurements. The method is applied to three different PV technologies: crystalline silicon, CuInSe2 and CdTe based thin-film technology in order to map their performance in fixed installations across most of Europe and to identify and quantify regional performance factors. It is found that there is a clear technology dependence of the geographical variation in PV performance. It is also shown that using long-term average values of irradiance and temperature leads to a systematic positive bias in the results of up to 3%. It is suggested to use joint probability density functions of temperature and irradiance to overcome this bias. © 2009 Elsevier Ltd. All rights reserved.","author":[{"dropping-particle":"","family":"Huld","given":"Thomas","non-dropping-particle":"","parse-names":false,"suffix":""},{"dropping-particle":"","family":"Gottschalg","given":"Ralph","non-dropping-particle":"","parse-names":false,"suffix":""},{"dropping-particle":"","family":"Beyer","given":"Hans Georg","non-dropping-particle":"","parse-names":false,"suffix":""},{"dropping-particle":"","family":"Topič","given":"Marko","non-dropping-particle":"","parse-names":false,"suffix":""}],"container-title":"Solar Energy","id":"ITEM-1","issue":"2","issued":{"date-parts":[["2010"]]},"page":"324-338","title":"Mapping the performance of PV modules, effects of module type and data averaging","type":"article-journal","volume":"84"},"uris":["http://www.mendeley.com/documents/?uuid=eaf63a07-2d2d-4c52-bbc1-17ce264619bd"]}],"mendeley":{"formattedCitation":"(Huld &lt;i&gt;et al.&lt;/i&gt;, 2010)","manualFormatting":"Huld et al. (2010)","plainTextFormattedCitation":"(Huld et al., 2010)","previouslyFormattedCitation":"(Huld &lt;i&gt;et al.&lt;/i&gt;, 2010)"},"properties":{"noteIndex":0},"schema":"https://github.com/citation-style-language/schema/raw/master/csl-citation.json"}</w:instrText>
      </w:r>
      <w:r>
        <w:fldChar w:fldCharType="separate"/>
      </w:r>
      <w:bookmarkStart w:id="19" w:name="__Fieldmark__921_3718023903"/>
      <w:r>
        <w:rPr>
          <w:noProof/>
        </w:rPr>
        <w:t xml:space="preserve">Huld </w:t>
      </w:r>
      <w:r>
        <w:rPr>
          <w:i/>
          <w:noProof/>
        </w:rPr>
        <w:t>et al.</w:t>
      </w:r>
      <w:r>
        <w:rPr>
          <w:noProof/>
        </w:rPr>
        <w:t xml:space="preserve"> (2010)</w:t>
      </w:r>
      <w:r>
        <w:fldChar w:fldCharType="end"/>
      </w:r>
      <w:bookmarkEnd w:id="19"/>
      <w:r>
        <w:t>. The following variables are the key input parameter of this method to estimate the energy yield of PV modules:</w:t>
      </w:r>
    </w:p>
    <w:p w14:paraId="36577F39" w14:textId="77777777" w:rsidR="00BB0494" w:rsidRDefault="00BB0494" w:rsidP="00BB0494">
      <w:pPr>
        <w:pStyle w:val="Listenabsatz"/>
        <w:numPr>
          <w:ilvl w:val="0"/>
          <w:numId w:val="17"/>
        </w:numPr>
      </w:pPr>
      <w:r>
        <w:t>Direct and diffuse irradiance at the PV panel</w:t>
      </w:r>
    </w:p>
    <w:p w14:paraId="55B88C7E" w14:textId="77777777" w:rsidR="00BB0494" w:rsidRDefault="00BB0494" w:rsidP="00BB0494">
      <w:pPr>
        <w:pStyle w:val="Listenabsatz"/>
        <w:numPr>
          <w:ilvl w:val="0"/>
          <w:numId w:val="17"/>
        </w:numPr>
      </w:pPr>
      <w:r>
        <w:t>Panel temperature</w:t>
      </w:r>
    </w:p>
    <w:p w14:paraId="23F28EFF" w14:textId="77777777" w:rsidR="00BB0494" w:rsidRDefault="00BB0494" w:rsidP="00BB0494">
      <w:r>
        <w:fldChar w:fldCharType="begin" w:fldLock="1"/>
      </w:r>
      <w:r>
        <w:instrText>ADDIN CSL_CITATION {"citationItems":[{"id":"ITEM-1","itemData":{"DOI":"10.1016/j.energy.2016.08.060","ISSN":"03605442","abstract":"Solar PV is rapidly growing globally, creating difficult questions around how to efficiently integrate it into national electricity grids. Its time-varying power output is difficult to model credibly because it depends on complex and variable weather systems, leading to difficulty in understanding its potential and limitations. We demonstrate how the MERRA and MERRA-2 global meteorological reanalyses as well as the Meteosat-based CM-SAF SARAH satellite dataset can be used to produce hourly PV simulations across Europe. To validate these simulations, we gather metered time series from more than 1000 PV systems as well as national aggregate output reported by transmission network operators. We find slightly better accuracy from satellite data, but greater stability from reanalysis data. We correct for systematic bias by matching our simulations to the mean bias in modeling individual sites, then examine the long-term patterns, variability and correlation with power demand across Europe, using thirty years of simulated outputs. The results quantify how the increasing deployment of PV substantially changes net power demand and affects system adequacy and ramping requirements, with heterogeneous impacts across different European countries. The simulation code and the hourly simulations for all European countries are available freely via an interactive web platform, www.renewables.ninja.","author":[{"dropping-particle":"","family":"Pfenninger","given":"Stefan","non-dropping-particle":"","parse-names":false,"suffix":""},{"dropping-particle":"","family":"Staffell","given":"Iain","non-dropping-particle":"","parse-names":false,"suffix":""}],"container-title":"Energy","id":"ITEM-1","issued":{"date-parts":[["2016"]]},"page":"1251-1265","title":"Long-term patterns of European PV output using 30 years of validated hourly reanalysis and satellite data","type":"article-journal","volume":"114"},"uris":["http://www.mendeley.com/documents/?uuid=15c6c10a-9985-461d-8cae-dea60ca4b8a2"]}],"mendeley":{"formattedCitation":"(Pfenninger and Staffell, 2016)","manualFormatting":"Pfenninger and Staffell (2016)","plainTextFormattedCitation":"(Pfenninger and Staffell, 2016)","previouslyFormattedCitation":"(Pfenninger and Staffell, 2016)"},"properties":{"noteIndex":0},"schema":"https://github.com/citation-style-language/schema/raw/master/csl-citation.json"}</w:instrText>
      </w:r>
      <w:r>
        <w:fldChar w:fldCharType="separate"/>
      </w:r>
      <w:bookmarkStart w:id="20" w:name="__Fieldmark__942_3718023903"/>
      <w:r>
        <w:rPr>
          <w:noProof/>
        </w:rPr>
        <w:t>Pfenninger and Staffell (2016)</w:t>
      </w:r>
      <w:r>
        <w:fldChar w:fldCharType="end"/>
      </w:r>
      <w:bookmarkEnd w:id="20"/>
      <w:r>
        <w:t xml:space="preserve"> used two data sources to estimate these variables: First the reanalysis dataset Modern-Era Retrospective analysis for Research and Applications (MERRA and MERRA-2) and second the Surface Solar Radiation Data Set - </w:t>
      </w:r>
      <w:proofErr w:type="spellStart"/>
      <w:r>
        <w:t>Heliosat</w:t>
      </w:r>
      <w:proofErr w:type="spellEnd"/>
      <w:r>
        <w:t xml:space="preserve"> (SARAH). Figure 1 shows the general approach of GSEE.</w:t>
      </w:r>
    </w:p>
    <w:p w14:paraId="2B64A295" w14:textId="77777777" w:rsidR="00BB0494" w:rsidRDefault="00BB0494" w:rsidP="00BB0494">
      <w:pPr>
        <w:keepNext/>
        <w:jc w:val="center"/>
      </w:pPr>
      <w:r>
        <w:rPr>
          <w:noProof/>
        </w:rPr>
        <w:lastRenderedPageBreak/>
        <w:drawing>
          <wp:inline distT="0" distB="0" distL="0" distR="8890" wp14:anchorId="0AF78F6D" wp14:editId="564606C9">
            <wp:extent cx="3192145" cy="26003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10"/>
                    <a:stretch>
                      <a:fillRect/>
                    </a:stretch>
                  </pic:blipFill>
                  <pic:spPr bwMode="auto">
                    <a:xfrm>
                      <a:off x="0" y="0"/>
                      <a:ext cx="3192145" cy="2600325"/>
                    </a:xfrm>
                    <a:prstGeom prst="rect">
                      <a:avLst/>
                    </a:prstGeom>
                  </pic:spPr>
                </pic:pic>
              </a:graphicData>
            </a:graphic>
          </wp:inline>
        </w:drawing>
      </w:r>
    </w:p>
    <w:p w14:paraId="4EBDEEB7" w14:textId="77777777" w:rsidR="00BB0494" w:rsidRDefault="00BB0494" w:rsidP="00BB0494">
      <w:pPr>
        <w:pStyle w:val="Beschriftung"/>
      </w:pPr>
      <w:r>
        <w:rPr>
          <w:b/>
          <w:bCs/>
        </w:rPr>
        <w:t xml:space="preserve">Figure </w:t>
      </w:r>
      <w:r>
        <w:rPr>
          <w:b/>
          <w:bCs/>
        </w:rPr>
        <w:fldChar w:fldCharType="begin"/>
      </w:r>
      <w:r>
        <w:rPr>
          <w:b/>
          <w:bCs/>
        </w:rPr>
        <w:instrText>SEQ Figure \* ARABIC</w:instrText>
      </w:r>
      <w:r>
        <w:rPr>
          <w:b/>
          <w:bCs/>
        </w:rPr>
        <w:fldChar w:fldCharType="separate"/>
      </w:r>
      <w:r>
        <w:rPr>
          <w:b/>
          <w:bCs/>
          <w:noProof/>
        </w:rPr>
        <w:t>1</w:t>
      </w:r>
      <w:r>
        <w:rPr>
          <w:b/>
          <w:bCs/>
        </w:rPr>
        <w:fldChar w:fldCharType="end"/>
      </w:r>
      <w:r>
        <w:rPr>
          <w:b/>
          <w:bCs/>
        </w:rPr>
        <w:t>:</w:t>
      </w:r>
      <w:r>
        <w:t xml:space="preserve"> Overview of the approach used to model PV power output </w:t>
      </w:r>
      <w:r>
        <w:fldChar w:fldCharType="begin" w:fldLock="1"/>
      </w:r>
      <w:r>
        <w:instrText>ADDIN CSL_CITATION {"citationItems":[{"id":"ITEM-1","itemData":{"DOI":"10.1016/j.energy.2016.08.060","ISSN":"03605442","abstract":"Solar PV is rapidly growing globally, creating difficult questions around how to efficiently integrate it into national electricity grids. Its time-varying power output is difficult to model credibly because it depends on complex and variable weather systems, leading to difficulty in understanding its potential and limitations. We demonstrate how the MERRA and MERRA-2 global meteorological reanalyses as well as the Meteosat-based CM-SAF SARAH satellite dataset can be used to produce hourly PV simulations across Europe. To validate these simulations, we gather metered time series from more than 1000 PV systems as well as national aggregate output reported by transmission network operators. We find slightly better accuracy from satellite data, but greater stability from reanalysis data. We correct for systematic bias by matching our simulations to the mean bias in modeling individual sites, then examine the long-term patterns, variability and correlation with power demand across Europe, using thirty years of simulated outputs. The results quantify how the increasing deployment of PV substantially changes net power demand and affects system adequacy and ramping requirements, with heterogeneous impacts across different European countries. The simulation code and the hourly simulations for all European countries are available freely via an interactive web platform, www.renewables.ninja.","author":[{"dropping-particle":"","family":"Pfenninger","given":"Stefan","non-dropping-particle":"","parse-names":false,"suffix":""},{"dropping-particle":"","family":"Staffell","given":"Iain","non-dropping-particle":"","parse-names":false,"suffix":""}],"container-title":"Energy","id":"ITEM-1","issued":{"date-parts":[["2016"]]},"page":"1251-1265","title":"Long-term patterns of European PV output using 30 years of validated hourly reanalysis and satellite data","type":"article-journal","volume":"114"},"uris":["http://www.mendeley.com/documents/?uuid=15c6c10a-9985-461d-8cae-dea60ca4b8a2"]}],"mendeley":{"formattedCitation":"(Pfenninger and Staffell, 2016)","plainTextFormattedCitation":"(Pfenninger and Staffell, 2016)","previouslyFormattedCitation":"(Pfenninger and Staffell, 2016)"},"properties":{"noteIndex":0},"schema":"https://github.com/citation-style-language/schema/raw/master/csl-citation.json"}</w:instrText>
      </w:r>
      <w:r>
        <w:fldChar w:fldCharType="separate"/>
      </w:r>
      <w:bookmarkStart w:id="21" w:name="__Fieldmark__906_3718023903"/>
      <w:r w:rsidRPr="00BF2D26">
        <w:rPr>
          <w:i w:val="0"/>
          <w:noProof/>
        </w:rPr>
        <w:t>(Pfenninger and Staffell, 2016)</w:t>
      </w:r>
      <w:r>
        <w:fldChar w:fldCharType="end"/>
      </w:r>
      <w:bookmarkEnd w:id="21"/>
      <w:r>
        <w:t>.</w:t>
      </w:r>
    </w:p>
    <w:p w14:paraId="677BD259" w14:textId="77777777" w:rsidR="00BB0494" w:rsidRDefault="00BB0494" w:rsidP="00BB0494">
      <w:r>
        <w:t>Both data sources provide the variables in hourly intervals. The spatial resolution of MERRA-2 is 0.5° latitude and 0.625° longitude. SARAH has a higher spatial resolution of 0.05° × 0.05°. MERRA only provides direct irradiance, but diffuse irradiance is needed as well. Therefore, they used the Boland-Ridley-</w:t>
      </w:r>
      <w:proofErr w:type="spellStart"/>
      <w:r>
        <w:t>Lauret</w:t>
      </w:r>
      <w:proofErr w:type="spellEnd"/>
      <w:r>
        <w:t xml:space="preserve"> model to estimate the diffuse irradiance </w:t>
      </w:r>
      <w:r>
        <w:fldChar w:fldCharType="begin" w:fldLock="1"/>
      </w:r>
      <w:r>
        <w:instrText>ADDIN CSL_CITATION {"citationItems":[{"id":"ITEM-1","itemData":{"DOI":"10.1016/j.renene.2012.01.049","ISSN":"09601481","abstract":"This paper proposes to use a rather new statistical approach in the realm of solar radiation modelling namely Bayesian inference. In this work, the theory of Bayesian inference will be presented at length. The Bayesian analysis consists in two levels. The first one is related to the parameter estimation while the second one concerns the model selection problem. As an illustration, a Bayesian parameter estimation method is used to derive a logistic hourly solar diffuse fraction model. A major difference between Bayesian and frequentist (or classical) methods is that the Bayesian inference offers a framework (through the use of prior information) to continuously update our posterior beliefs. In other words, all previous work is not wasted as the preceding model's parameters can be used as prior information for the derivation of the parameters estimates of the next (new) model. For this particular application, it is also shown that the use of Bayesian methods instead of classical statistical techniques lead to a less biased model. © 2012 Elsevier Ltd.","author":[{"dropping-particle":"","family":"Lauret","given":"Philippe","non-dropping-particle":"","parse-names":false,"suffix":""},{"dropping-particle":"","family":"Boland","given":"John","non-dropping-particle":"","parse-names":false,"suffix":""},{"dropping-particle":"","family":"Ridley","given":"Barbara","non-dropping-particle":"","parse-names":false,"suffix":""}],"container-title":"Renewable Energy","id":"ITEM-1","issued":{"date-parts":[["2013"]]},"page":"124-127","title":"Bayesian statistical analysis applied to solar radiation modelling","type":"article-journal","volume":"49"},"uris":["http://www.mendeley.com/documents/?uuid=601f7f16-90ef-4295-b050-350bd413b81c"]},{"id":"ITEM-2","itemData":{"DOI":"10.1016/j.renene.2009.07.018","ISSN":"09601481","abstract":"For some locations both global and diffuse solar radiation are measured. However, for many locations, only global radiation is measured, or inferred from satellite data. For modelling solar energy applications, the amount of radiation on a tilted surface is needed. Since only the direct component on a tilted surface can be calculated from direct on some other plane using trigonometry, we need to have diffuse radiation on the horizontal plane available. There are regression relationships for estimating the diffuse on a tilted surface from diffuse on the horizontal. Models for estimating the diffuse on the horizontal from horizontal global that have been developed in Europe or North America have proved to be inadequate for Australia [13]. Boland et al. [2] developed a validated model for Australian conditions. Boland et al. [3] detailed our recent advances in developing the theoretical framework for the use of the logistic function instead of piecewise linear or simple nonlinear functions and was the first step in identifying the means for developing a generic model for estimating diffuse from global and other predictors. We have developed a multiple predictor model, which is much simpler than previous models, and uses hourly clearness index, daily clearness index, solar altitude, apparent solar time and a measure of persistence of global radiation level as predictors. This model performs marginally better than currently used models for locations in the Northern Hemisphere and substantially better for Southern Hemisphere locations. We suggest it can be used as a universal model. © 2009 Elsevier Ltd. All rights reserved.","author":[{"dropping-particle":"","family":"Ridley","given":"Barbara","non-dropping-particle":"","parse-names":false,"suffix":""},{"dropping-particle":"","family":"Boland","given":"John","non-dropping-particle":"","parse-names":false,"suffix":""},{"dropping-particle":"","family":"Lauret","given":"Philippe","non-dropping-particle":"","parse-names":false,"suffix":""}],"container-title":"Renewable Energy","id":"ITEM-2","issue":"2","issued":{"date-parts":[["2010"]]},"page":"478-483","title":"Modelling of diffuse solar fraction with multiple predictors","type":"article-journal","volume":"35"},"uris":["http://www.mendeley.com/documents/?uuid=0547954f-bfb9-38b4-8d99-33376099c341"]}],"mendeley":{"formattedCitation":"(Ridley, Boland and Lauret, 2010; Lauret, Boland and Ridley, 2013)","manualFormatting":"(Ridley et al. 2010; Lauret et al. 2013)","plainTextFormattedCitation":"(Ridley, Boland and Lauret, 2010; Lauret, Boland and Ridley, 2013)","previouslyFormattedCitation":"(Ridley, Boland and Lauret, 2010; Lauret, Boland and Ridley, 2013)"},"properties":{"noteIndex":0},"schema":"https://github.com/citation-style-language/schema/raw/master/csl-citation.json"}</w:instrText>
      </w:r>
      <w:r>
        <w:fldChar w:fldCharType="separate"/>
      </w:r>
      <w:r w:rsidRPr="00623A8D">
        <w:rPr>
          <w:noProof/>
        </w:rPr>
        <w:t>(Ridley</w:t>
      </w:r>
      <w:r w:rsidRPr="00623A8D">
        <w:rPr>
          <w:i/>
          <w:noProof/>
        </w:rPr>
        <w:t xml:space="preserve"> </w:t>
      </w:r>
      <w:r>
        <w:rPr>
          <w:i/>
          <w:noProof/>
        </w:rPr>
        <w:t>et al.</w:t>
      </w:r>
      <w:r w:rsidRPr="00623A8D">
        <w:rPr>
          <w:noProof/>
        </w:rPr>
        <w:t xml:space="preserve"> 2010; Lauret</w:t>
      </w:r>
      <w:r w:rsidRPr="00623A8D">
        <w:rPr>
          <w:i/>
          <w:noProof/>
        </w:rPr>
        <w:t xml:space="preserve"> </w:t>
      </w:r>
      <w:r>
        <w:rPr>
          <w:i/>
          <w:noProof/>
        </w:rPr>
        <w:t xml:space="preserve">et al. </w:t>
      </w:r>
      <w:r w:rsidRPr="00623A8D">
        <w:rPr>
          <w:noProof/>
        </w:rPr>
        <w:t>2013)</w:t>
      </w:r>
      <w:r>
        <w:fldChar w:fldCharType="end"/>
      </w:r>
      <w:r>
        <w:t xml:space="preserve">. Since SARAH provides direct and global irradiance no further estimates were needed. Additionally, they use T2M (temperature at 2m above ground level) from MERRA-2 as estimates for the ambient temperature. To get the panel temperature they used the ambient temperature of MERRA-2 and additionally considered the effect of the irradiance on the panel temperature. This relation was estimated with site measurements of one of their sources (DTI see below). This dataset provides ambient and panel temperature for each site with which they derived an empirical relationship. </w:t>
      </w:r>
    </w:p>
    <w:p w14:paraId="14418171" w14:textId="77777777" w:rsidR="00BB0494" w:rsidRDefault="00BB0494" w:rsidP="00BB0494">
      <w:r>
        <w:t>It is more common and easier to make comparison and analyses of PV power output with capacity factors rather than with absolute power output and we will use this approach as well. The unit-less capacity factor CF is defined as:</w:t>
      </w:r>
    </w:p>
    <w:p w14:paraId="300F8F1D" w14:textId="77777777" w:rsidR="00BB0494" w:rsidRDefault="00BB0494" w:rsidP="00BB0494">
      <w:pPr>
        <w:pStyle w:val="Beschriftung"/>
        <w:keepNext/>
      </w:pPr>
    </w:p>
    <w:tbl>
      <w:tblPr>
        <w:tblStyle w:val="Tabellenraster"/>
        <w:tblW w:w="9396" w:type="dxa"/>
        <w:jc w:val="center"/>
        <w:tblLook w:val="04A0" w:firstRow="1" w:lastRow="0" w:firstColumn="1" w:lastColumn="0" w:noHBand="0" w:noVBand="1"/>
      </w:tblPr>
      <w:tblGrid>
        <w:gridCol w:w="703"/>
        <w:gridCol w:w="7938"/>
        <w:gridCol w:w="755"/>
      </w:tblGrid>
      <w:tr w:rsidR="00BB0494" w14:paraId="5859B9AA" w14:textId="77777777" w:rsidTr="003D3EE4">
        <w:trPr>
          <w:jc w:val="center"/>
        </w:trPr>
        <w:tc>
          <w:tcPr>
            <w:tcW w:w="703" w:type="dxa"/>
            <w:tcBorders>
              <w:top w:val="nil"/>
              <w:left w:val="nil"/>
              <w:bottom w:val="nil"/>
              <w:right w:val="nil"/>
            </w:tcBorders>
            <w:shd w:val="clear" w:color="auto" w:fill="auto"/>
            <w:vAlign w:val="center"/>
          </w:tcPr>
          <w:p w14:paraId="5FF214D0" w14:textId="77777777" w:rsidR="00BB0494" w:rsidRDefault="00BB0494" w:rsidP="003D3EE4">
            <w:pPr>
              <w:spacing w:line="240" w:lineRule="auto"/>
              <w:ind w:firstLine="0"/>
            </w:pPr>
          </w:p>
        </w:tc>
        <w:tc>
          <w:tcPr>
            <w:tcW w:w="7938" w:type="dxa"/>
            <w:tcBorders>
              <w:top w:val="nil"/>
              <w:left w:val="nil"/>
              <w:bottom w:val="nil"/>
              <w:right w:val="nil"/>
            </w:tcBorders>
            <w:shd w:val="clear" w:color="auto" w:fill="auto"/>
            <w:vAlign w:val="center"/>
          </w:tcPr>
          <w:p w14:paraId="65156220" w14:textId="77777777" w:rsidR="00BB0494" w:rsidRDefault="00BB0494" w:rsidP="003D3EE4">
            <w:pPr>
              <w:spacing w:line="240" w:lineRule="auto"/>
              <w:ind w:firstLine="0"/>
            </w:pPr>
            <m:oMathPara>
              <m:oMath>
                <m:r>
                  <w:rPr>
                    <w:rFonts w:ascii="Cambria Math" w:hAnsi="Cambria Math"/>
                  </w:rPr>
                  <m:t>CF=</m:t>
                </m:r>
                <m:f>
                  <m:fPr>
                    <m:ctrlPr>
                      <w:rPr>
                        <w:rFonts w:ascii="Cambria Math" w:hAnsi="Cambria Math"/>
                      </w:rPr>
                    </m:ctrlPr>
                  </m:fPr>
                  <m:num>
                    <m:r>
                      <w:rPr>
                        <w:rFonts w:ascii="Cambria Math" w:hAnsi="Cambria Math"/>
                      </w:rPr>
                      <m:t>P</m:t>
                    </m:r>
                  </m:num>
                  <m:den>
                    <m:r>
                      <w:rPr>
                        <w:rFonts w:ascii="Cambria Math" w:hAnsi="Cambria Math"/>
                      </w:rPr>
                      <m:t>IC</m:t>
                    </m:r>
                  </m:den>
                </m:f>
              </m:oMath>
            </m:oMathPara>
          </w:p>
        </w:tc>
        <w:tc>
          <w:tcPr>
            <w:tcW w:w="755" w:type="dxa"/>
            <w:tcBorders>
              <w:top w:val="nil"/>
              <w:left w:val="nil"/>
              <w:bottom w:val="nil"/>
              <w:right w:val="nil"/>
            </w:tcBorders>
            <w:shd w:val="clear" w:color="auto" w:fill="auto"/>
            <w:vAlign w:val="center"/>
          </w:tcPr>
          <w:p w14:paraId="00625B6B" w14:textId="77777777" w:rsidR="00BB0494" w:rsidRDefault="00BB0494" w:rsidP="003D3EE4">
            <w:pPr>
              <w:spacing w:line="240" w:lineRule="auto"/>
              <w:ind w:firstLine="0"/>
              <w:jc w:val="right"/>
            </w:pPr>
            <w:r>
              <w:t xml:space="preserve">Eq. </w:t>
            </w:r>
            <w:r>
              <w:fldChar w:fldCharType="begin"/>
            </w:r>
            <w:r>
              <w:instrText>SEQ Equation \* ARABIC</w:instrText>
            </w:r>
            <w:r>
              <w:fldChar w:fldCharType="separate"/>
            </w:r>
            <w:r>
              <w:rPr>
                <w:noProof/>
              </w:rPr>
              <w:t>1</w:t>
            </w:r>
            <w:r>
              <w:fldChar w:fldCharType="end"/>
            </w:r>
          </w:p>
        </w:tc>
      </w:tr>
    </w:tbl>
    <w:p w14:paraId="05348588" w14:textId="77777777" w:rsidR="00BB0494" w:rsidRDefault="00BB0494" w:rsidP="00BB0494">
      <w:pPr>
        <w:ind w:firstLine="0"/>
      </w:pPr>
      <w:r>
        <w:br/>
        <w:t xml:space="preserve">where P is power output [W] and IC is the installed capacity [W]. </w:t>
      </w:r>
    </w:p>
    <w:p w14:paraId="4AF35AF1" w14:textId="77777777" w:rsidR="00BB0494" w:rsidRDefault="00BB0494" w:rsidP="00BB0494">
      <w:r>
        <w:t xml:space="preserve">To evaluate the results obtained with the method described above, </w:t>
      </w:r>
      <w:r>
        <w:fldChar w:fldCharType="begin" w:fldLock="1"/>
      </w:r>
      <w:r>
        <w:instrText>ADDIN CSL_CITATION {"citationItems":[{"id":"ITEM-1","itemData":{"DOI":"10.1016/j.energy.2016.08.060","ISSN":"03605442","abstract":"Solar PV is rapidly growing globally, creating difficult questions around how to efficiently integrate it into national electricity grids. Its time-varying power output is difficult to model credibly because it depends on complex and variable weather systems, leading to difficulty in understanding its potential and limitations. We demonstrate how the MERRA and MERRA-2 global meteorological reanalyses as well as the Meteosat-based CM-SAF SARAH satellite dataset can be used to produce hourly PV simulations across Europe. To validate these simulations, we gather metered time series from more than 1000 PV systems as well as national aggregate output reported by transmission network operators. We find slightly better accuracy from satellite data, but greater stability from reanalysis data. We correct for systematic bias by matching our simulations to the mean bias in modeling individual sites, then examine the long-term patterns, variability and correlation with power demand across Europe, using thirty years of simulated outputs. The results quantify how the increasing deployment of PV substantially changes net power demand and affects system adequacy and ramping requirements, with heterogeneous impacts across different European countries. The simulation code and the hourly simulations for all European countries are available freely via an interactive web platform, www.renewables.ninja.","author":[{"dropping-particle":"","family":"Pfenninger","given":"Stefan","non-dropping-particle":"","parse-names":false,"suffix":""},{"dropping-particle":"","family":"Staffell","given":"Iain","non-dropping-particle":"","parse-names":false,"suffix":""}],"container-title":"Energy","id":"ITEM-1","issued":{"date-parts":[["2016"]]},"page":"1251-1265","title":"Long-term patterns of European PV output using 30 years of validated hourly reanalysis and satellite data","type":"article-journal","volume":"114"},"uris":["http://www.mendeley.com/documents/?uuid=15c6c10a-9985-461d-8cae-dea60ca4b8a2"]}],"mendeley":{"formattedCitation":"(Pfenninger and Staffell, 2016)","manualFormatting":"Pfenninger and Staffell (2016)","plainTextFormattedCitation":"(Pfenninger and Staffell, 2016)","previouslyFormattedCitation":"(Pfenninger and Staffell, 2016)"},"properties":{"noteIndex":0},"schema":"https://github.com/citation-style-language/schema/raw/master/csl-citation.json"}</w:instrText>
      </w:r>
      <w:r>
        <w:fldChar w:fldCharType="separate"/>
      </w:r>
      <w:bookmarkStart w:id="22" w:name="__Fieldmark__1096_3718023903"/>
      <w:r>
        <w:rPr>
          <w:noProof/>
        </w:rPr>
        <w:t>Pfenninger and Staffell (2016)</w:t>
      </w:r>
      <w:r>
        <w:fldChar w:fldCharType="end"/>
      </w:r>
      <w:bookmarkEnd w:id="22"/>
      <w:r>
        <w:t xml:space="preserve"> compared it with capacity factors based on site measurements. To obtain the measured capacity factors they used three sources: DTI, PVLog.de and PVOutput.org. Over 1000 site data (measurements from PV systems) were collected from these three sources. Figure 2 shows a histogram of the difference between measured capacity factors and capacity factors simulated with the GSEE. </w:t>
      </w:r>
    </w:p>
    <w:p w14:paraId="74F4B3A7" w14:textId="77777777" w:rsidR="00BB0494" w:rsidRDefault="00BB0494" w:rsidP="00BB0494"/>
    <w:p w14:paraId="6A9D0148" w14:textId="77777777" w:rsidR="00BB0494" w:rsidRDefault="00BB0494" w:rsidP="00BB0494">
      <w:pPr>
        <w:pStyle w:val="Beschriftung"/>
      </w:pPr>
      <w:r>
        <w:rPr>
          <w:noProof/>
        </w:rPr>
        <w:lastRenderedPageBreak/>
        <w:drawing>
          <wp:anchor distT="0" distB="6985" distL="114300" distR="118110" simplePos="0" relativeHeight="251659264" behindDoc="0" locked="0" layoutInCell="1" allowOverlap="1" wp14:anchorId="577F4414" wp14:editId="4863A528">
            <wp:simplePos x="0" y="0"/>
            <wp:positionH relativeFrom="column">
              <wp:posOffset>1262380</wp:posOffset>
            </wp:positionH>
            <wp:positionV relativeFrom="paragraph">
              <wp:posOffset>121285</wp:posOffset>
            </wp:positionV>
            <wp:extent cx="3489325" cy="2360930"/>
            <wp:effectExtent l="0" t="0" r="0" b="127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1"/>
                    <a:srcRect l="1474" r="3329"/>
                    <a:stretch>
                      <a:fillRect/>
                    </a:stretch>
                  </pic:blipFill>
                  <pic:spPr bwMode="auto">
                    <a:xfrm>
                      <a:off x="0" y="0"/>
                      <a:ext cx="3489325" cy="2360930"/>
                    </a:xfrm>
                    <a:prstGeom prst="rect">
                      <a:avLst/>
                    </a:prstGeom>
                  </pic:spPr>
                </pic:pic>
              </a:graphicData>
            </a:graphic>
            <wp14:sizeRelH relativeFrom="margin">
              <wp14:pctWidth>0</wp14:pctWidth>
            </wp14:sizeRelH>
            <wp14:sizeRelV relativeFrom="margin">
              <wp14:pctHeight>0</wp14:pctHeight>
            </wp14:sizeRelV>
          </wp:anchor>
        </w:drawing>
      </w:r>
      <w:r>
        <w:rPr>
          <w:b/>
          <w:bCs/>
        </w:rPr>
        <w:t xml:space="preserve">Figure </w:t>
      </w:r>
      <w:r>
        <w:rPr>
          <w:b/>
          <w:bCs/>
        </w:rPr>
        <w:fldChar w:fldCharType="begin"/>
      </w:r>
      <w:r>
        <w:rPr>
          <w:b/>
          <w:bCs/>
        </w:rPr>
        <w:instrText>SEQ Figure \* ARABIC</w:instrText>
      </w:r>
      <w:r>
        <w:rPr>
          <w:b/>
          <w:bCs/>
        </w:rPr>
        <w:fldChar w:fldCharType="separate"/>
      </w:r>
      <w:r>
        <w:rPr>
          <w:b/>
          <w:bCs/>
          <w:noProof/>
        </w:rPr>
        <w:t>2</w:t>
      </w:r>
      <w:r>
        <w:rPr>
          <w:b/>
          <w:bCs/>
        </w:rPr>
        <w:fldChar w:fldCharType="end"/>
      </w:r>
      <w:r>
        <w:t xml:space="preserve">: Histogram of the difference between the three modelled and measured capacity factors. Negative values infer underestimates of the capacity factor and positive values overestimates. The blue graph corresponds to modelled data with MERRA, the green graph to MERRA-2 and the red graph to SARAH.  (Pfenninger and </w:t>
      </w:r>
      <w:proofErr w:type="spellStart"/>
      <w:r>
        <w:t>Staffell</w:t>
      </w:r>
      <w:proofErr w:type="spellEnd"/>
      <w:r>
        <w:t>, 2016)</w:t>
      </w:r>
    </w:p>
    <w:p w14:paraId="24470B7D" w14:textId="77777777" w:rsidR="00BB0494" w:rsidRDefault="00BB0494" w:rsidP="00BB0494">
      <w:pPr>
        <w:ind w:firstLine="0"/>
      </w:pPr>
      <w:r>
        <w:t xml:space="preserve">The mean of this differences is taken by </w:t>
      </w:r>
      <w:r>
        <w:fldChar w:fldCharType="begin" w:fldLock="1"/>
      </w:r>
      <w:r>
        <w:instrText>ADDIN CSL_CITATION {"citationItems":[{"id":"ITEM-1","itemData":{"DOI":"10.1016/j.energy.2016.08.060","ISSN":"03605442","abstract":"Solar PV is rapidly growing globally, creating difficult questions around how to efficiently integrate it into national electricity grids. Its time-varying power output is difficult to model credibly because it depends on complex and variable weather systems, leading to difficulty in understanding its potential and limitations. We demonstrate how the MERRA and MERRA-2 global meteorological reanalyses as well as the Meteosat-based CM-SAF SARAH satellite dataset can be used to produce hourly PV simulations across Europe. To validate these simulations, we gather metered time series from more than 1000 PV systems as well as national aggregate output reported by transmission network operators. We find slightly better accuracy from satellite data, but greater stability from reanalysis data. We correct for systematic bias by matching our simulations to the mean bias in modeling individual sites, then examine the long-term patterns, variability and correlation with power demand across Europe, using thirty years of simulated outputs. The results quantify how the increasing deployment of PV substantially changes net power demand and affects system adequacy and ramping requirements, with heterogeneous impacts across different European countries. The simulation code and the hourly simulations for all European countries are available freely via an interactive web platform, www.renewables.ninja.","author":[{"dropping-particle":"","family":"Pfenninger","given":"Stefan","non-dropping-particle":"","parse-names":false,"suffix":""},{"dropping-particle":"","family":"Staffell","given":"Iain","non-dropping-particle":"","parse-names":false,"suffix":""}],"container-title":"Energy","id":"ITEM-1","issued":{"date-parts":[["2016"]]},"page":"1251-1265","title":"Long-term patterns of European PV output using 30 years of validated hourly reanalysis and satellite data","type":"article-journal","volume":"114"},"uris":["http://www.mendeley.com/documents/?uuid=15c6c10a-9985-461d-8cae-dea60ca4b8a2"]}],"mendeley":{"formattedCitation":"(Pfenninger and Staffell, 2016)","manualFormatting":"Pfenninger and Staffell (2016)","plainTextFormattedCitation":"(Pfenninger and Staffell, 2016)","previouslyFormattedCitation":"(Pfenninger and Staffell, 2016)"},"properties":{"noteIndex":0},"schema":"https://github.com/citation-style-language/schema/raw/master/csl-citation.json"}</w:instrText>
      </w:r>
      <w:r>
        <w:fldChar w:fldCharType="separate"/>
      </w:r>
      <w:bookmarkStart w:id="23" w:name="__Fieldmark__1139_3718023903"/>
      <w:r>
        <w:rPr>
          <w:noProof/>
        </w:rPr>
        <w:t>Pfenninger and Staffell (2016)</w:t>
      </w:r>
      <w:r>
        <w:fldChar w:fldCharType="end"/>
      </w:r>
      <w:bookmarkEnd w:id="23"/>
      <w:r>
        <w:t xml:space="preserve"> as basis for a bias correction. They used it to calculate one correction factor for each simulation (MERRA, MERRA-2 and SARAH).</w:t>
      </w:r>
    </w:p>
    <w:p w14:paraId="54907634" w14:textId="77777777" w:rsidR="00BB0494" w:rsidRDefault="00BB0494" w:rsidP="00BB0494">
      <w:pPr>
        <w:ind w:firstLine="0"/>
      </w:pPr>
      <w:r>
        <w:t xml:space="preserve">Additionally to the power output simulation of a wind or solar plant at a specific location, </w:t>
      </w:r>
      <w:proofErr w:type="spellStart"/>
      <w:r>
        <w:t>renewables.ninja</w:t>
      </w:r>
      <w:proofErr w:type="spellEnd"/>
      <w:r>
        <w:t xml:space="preserve"> also provides capacity factors per country. </w:t>
      </w:r>
      <w:r>
        <w:fldChar w:fldCharType="begin" w:fldLock="1"/>
      </w:r>
      <w:r>
        <w:instrText>ADDIN CSL_CITATION {"citationItems":[{"id":"ITEM-1","itemData":{"DOI":"10.1016/j.energy.2016.08.060","ISSN":"03605442","abstract":"Solar PV is rapidly growing globally, creating difficult questions around how to efficiently integrate it into national electricity grids. Its time-varying power output is difficult to model credibly because it depends on complex and variable weather systems, leading to difficulty in understanding its potential and limitations. We demonstrate how the MERRA and MERRA-2 global meteorological reanalyses as well as the Meteosat-based CM-SAF SARAH satellite dataset can be used to produce hourly PV simulations across Europe. To validate these simulations, we gather metered time series from more than 1000 PV systems as well as national aggregate output reported by transmission network operators. We find slightly better accuracy from satellite data, but greater stability from reanalysis data. We correct for systematic bias by matching our simulations to the mean bias in modeling individual sites, then examine the long-term patterns, variability and correlation with power demand across Europe, using thirty years of simulated outputs. The results quantify how the increasing deployment of PV substantially changes net power demand and affects system adequacy and ramping requirements, with heterogeneous impacts across different European countries. The simulation code and the hourly simulations for all European countries are available freely via an interactive web platform, www.renewables.ninja.","author":[{"dropping-particle":"","family":"Pfenninger","given":"Stefan","non-dropping-particle":"","parse-names":false,"suffix":""},{"dropping-particle":"","family":"Staffell","given":"Iain","non-dropping-particle":"","parse-names":false,"suffix":""}],"container-title":"Energy","id":"ITEM-1","issued":{"date-parts":[["2016"]]},"page":"1251-1265","title":"Long-term patterns of European PV output using 30 years of validated hourly reanalysis and satellite data","type":"article-journal","volume":"114"},"uris":["http://www.mendeley.com/documents/?uuid=15c6c10a-9985-461d-8cae-dea60ca4b8a2"]}],"mendeley":{"formattedCitation":"(Pfenninger and Staffell, 2016)","manualFormatting":"Pfenninger and Staffell (2016)","plainTextFormattedCitation":"(Pfenninger and Staffell, 2016)","previouslyFormattedCitation":"(Pfenninger and Staffell, 2016)"},"properties":{"noteIndex":0},"schema":"https://github.com/citation-style-language/schema/raw/master/csl-citation.json"}</w:instrText>
      </w:r>
      <w:r>
        <w:fldChar w:fldCharType="separate"/>
      </w:r>
      <w:bookmarkStart w:id="24" w:name="__Fieldmark__1158_3718023903"/>
      <w:r>
        <w:rPr>
          <w:noProof/>
        </w:rPr>
        <w:t>Pfenninger and Staffell (2016)</w:t>
      </w:r>
      <w:r>
        <w:fldChar w:fldCharType="end"/>
      </w:r>
      <w:bookmarkEnd w:id="24"/>
      <w:r>
        <w:t xml:space="preserve"> have performed </w:t>
      </w:r>
      <w:bookmarkStart w:id="25" w:name="_Hlk38355597"/>
      <w:r>
        <w:t>randomized (tilt and azimuth angel)</w:t>
      </w:r>
      <w:bookmarkEnd w:id="25"/>
      <w:r>
        <w:t xml:space="preserve"> national-scale simulations with MERRA and SARAH data to estimate averaged capacity factors per country. Also, these data were analysed against the measured site data. To do so only countries with a least 10 available measurement sites were used. The measured capacity factor per country was then calculated as the mean of all capacity factors per site in one country. Transmission Network Operator (TNO) reports were used as a further data source of the national aggregated capacity factors. </w:t>
      </w:r>
      <w:r w:rsidRPr="00A01C57">
        <w:fldChar w:fldCharType="begin"/>
      </w:r>
      <w:r w:rsidRPr="00A01C57">
        <w:instrText xml:space="preserve"> REF _Ref41555683 \h  \* MERGEFORMAT </w:instrText>
      </w:r>
      <w:r w:rsidRPr="00A01C57">
        <w:fldChar w:fldCharType="separate"/>
      </w:r>
      <w:r w:rsidRPr="002B03F6">
        <w:t xml:space="preserve">Figure </w:t>
      </w:r>
      <w:r w:rsidRPr="002B03F6">
        <w:rPr>
          <w:noProof/>
        </w:rPr>
        <w:t>3</w:t>
      </w:r>
      <w:r w:rsidRPr="00A01C57">
        <w:fldChar w:fldCharType="end"/>
      </w:r>
      <w:r w:rsidRPr="00A01C57">
        <w:t xml:space="preserve"> shows an example of the results for Great Britain.</w:t>
      </w:r>
    </w:p>
    <w:p w14:paraId="451380C8" w14:textId="77777777" w:rsidR="00BB0494" w:rsidRDefault="00BB0494" w:rsidP="00BB0494">
      <w:pPr>
        <w:ind w:firstLine="0"/>
      </w:pPr>
    </w:p>
    <w:p w14:paraId="184054F8" w14:textId="77777777" w:rsidR="00BB0494" w:rsidRDefault="00BB0494" w:rsidP="00BB0494">
      <w:pPr>
        <w:ind w:firstLine="0"/>
      </w:pPr>
      <w:r>
        <w:rPr>
          <w:noProof/>
        </w:rPr>
        <w:drawing>
          <wp:inline distT="0" distB="0" distL="0" distR="0" wp14:anchorId="31C3CCF8" wp14:editId="3F9B0CFA">
            <wp:extent cx="5962575" cy="1778579"/>
            <wp:effectExtent l="0" t="0" r="63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62575" cy="1778579"/>
                    </a:xfrm>
                    <a:prstGeom prst="rect">
                      <a:avLst/>
                    </a:prstGeom>
                  </pic:spPr>
                </pic:pic>
              </a:graphicData>
            </a:graphic>
          </wp:inline>
        </w:drawing>
      </w:r>
      <w:r>
        <w:rPr>
          <w:noProof/>
        </w:rPr>
        <mc:AlternateContent>
          <mc:Choice Requires="wps">
            <w:drawing>
              <wp:inline distT="0" distB="0" distL="0" distR="0" wp14:anchorId="3A4DA637" wp14:editId="4FEE6C30">
                <wp:extent cx="5962015" cy="635"/>
                <wp:effectExtent l="0" t="0" r="635" b="6350"/>
                <wp:docPr id="7" name="Textfeld 7"/>
                <wp:cNvGraphicFramePr/>
                <a:graphic xmlns:a="http://schemas.openxmlformats.org/drawingml/2006/main">
                  <a:graphicData uri="http://schemas.microsoft.com/office/word/2010/wordprocessingShape">
                    <wps:wsp>
                      <wps:cNvSpPr txBox="1"/>
                      <wps:spPr>
                        <a:xfrm>
                          <a:off x="0" y="0"/>
                          <a:ext cx="5962015" cy="635"/>
                        </a:xfrm>
                        <a:prstGeom prst="rect">
                          <a:avLst/>
                        </a:prstGeom>
                        <a:solidFill>
                          <a:prstClr val="white"/>
                        </a:solidFill>
                        <a:ln>
                          <a:noFill/>
                        </a:ln>
                      </wps:spPr>
                      <wps:txbx>
                        <w:txbxContent>
                          <w:p w14:paraId="7C179205" w14:textId="77777777" w:rsidR="00BB0494" w:rsidRPr="00D52280" w:rsidRDefault="00BB0494" w:rsidP="00BB0494">
                            <w:pPr>
                              <w:pStyle w:val="Beschriftung"/>
                              <w:rPr>
                                <w:noProof/>
                              </w:rPr>
                            </w:pPr>
                            <w:bookmarkStart w:id="26" w:name="_Ref41555683"/>
                            <w:r w:rsidRPr="002F13B8">
                              <w:rPr>
                                <w:b/>
                                <w:bCs/>
                              </w:rPr>
                              <w:t xml:space="preserve">Figure </w:t>
                            </w:r>
                            <w:r w:rsidRPr="002F13B8">
                              <w:rPr>
                                <w:b/>
                                <w:bCs/>
                              </w:rPr>
                              <w:fldChar w:fldCharType="begin"/>
                            </w:r>
                            <w:r w:rsidRPr="002F13B8">
                              <w:rPr>
                                <w:b/>
                                <w:bCs/>
                              </w:rPr>
                              <w:instrText xml:space="preserve"> SEQ Figure \* ARABIC </w:instrText>
                            </w:r>
                            <w:r w:rsidRPr="002F13B8">
                              <w:rPr>
                                <w:b/>
                                <w:bCs/>
                              </w:rPr>
                              <w:fldChar w:fldCharType="separate"/>
                            </w:r>
                            <w:r>
                              <w:rPr>
                                <w:b/>
                                <w:bCs/>
                                <w:noProof/>
                              </w:rPr>
                              <w:t>3</w:t>
                            </w:r>
                            <w:r w:rsidRPr="002F13B8">
                              <w:rPr>
                                <w:b/>
                                <w:bCs/>
                              </w:rPr>
                              <w:fldChar w:fldCharType="end"/>
                            </w:r>
                            <w:bookmarkEnd w:id="26"/>
                            <w:r w:rsidRPr="002F13B8">
                              <w:rPr>
                                <w:b/>
                                <w:bCs/>
                              </w:rPr>
                              <w:t>:</w:t>
                            </w:r>
                            <w:r>
                              <w:t xml:space="preserve"> </w:t>
                            </w:r>
                            <w:r w:rsidRPr="007C318C">
                              <w:t>Capacity factors per season for Great Britain from aggregated measurements site data (solid line, a and b), from simulation with MERRA and SARAH (dotted line, a and b) and from Transmission Network Operator (TNO) reports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3A4DA637" id="_x0000_t202" coordsize="21600,21600" o:spt="202" path="m,l,21600r21600,l21600,xe">
                <v:stroke joinstyle="miter"/>
                <v:path gradientshapeok="t" o:connecttype="rect"/>
              </v:shapetype>
              <v:shape id="Textfeld 7" o:spid="_x0000_s1026" type="#_x0000_t202" style="width:469.4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" stroked="f">
                <v:textbox style="mso-fit-shape-to-text:t" inset="0,0,0,0">
                  <w:txbxContent>
                    <w:p w14:paraId="7C179205" w14:textId="77777777" w:rsidR="00BB0494" w:rsidRPr="00D52280" w:rsidRDefault="00BB0494" w:rsidP="00BB0494">
                      <w:pPr>
                        <w:pStyle w:val="Beschriftung"/>
                        <w:rPr>
                          <w:noProof/>
                        </w:rPr>
                      </w:pPr>
                      <w:bookmarkStart w:id="27" w:name="_Ref41555683"/>
                      <w:r w:rsidRPr="002F13B8">
                        <w:rPr>
                          <w:b/>
                          <w:bCs/>
                        </w:rPr>
                        <w:t xml:space="preserve">Figure </w:t>
                      </w:r>
                      <w:r w:rsidRPr="002F13B8">
                        <w:rPr>
                          <w:b/>
                          <w:bCs/>
                        </w:rPr>
                        <w:fldChar w:fldCharType="begin"/>
                      </w:r>
                      <w:r w:rsidRPr="002F13B8">
                        <w:rPr>
                          <w:b/>
                          <w:bCs/>
                        </w:rPr>
                        <w:instrText xml:space="preserve"> SEQ Figure \* ARABIC </w:instrText>
                      </w:r>
                      <w:r w:rsidRPr="002F13B8">
                        <w:rPr>
                          <w:b/>
                          <w:bCs/>
                        </w:rPr>
                        <w:fldChar w:fldCharType="separate"/>
                      </w:r>
                      <w:r>
                        <w:rPr>
                          <w:b/>
                          <w:bCs/>
                          <w:noProof/>
                        </w:rPr>
                        <w:t>3</w:t>
                      </w:r>
                      <w:r w:rsidRPr="002F13B8">
                        <w:rPr>
                          <w:b/>
                          <w:bCs/>
                        </w:rPr>
                        <w:fldChar w:fldCharType="end"/>
                      </w:r>
                      <w:bookmarkEnd w:id="27"/>
                      <w:r w:rsidRPr="002F13B8">
                        <w:rPr>
                          <w:b/>
                          <w:bCs/>
                        </w:rPr>
                        <w:t>:</w:t>
                      </w:r>
                      <w:r>
                        <w:t xml:space="preserve"> </w:t>
                      </w:r>
                      <w:r w:rsidRPr="007C318C">
                        <w:t>Capacity factors per season for Great Britain from aggregated measurements site data (solid line, a and b), from simulation with MERRA and SARAH (dotted line, a and b) and from Transmission Network Operator (TNO) reports (c).</w:t>
                      </w:r>
                    </w:p>
                  </w:txbxContent>
                </v:textbox>
                <w10:anchorlock/>
              </v:shape>
            </w:pict>
          </mc:Fallback>
        </mc:AlternateContent>
      </w:r>
    </w:p>
    <w:p w14:paraId="77087F8A" w14:textId="77777777" w:rsidR="00BB0494" w:rsidRDefault="00BB0494" w:rsidP="00BB0494">
      <w:pPr>
        <w:ind w:firstLine="0"/>
      </w:pPr>
      <w:r>
        <w:lastRenderedPageBreak/>
        <w:t xml:space="preserve">Currently they are working on the implementation of ERA5 dataset as a source for the GSEE. The data are projected to be available before the start of this master thesis. Therefore, the newly generated data will be used for our study. As fallback scenario the already available data are will be used. </w:t>
      </w:r>
    </w:p>
    <w:p w14:paraId="1C11BBFC" w14:textId="77777777" w:rsidR="00BB0494" w:rsidRDefault="00BB0494" w:rsidP="00BB0494">
      <w:pPr>
        <w:pStyle w:val="berschrift3"/>
      </w:pPr>
      <w:bookmarkStart w:id="28" w:name="_Toc41830557"/>
      <w:r>
        <w:t>Installed PV capacities</w:t>
      </w:r>
      <w:bookmarkEnd w:id="28"/>
    </w:p>
    <w:p w14:paraId="6F6566EB" w14:textId="77777777" w:rsidR="00BB0494" w:rsidRPr="00881D8A" w:rsidRDefault="00BB0494" w:rsidP="00BB0494">
      <w:r w:rsidRPr="00881D8A">
        <w:t>The following datasets will be used to gather the installed PV capacities for each country</w:t>
      </w:r>
      <w:r>
        <w:t xml:space="preserve"> in Europe</w:t>
      </w:r>
      <w:r w:rsidRPr="00881D8A">
        <w:t>, which is necessary to calculate the absolute PV power output:</w:t>
      </w:r>
    </w:p>
    <w:p w14:paraId="202A444D" w14:textId="77777777" w:rsidR="00BB0494" w:rsidRPr="00881D8A" w:rsidRDefault="00BB0494" w:rsidP="00BB0494">
      <w:pPr>
        <w:pStyle w:val="Listenabsatz"/>
        <w:numPr>
          <w:ilvl w:val="0"/>
          <w:numId w:val="17"/>
        </w:numPr>
      </w:pPr>
      <w:proofErr w:type="spellStart"/>
      <w:r w:rsidRPr="00881D8A">
        <w:t>EurObserv’ER</w:t>
      </w:r>
      <w:proofErr w:type="spellEnd"/>
      <w:r>
        <w:t>: Consortium that monitors the development of renewable energies in Europe</w:t>
      </w:r>
    </w:p>
    <w:p w14:paraId="108B0C6D" w14:textId="77777777" w:rsidR="00BB0494" w:rsidRPr="00997DB2" w:rsidRDefault="00BB0494" w:rsidP="00BB0494">
      <w:pPr>
        <w:pStyle w:val="Listenabsatz"/>
        <w:numPr>
          <w:ilvl w:val="0"/>
          <w:numId w:val="17"/>
        </w:numPr>
        <w:rPr>
          <w:lang w:val="de-CH"/>
        </w:rPr>
      </w:pPr>
      <w:r w:rsidRPr="00997DB2">
        <w:rPr>
          <w:lang w:val="de-CH"/>
        </w:rPr>
        <w:t xml:space="preserve">IRENA: </w:t>
      </w:r>
      <w:r w:rsidRPr="00C85042">
        <w:t>International Renewable Energy Agency</w:t>
      </w:r>
    </w:p>
    <w:p w14:paraId="41686BE4" w14:textId="77777777" w:rsidR="00BB0494" w:rsidRPr="00881D8A" w:rsidRDefault="00BB0494" w:rsidP="00BB0494">
      <w:pPr>
        <w:pStyle w:val="Listenabsatz"/>
        <w:numPr>
          <w:ilvl w:val="0"/>
          <w:numId w:val="17"/>
        </w:numPr>
      </w:pPr>
      <w:r w:rsidRPr="00881D8A">
        <w:t>ENTSO-E</w:t>
      </w:r>
      <w:r>
        <w:t xml:space="preserve">: </w:t>
      </w:r>
      <w:r w:rsidRPr="00997DB2">
        <w:t>European Network of Transmission System Operators for Electricity</w:t>
      </w:r>
    </w:p>
    <w:p w14:paraId="5DFFEFCE" w14:textId="77777777" w:rsidR="00BB0494" w:rsidRPr="00881D8A" w:rsidRDefault="00BB0494" w:rsidP="00BB0494">
      <w:pPr>
        <w:pStyle w:val="Listenabsatz"/>
        <w:numPr>
          <w:ilvl w:val="0"/>
          <w:numId w:val="17"/>
        </w:numPr>
      </w:pPr>
      <w:r w:rsidRPr="00881D8A">
        <w:t>Eurostat</w:t>
      </w:r>
      <w:r>
        <w:t xml:space="preserve">: </w:t>
      </w:r>
      <w:r w:rsidRPr="00C85042">
        <w:t>European Statistical Office</w:t>
      </w:r>
    </w:p>
    <w:p w14:paraId="3E9F93D8" w14:textId="77777777" w:rsidR="00BB0494" w:rsidRPr="00AE6380" w:rsidRDefault="00BB0494" w:rsidP="00BB0494">
      <w:pPr>
        <w:ind w:firstLine="0"/>
      </w:pPr>
      <w:r>
        <w:t xml:space="preserve">All of them provide data about current (at least yearly) installed PV capacity data within Europe. These sources were also taken by </w:t>
      </w:r>
      <w:r>
        <w:fldChar w:fldCharType="begin" w:fldLock="1"/>
      </w:r>
      <w:r>
        <w:instrText>ADDIN CSL_CITATION {"citationItems":[{"id":"ITEM-1","itemData":{"DOI":"10.1016/j.energy.2016.08.060","ISSN":"03605442","abstract":"Solar PV is rapidly growing globally, creating difficult questions around how to efficiently integrate it into national electricity grids. Its time-varying power output is difficult to model credibly because it depends on complex and variable weather systems, leading to difficulty in understanding its potential and limitations. We demonstrate how the MERRA and MERRA-2 global meteorological reanalyses as well as the Meteosat-based CM-SAF SARAH satellite dataset can be used to produce hourly PV simulations across Europe. To validate these simulations, we gather metered time series from more than 1000 PV systems as well as national aggregate output reported by transmission network operators. We find slightly better accuracy from satellite data, but greater stability from reanalysis data. We correct for systematic bias by matching our simulations to the mean bias in modeling individual sites, then examine the long-term patterns, variability and correlation with power demand across Europe, using thirty years of simulated outputs. The results quantify how the increasing deployment of PV substantially changes net power demand and affects system adequacy and ramping requirements, with heterogeneous impacts across different European countries. The simulation code and the hourly simulations for all European countries are available freely via an interactive web platform, www.renewables.ninja.","author":[{"dropping-particle":"","family":"Pfenninger","given":"Stefan","non-dropping-particle":"","parse-names":false,"suffix":""},{"dropping-particle":"","family":"Staffell","given":"Iain","non-dropping-particle":"","parse-names":false,"suffix":""}],"container-title":"Energy","id":"ITEM-1","issued":{"date-parts":[["2016"]]},"page":"1251-1265","title":"Long-term patterns of European PV output using 30 years of validated hourly reanalysis and satellite data","type":"article-journal","volume":"114"},"uris":["http://www.mendeley.com/documents/?uuid=15c6c10a-9985-461d-8cae-dea60ca4b8a2"]}],"mendeley":{"formattedCitation":"(Pfenninger and Staffell, 2016)","manualFormatting":"Pfenninger and Staffell (2016)","plainTextFormattedCitation":"(Pfenninger and Staffell, 2016)","previouslyFormattedCitation":"(Pfenninger and Staffell, 2016)"},"properties":{"noteIndex":0},"schema":"https://github.com/citation-style-language/schema/raw/master/csl-citation.json"}</w:instrText>
      </w:r>
      <w:r>
        <w:fldChar w:fldCharType="separate"/>
      </w:r>
      <w:r w:rsidRPr="00997DB2">
        <w:rPr>
          <w:noProof/>
        </w:rPr>
        <w:t xml:space="preserve">Pfenninger and Staffell </w:t>
      </w:r>
      <w:r>
        <w:rPr>
          <w:noProof/>
        </w:rPr>
        <w:t>(</w:t>
      </w:r>
      <w:r w:rsidRPr="00997DB2">
        <w:rPr>
          <w:noProof/>
        </w:rPr>
        <w:t>2016)</w:t>
      </w:r>
      <w:r>
        <w:fldChar w:fldCharType="end"/>
      </w:r>
      <w:r>
        <w:t xml:space="preserve"> and we will analyse and further process them during work. </w:t>
      </w:r>
    </w:p>
    <w:p w14:paraId="1DC1A496" w14:textId="28D3C6FD" w:rsidR="00E86F17" w:rsidRDefault="00E86F17" w:rsidP="00E86F17"/>
    <w:p w14:paraId="5F85B019" w14:textId="26C1A745" w:rsidR="00E86F17" w:rsidRDefault="00E86F17" w:rsidP="00E86F17"/>
    <w:p w14:paraId="6E3AC307" w14:textId="77777777" w:rsidR="00E86F17" w:rsidRPr="00E86F17" w:rsidRDefault="00E86F17" w:rsidP="00E86F17"/>
    <w:p w14:paraId="5B453245" w14:textId="015B3B01" w:rsidR="00DF7C62" w:rsidRDefault="00DF7C62" w:rsidP="00DF7C62">
      <w:pPr>
        <w:pStyle w:val="berschrift2"/>
      </w:pPr>
      <w:r>
        <w:t>Method</w:t>
      </w:r>
    </w:p>
    <w:p w14:paraId="465DFBDE" w14:textId="77777777" w:rsidR="00E86F17" w:rsidRDefault="00E86F17" w:rsidP="00E86F17">
      <w:pPr>
        <w:pStyle w:val="berschrift4"/>
        <w:rPr>
          <w:rFonts w:ascii="Times New Roman" w:hAnsi="Times New Roman"/>
          <w:i w:val="0"/>
          <w:iCs w:val="0"/>
          <w:color w:val="auto"/>
          <w:sz w:val="24"/>
          <w:szCs w:val="24"/>
        </w:rPr>
      </w:pPr>
      <w:r>
        <w:rPr>
          <w:rFonts w:ascii="Times New Roman" w:hAnsi="Times New Roman"/>
          <w:i w:val="0"/>
          <w:iCs w:val="0"/>
          <w:color w:val="auto"/>
          <w:sz w:val="24"/>
          <w:szCs w:val="24"/>
        </w:rPr>
        <w:t>ERA5 d</w:t>
      </w:r>
      <w:r w:rsidRPr="00E8585C">
        <w:rPr>
          <w:rFonts w:ascii="Times New Roman" w:hAnsi="Times New Roman"/>
          <w:i w:val="0"/>
          <w:iCs w:val="0"/>
          <w:color w:val="auto"/>
          <w:sz w:val="24"/>
          <w:szCs w:val="24"/>
        </w:rPr>
        <w:t>ata pre-processing</w:t>
      </w:r>
    </w:p>
    <w:p w14:paraId="1E9440B7" w14:textId="77777777" w:rsidR="00E86F17" w:rsidRDefault="00E86F17" w:rsidP="00E86F17">
      <w:pPr>
        <w:tabs>
          <w:tab w:val="left" w:pos="1935"/>
        </w:tabs>
      </w:pPr>
      <w:r>
        <w:t xml:space="preserve">Since we investigate in weather regime which last several days, the dataset is reduced by calculating daily means of the geopotential heights. Furthermore, a 10-day lowpass filter is applied to smooth the data. </w:t>
      </w:r>
    </w:p>
    <w:p w14:paraId="38836C2C" w14:textId="77777777" w:rsidR="00E86F17" w:rsidRPr="00E7120D" w:rsidRDefault="00E86F17" w:rsidP="00E86F17">
      <w:pPr>
        <w:tabs>
          <w:tab w:val="left" w:pos="1935"/>
        </w:tabs>
        <w:jc w:val="center"/>
        <w:rPr>
          <w:color w:val="FF0000"/>
        </w:rPr>
      </w:pPr>
      <w:r>
        <w:rPr>
          <w:noProof/>
        </w:rPr>
        <w:drawing>
          <wp:inline distT="0" distB="0" distL="0" distR="0" wp14:anchorId="48BA59DD" wp14:editId="30165092">
            <wp:extent cx="3173105" cy="2115403"/>
            <wp:effectExtent l="0" t="0" r="825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4916" cy="2123277"/>
                    </a:xfrm>
                    <a:prstGeom prst="rect">
                      <a:avLst/>
                    </a:prstGeom>
                    <a:noFill/>
                    <a:ln>
                      <a:noFill/>
                    </a:ln>
                  </pic:spPr>
                </pic:pic>
              </a:graphicData>
            </a:graphic>
          </wp:inline>
        </w:drawing>
      </w:r>
    </w:p>
    <w:p w14:paraId="24D99699" w14:textId="77777777" w:rsidR="00E86F17" w:rsidRPr="00A831E7" w:rsidRDefault="00E86F17" w:rsidP="00E86F17">
      <w:pPr>
        <w:tabs>
          <w:tab w:val="left" w:pos="1935"/>
        </w:tabs>
      </w:pPr>
      <w:r>
        <w:t xml:space="preserve">The input data for our EOF analysis are standardized anomalies (EQ1) of the daily means. </w:t>
      </w:r>
    </w:p>
    <w:p w14:paraId="4A73316A" w14:textId="77777777" w:rsidR="00E86F17" w:rsidRDefault="00E86F17" w:rsidP="00E86F17">
      <w:pPr>
        <w:tabs>
          <w:tab w:val="left" w:pos="1935"/>
        </w:tabs>
      </w:pPr>
      <m:oMathPara>
        <m:oMath>
          <m:sSub>
            <m:sSubPr>
              <m:ctrlPr>
                <w:rPr>
                  <w:rFonts w:ascii="Cambria Math" w:hAnsi="Cambria Math"/>
                  <w:i/>
                </w:rPr>
              </m:ctrlPr>
            </m:sSubPr>
            <m:e>
              <m:r>
                <w:rPr>
                  <w:rFonts w:ascii="Cambria Math" w:hAnsi="Cambria Math"/>
                </w:rPr>
                <m:t>std_ano</m:t>
              </m:r>
            </m:e>
            <m:sub>
              <m:r>
                <w:rPr>
                  <w:rFonts w:ascii="Cambria Math" w:hAnsi="Cambria Math"/>
                </w:rPr>
                <m:t>d</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d,mean</m:t>
                  </m:r>
                </m:sub>
              </m:sSub>
            </m:num>
            <m:den>
              <m:sSub>
                <m:sSubPr>
                  <m:ctrlPr>
                    <w:rPr>
                      <w:rFonts w:ascii="Cambria Math" w:hAnsi="Cambria Math"/>
                      <w:i/>
                    </w:rPr>
                  </m:ctrlPr>
                </m:sSubPr>
                <m:e>
                  <m:r>
                    <w:rPr>
                      <w:rFonts w:ascii="Cambria Math" w:hAnsi="Cambria Math"/>
                    </w:rPr>
                    <m:t>z</m:t>
                  </m:r>
                </m:e>
                <m:sub>
                  <m:r>
                    <w:rPr>
                      <w:rFonts w:ascii="Cambria Math" w:hAnsi="Cambria Math"/>
                    </w:rPr>
                    <m:t>d,std</m:t>
                  </m:r>
                </m:sub>
              </m:sSub>
            </m:den>
          </m:f>
          <m:r>
            <m:rPr>
              <m:sty m:val="p"/>
            </m:rPr>
            <w:br/>
          </m:r>
        </m:oMath>
      </m:oMathPara>
      <w:r>
        <w:t>where z</w:t>
      </w:r>
      <w:r w:rsidRPr="00933346">
        <w:rPr>
          <w:vertAlign w:val="subscript"/>
        </w:rPr>
        <w:t>d</w:t>
      </w:r>
      <w:r>
        <w:t xml:space="preserve"> are the daily means of the geopotential height, </w:t>
      </w:r>
      <w:proofErr w:type="spellStart"/>
      <w:r>
        <w:t>z</w:t>
      </w:r>
      <w:r w:rsidRPr="00933346">
        <w:rPr>
          <w:vertAlign w:val="subscript"/>
        </w:rPr>
        <w:t>d,mean</w:t>
      </w:r>
      <w:proofErr w:type="spellEnd"/>
      <w:r>
        <w:t xml:space="preserve"> is the climatological mean with a running window of 30 days, and </w:t>
      </w:r>
      <w:proofErr w:type="spellStart"/>
      <w:r>
        <w:t>z</w:t>
      </w:r>
      <w:r>
        <w:rPr>
          <w:vertAlign w:val="subscript"/>
        </w:rPr>
        <w:t>d,s</w:t>
      </w:r>
      <w:r w:rsidRPr="009827AA">
        <w:rPr>
          <w:vertAlign w:val="subscript"/>
        </w:rPr>
        <w:t>td</w:t>
      </w:r>
      <w:proofErr w:type="spellEnd"/>
      <w:r>
        <w:t xml:space="preserve"> is the standard deviation of the geopotential height with a running window of 30 days. The running window is defined such as the respective day acts as centre of the window. For instance, to derive the reference climatology for the 15</w:t>
      </w:r>
      <w:r w:rsidRPr="00D91B5D">
        <w:rPr>
          <w:vertAlign w:val="superscript"/>
        </w:rPr>
        <w:t>th</w:t>
      </w:r>
      <w:r>
        <w:t xml:space="preserve"> of January the mean of the first to the 30</w:t>
      </w:r>
      <w:r w:rsidRPr="00D91B5D">
        <w:rPr>
          <w:vertAlign w:val="superscript"/>
        </w:rPr>
        <w:t>th</w:t>
      </w:r>
      <w:r>
        <w:t xml:space="preserve"> January is calculated for every year. This results in 41 means since our dataset covers 41 years. These 41 means are </w:t>
      </w:r>
      <w:r>
        <w:lastRenderedPageBreak/>
        <w:t>taken to calculate a mean again, so that we finally have one reference climatology for the 15</w:t>
      </w:r>
      <w:r w:rsidRPr="00D91B5D">
        <w:rPr>
          <w:vertAlign w:val="superscript"/>
        </w:rPr>
        <w:t>th</w:t>
      </w:r>
      <w:r>
        <w:t xml:space="preserve"> of January. This is done analogous for every day of the year, which yields in 366 sperate reference climatology and standard deviations. The standardized anomaly is used because we want to define weather regimes year around. Since the standardized anomaly includes normalization with the standard deviation, the amplitude in the anomaly caused by the seasonal cycle is removed (GRAMS) prior to the weather regime classification. We here use 30-days for our reference climatology and standard deviation calculation which differs to other studies. Often, investigations are only made for weather regime in winter where a correction for the seasonality is not needed (REF). Others (GRAMS) are using 90-day but since our interest focus on multiday timescale this is rather long and increase the probability that the signal of the seasonal cycle is included. </w:t>
      </w:r>
    </w:p>
    <w:p w14:paraId="403B9470" w14:textId="77777777" w:rsidR="00E86F17" w:rsidRDefault="00E86F17" w:rsidP="00E86F17">
      <w:pPr>
        <w:spacing w:after="160" w:line="259" w:lineRule="auto"/>
        <w:ind w:firstLine="0"/>
        <w:jc w:val="left"/>
      </w:pPr>
      <w:r>
        <w:t>EVTL PICTURES WITH COMPARISON</w:t>
      </w:r>
      <w:r>
        <w:br w:type="page"/>
      </w:r>
    </w:p>
    <w:p w14:paraId="23F342FF" w14:textId="77777777" w:rsidR="00E86F17" w:rsidRPr="00E86F17" w:rsidRDefault="00E86F17" w:rsidP="00E86F17"/>
    <w:p w14:paraId="08A66BEB" w14:textId="77777777" w:rsidR="00DF7C62" w:rsidRPr="006154F9" w:rsidRDefault="00DF7C62" w:rsidP="00DF7C62">
      <w:pPr>
        <w:pStyle w:val="berschrift3"/>
      </w:pPr>
      <w:r>
        <w:t>Weather regime classification</w:t>
      </w:r>
    </w:p>
    <w:p w14:paraId="524CEC4C" w14:textId="215B288B" w:rsidR="00220BD8" w:rsidRDefault="00734229" w:rsidP="00203817">
      <w:r>
        <w:t>The EOF analysis</w:t>
      </w:r>
      <w:r w:rsidR="00E96670">
        <w:t xml:space="preserve"> on the standardized anomalies</w:t>
      </w:r>
      <w:r>
        <w:t xml:space="preserve"> is performed with</w:t>
      </w:r>
      <w:r w:rsidR="00E96670">
        <w:t xml:space="preserve"> the</w:t>
      </w:r>
      <w:r>
        <w:t xml:space="preserve"> </w:t>
      </w:r>
      <w:proofErr w:type="spellStart"/>
      <w:r w:rsidR="00E96670">
        <w:t>eofs</w:t>
      </w:r>
      <w:proofErr w:type="spellEnd"/>
      <w:r>
        <w:t xml:space="preserve"> python package by </w:t>
      </w:r>
      <w:r w:rsidR="00E96670">
        <w:fldChar w:fldCharType="begin" w:fldLock="1"/>
      </w:r>
      <w:r w:rsidR="006A692C">
        <w:instrText>ADDIN CSL_CITATION {"citationItems":[{"id":"ITEM-1","itemData":{"DOI":"10.5334/jors.122","ISSN":"2049-9647","abstract":"The eofs library provides a high-level Python interface for computing empirical orthogonal functions (EOFs) and related quantities, with a focus on correctness and ease of use. The library is implemented in a modular hierarchical fashion, allowing computations using plain arrays, or the inclusion of metadata. The software provides a convenient package for users wanting to perform EOF analysis in Python, and integrates with popular libraries from atmospheric and climate science. The software is available on Github.","author":[{"dropping-particle":"","family":"Dawson","given":"Andrew","non-dropping-particle":"","parse-names":false,"suffix":""}],"container-title":"Journal of Open Research Software","id":"ITEM-1","issued":{"date-parts":[["2016"]]},"page":"4-7","title":"eofs: A Library for EOF Analysis of Meteorological, Oceanographic, and Climate Data","type":"article-journal","volume":"4"},"uris":["http://www.mendeley.com/documents/?uuid=4f3b9f1b-240b-4b66-ba9a-c078d02dcb13"]}],"mendeley":{"formattedCitation":"(Dawson, 2016)","manualFormatting":"Dawson (2016)","plainTextFormattedCitation":"(Dawson, 2016)","previouslyFormattedCitation":"(Dawson, 2016)"},"properties":{"noteIndex":0},"schema":"https://github.com/citation-style-language/schema/raw/master/csl-citation.json"}</w:instrText>
      </w:r>
      <w:r w:rsidR="00E96670">
        <w:fldChar w:fldCharType="separate"/>
      </w:r>
      <w:r w:rsidR="00E96670" w:rsidRPr="00E96670">
        <w:rPr>
          <w:noProof/>
        </w:rPr>
        <w:t xml:space="preserve">Dawson </w:t>
      </w:r>
      <w:r w:rsidR="00E96670">
        <w:rPr>
          <w:noProof/>
        </w:rPr>
        <w:t>(</w:t>
      </w:r>
      <w:r w:rsidR="00E96670" w:rsidRPr="00E96670">
        <w:rPr>
          <w:noProof/>
        </w:rPr>
        <w:t>2016)</w:t>
      </w:r>
      <w:r w:rsidR="00E96670">
        <w:fldChar w:fldCharType="end"/>
      </w:r>
      <w:r w:rsidR="00E96670">
        <w:t xml:space="preserve">. </w:t>
      </w:r>
      <w:r w:rsidR="006A692C">
        <w:t>The resulting first 1</w:t>
      </w:r>
      <w:r w:rsidR="005649BE">
        <w:t>6</w:t>
      </w:r>
      <w:r w:rsidR="006A692C">
        <w:t xml:space="preserve"> principle components which explained ~90% of the variance are used to cluster the data into weather regimes.</w:t>
      </w:r>
      <w:r w:rsidR="009D1889">
        <w:t xml:space="preserve"> We use the clustering method k-means which is implemented in th</w:t>
      </w:r>
      <w:r w:rsidR="006A692C">
        <w:t xml:space="preserve">e python package </w:t>
      </w:r>
      <w:proofErr w:type="spellStart"/>
      <w:r w:rsidR="006A692C" w:rsidRPr="006A692C">
        <w:t>sklearn</w:t>
      </w:r>
      <w:r w:rsidR="00986EB0">
        <w:t>.cluster</w:t>
      </w:r>
      <w:proofErr w:type="spellEnd"/>
      <w:r w:rsidR="00986EB0">
        <w:t xml:space="preserve"> </w:t>
      </w:r>
      <w:r w:rsidR="006A692C">
        <w:t xml:space="preserve">by </w:t>
      </w:r>
      <w:r w:rsidR="006A692C">
        <w:fldChar w:fldCharType="begin" w:fldLock="1"/>
      </w:r>
      <w:r w:rsidR="00986EB0">
        <w:instrText>ADDIN CSL_CITATION {"citationItems":[{"id":"ITEM-1","itemData":{"author":[{"dropping-particle":"","family":"Pedregosa","given":"F","non-dropping-particle":"","parse-names":false,"suffix":""},{"dropping-particle":"","family":"Varoquaux","given":"G","non-dropping-particle":"","parse-names":false,"suffix":""},{"dropping-particle":"","family":"Gramfort","given":"A","non-dropping-particle":"","parse-names":false,"suffix":""},{"dropping-particle":"","family":"Michel","given":"V","non-dropping-particle":"","parse-names":false,"suffix":""},{"dropping-particle":"","family":"Thirion","given":"B","non-dropping-particle":"","parse-names":false,"suffix":""},{"dropping-particle":"","family":"Grisel","given":"O","non-dropping-particle":"","parse-names":false,"suffix":""},{"dropping-particle":"","family":"Blondel","given":"M","non-dropping-particle":"","parse-names":false,"suffix":""},{"dropping-particle":"","family":"Prettenhofer","given":"P","non-dropping-particle":"","parse-names":false,"suffix":""},{"dropping-particle":"","family":"Weiss","given":"R","non-dropping-particle":"","parse-names":false,"suffix":""},{"dropping-particle":"","family":"Dubourg","given":"V","non-dropping-particle":"","parse-names":false,"suffix":""},{"dropping-particle":"","family":"Vanderplas","given":"J","non-dropping-particle":"","parse-names":false,"suffix":""},{"dropping-particle":"","family":"Passos","given":"A","non-dropping-particle":"","parse-names":false,"suffix":""},{"dropping-particle":"","family":"Cournapeau","given":"D","non-dropping-particle":"","parse-names":false,"suffix":""},{"dropping-particle":"","family":"Brucher","given":"M","non-dropping-particle":"","parse-names":false,"suffix":""},{"dropping-particle":"","family":"Perrot","given":"M","non-dropping-particle":"","parse-names":false,"suffix":""},{"dropping-particle":"","family":"Duchesnay","given":"E","non-dropping-particle":"","parse-names":false,"suffix":""}],"container-title":"Journal of Machine Learning Research","id":"ITEM-1","issued":{"date-parts":[["2011"]]},"page":"2825-2830","title":"Scikit-learn: Machine Learning in {P}ython","type":"article-journal","volume":"12"},"uris":["http://www.mendeley.com/documents/?uuid=17140cf5-1e3c-44d7-b0b0-8448aed2d045"]}],"mendeley":{"formattedCitation":"(Pedregosa &lt;i&gt;et al.&lt;/i&gt;, 2011)","manualFormatting":"Pedregosa et al. (2011)","plainTextFormattedCitation":"(Pedregosa et al., 2011)"},"properties":{"noteIndex":0},"schema":"https://github.com/citation-style-language/schema/raw/master/csl-citation.json"}</w:instrText>
      </w:r>
      <w:r w:rsidR="006A692C">
        <w:fldChar w:fldCharType="separate"/>
      </w:r>
      <w:r w:rsidR="006A692C" w:rsidRPr="006A692C">
        <w:rPr>
          <w:noProof/>
        </w:rPr>
        <w:t xml:space="preserve">Pedregosa </w:t>
      </w:r>
      <w:r w:rsidR="006A692C" w:rsidRPr="006A692C">
        <w:rPr>
          <w:i/>
          <w:noProof/>
        </w:rPr>
        <w:t>et al.</w:t>
      </w:r>
      <w:r w:rsidR="006A692C" w:rsidRPr="006A692C">
        <w:rPr>
          <w:noProof/>
        </w:rPr>
        <w:t xml:space="preserve"> </w:t>
      </w:r>
      <w:r w:rsidR="00986EB0">
        <w:rPr>
          <w:noProof/>
        </w:rPr>
        <w:t>(</w:t>
      </w:r>
      <w:r w:rsidR="006A692C" w:rsidRPr="006A692C">
        <w:rPr>
          <w:noProof/>
        </w:rPr>
        <w:t>2011)</w:t>
      </w:r>
      <w:r w:rsidR="006A692C">
        <w:fldChar w:fldCharType="end"/>
      </w:r>
      <w:r w:rsidR="009D1889">
        <w:t>.</w:t>
      </w:r>
      <w:r w:rsidR="00AC1C95">
        <w:t xml:space="preserve"> </w:t>
      </w:r>
      <w:r w:rsidR="00DF7C62">
        <w:t>According to GRAMS the optimal number of clusters to define weather regime year around is seven which seems to be plausible by a simple check with the elbow</w:t>
      </w:r>
      <w:r w:rsidR="00AC5FAB">
        <w:t xml:space="preserve"> and silhouette</w:t>
      </w:r>
      <w:r w:rsidR="00DF7C62">
        <w:t xml:space="preserve"> method:</w:t>
      </w:r>
    </w:p>
    <w:p w14:paraId="65A79BDF" w14:textId="57AB13F1" w:rsidR="00DF7C62" w:rsidRDefault="00DF7C62" w:rsidP="00203817">
      <w:r>
        <w:t>EVTL. BILD</w:t>
      </w:r>
    </w:p>
    <w:p w14:paraId="1056D6DF" w14:textId="7EBA503E" w:rsidR="00DF7C62" w:rsidRDefault="00A807C1" w:rsidP="00203817">
      <w:r>
        <w:t xml:space="preserve">Additionally, we sort all days out where </w:t>
      </w:r>
      <w:r w:rsidRPr="00A807C1">
        <w:t>the weather regime is not the same for at least 3 days in a row</w:t>
      </w:r>
      <w:r>
        <w:t xml:space="preserve"> and assign these days to separate weather regime hereafter called “no-regime”. </w:t>
      </w:r>
    </w:p>
    <w:p w14:paraId="6BDCCBF6" w14:textId="6EFC5FD1" w:rsidR="00DF7C62" w:rsidRDefault="003C233A" w:rsidP="0080390B">
      <w:pPr>
        <w:pStyle w:val="berschrift3"/>
      </w:pPr>
      <w:r>
        <w:t>Capacity</w:t>
      </w:r>
      <w:r w:rsidR="0080390B">
        <w:t xml:space="preserve"> factors</w:t>
      </w:r>
    </w:p>
    <w:p w14:paraId="09432944" w14:textId="37B36932" w:rsidR="003C233A" w:rsidRPr="003C233A" w:rsidRDefault="00E86F17" w:rsidP="003C233A">
      <w:r>
        <w:t xml:space="preserve">Since we now have a attribution for every day of our dataset to a specific WR, we can </w:t>
      </w:r>
    </w:p>
    <w:p w14:paraId="0B110621" w14:textId="5440F8B4" w:rsidR="00133CB5" w:rsidRDefault="00133CB5">
      <w:pPr>
        <w:spacing w:after="160" w:line="259" w:lineRule="auto"/>
        <w:ind w:firstLine="0"/>
        <w:jc w:val="left"/>
      </w:pPr>
      <w:r>
        <w:br w:type="page"/>
      </w:r>
    </w:p>
    <w:p w14:paraId="365BCA0F" w14:textId="7A636E3F" w:rsidR="00133CB5" w:rsidRDefault="00133CB5">
      <w:pPr>
        <w:spacing w:after="160" w:line="259" w:lineRule="auto"/>
        <w:ind w:firstLine="0"/>
        <w:jc w:val="left"/>
      </w:pPr>
      <w:r>
        <w:lastRenderedPageBreak/>
        <w:br w:type="page"/>
      </w:r>
    </w:p>
    <w:p w14:paraId="53896E0E" w14:textId="5A500300" w:rsidR="00133CB5" w:rsidRDefault="00133CB5">
      <w:pPr>
        <w:spacing w:after="160" w:line="259" w:lineRule="auto"/>
        <w:ind w:firstLine="0"/>
        <w:jc w:val="left"/>
      </w:pPr>
      <w:r>
        <w:lastRenderedPageBreak/>
        <w:br w:type="page"/>
      </w:r>
    </w:p>
    <w:p w14:paraId="4A8FF0C4" w14:textId="77777777" w:rsidR="00220BD8" w:rsidRDefault="00220BD8" w:rsidP="00203817"/>
    <w:p w14:paraId="4D7D6F1F" w14:textId="601CE249" w:rsidR="00220BD8" w:rsidRDefault="00220BD8" w:rsidP="00203817"/>
    <w:p w14:paraId="4F21E52F" w14:textId="77777777" w:rsidR="00220BD8" w:rsidRDefault="00220BD8" w:rsidP="00203817"/>
    <w:p w14:paraId="6F7D35D4" w14:textId="77777777" w:rsidR="00F558DD" w:rsidRDefault="00F558DD" w:rsidP="00F558DD">
      <w:r>
        <w:t>We will use the 500hPa geopotential height and surface downward solar radiation variables from ERA5 dataset. Before the EOF analyses</w:t>
      </w:r>
      <w:r w:rsidR="00547085">
        <w:t xml:space="preserve"> and k-mean clustering</w:t>
      </w:r>
      <w:r>
        <w:t xml:space="preserve"> will be performed</w:t>
      </w:r>
      <w:r w:rsidR="00993A52">
        <w:t>,</w:t>
      </w:r>
      <w:r>
        <w:t xml:space="preserve"> there is a need of preparing the data. The major reason to do so is that we want to understand the multiday variability and not diurnal or seasonal variability. Therefore, we will follow a similar approach like </w:t>
      </w:r>
      <w:r>
        <w:fldChar w:fldCharType="begin" w:fldLock="1"/>
      </w:r>
      <w:r w:rsidR="00BA094B">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regimes","type":"article-journal","volume":"7"},"uris":["http://www.mendeley.com/documents/?uuid=e16f18ec-f45b-4455-8d32-625e1f80da0f"]}],"mendeley":{"formattedCitation":"(Grams &lt;i&gt;et al.&lt;/i&gt;, 2017)","manualFormatting":"Grams et al. (2017)","plainTextFormattedCitation":"(Grams et al., 2017)","previouslyFormattedCitation":"(Grams &lt;i&gt;et al.&lt;/i&gt;, 2017)"},"properties":{"noteIndex":0},"schema":"https://github.com/citation-style-language/schema/raw/master/csl-citation.json"}</w:instrText>
      </w:r>
      <w:r>
        <w:fldChar w:fldCharType="separate"/>
      </w:r>
      <w:bookmarkStart w:id="29" w:name="__Fieldmark__758_3718023903"/>
      <w:r>
        <w:rPr>
          <w:noProof/>
        </w:rPr>
        <w:t xml:space="preserve">Grams </w:t>
      </w:r>
      <w:r>
        <w:rPr>
          <w:i/>
          <w:noProof/>
        </w:rPr>
        <w:t>et al.</w:t>
      </w:r>
      <w:r>
        <w:rPr>
          <w:noProof/>
        </w:rPr>
        <w:t xml:space="preserve"> (2017)</w:t>
      </w:r>
      <w:r>
        <w:fldChar w:fldCharType="end"/>
      </w:r>
      <w:bookmarkEnd w:id="29"/>
      <w:r>
        <w:t xml:space="preserve"> and adjust it were needed. This includes:</w:t>
      </w:r>
    </w:p>
    <w:p w14:paraId="3186E95F" w14:textId="77777777" w:rsidR="00F558DD" w:rsidRDefault="00F558DD" w:rsidP="00F558DD">
      <w:pPr>
        <w:pStyle w:val="Listenabsatz"/>
        <w:numPr>
          <w:ilvl w:val="0"/>
          <w:numId w:val="16"/>
        </w:numPr>
      </w:pPr>
      <w:r>
        <w:t xml:space="preserve">Separating seasons and calculating anomalies: Instead of absolute numbers we will calculate anomalies by using a </w:t>
      </w:r>
      <w:bookmarkStart w:id="30" w:name="_Hlk38355151"/>
      <w:r>
        <w:t xml:space="preserve">running mean </w:t>
      </w:r>
      <w:bookmarkEnd w:id="30"/>
      <w:r>
        <w:t xml:space="preserve">as reference climatology. </w:t>
      </w:r>
      <w:r w:rsidRPr="00FA6560">
        <w:t>We</w:t>
      </w:r>
      <w:r>
        <w:t xml:space="preserve"> will</w:t>
      </w:r>
      <w:r w:rsidRPr="00FA6560">
        <w:t xml:space="preserve"> begin with a simple 90 day running mean</w:t>
      </w:r>
      <w:r>
        <w:t>,</w:t>
      </w:r>
      <w:r w:rsidRPr="00FA6560">
        <w:t xml:space="preserve"> </w:t>
      </w:r>
      <w:r>
        <w:t>similar to</w:t>
      </w:r>
      <w:r w:rsidRPr="00FA6560">
        <w:t xml:space="preserve"> </w:t>
      </w:r>
      <w:r>
        <w:fldChar w:fldCharType="begin" w:fldLock="1"/>
      </w:r>
      <w:r w:rsidR="00BA094B">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regimes","type":"article-journal","volume":"7"},"uris":["http://www.mendeley.com/documents/?uuid=e16f18ec-f45b-4455-8d32-625e1f80da0f"]}],"mendeley":{"formattedCitation":"(Grams &lt;i&gt;et al.&lt;/i&gt;, 2017)","manualFormatting":"Grams et al. (2017)","plainTextFormattedCitation":"(Grams et al., 2017)","previouslyFormattedCitation":"(Grams &lt;i&gt;et al.&lt;/i&gt;, 2017)"},"properties":{"noteIndex":0},"schema":"https://github.com/citation-style-language/schema/raw/master/csl-citation.json"}</w:instrText>
      </w:r>
      <w:r>
        <w:fldChar w:fldCharType="separate"/>
      </w:r>
      <w:bookmarkStart w:id="31" w:name="__Fieldmark__793_3718023903"/>
      <w:r>
        <w:rPr>
          <w:noProof/>
        </w:rPr>
        <w:t xml:space="preserve">Grams </w:t>
      </w:r>
      <w:r>
        <w:rPr>
          <w:i/>
          <w:noProof/>
        </w:rPr>
        <w:t>et al.</w:t>
      </w:r>
      <w:r>
        <w:rPr>
          <w:noProof/>
        </w:rPr>
        <w:t xml:space="preserve"> (2017)</w:t>
      </w:r>
      <w:r>
        <w:fldChar w:fldCharType="end"/>
      </w:r>
      <w:bookmarkEnd w:id="31"/>
      <w:r w:rsidRPr="00FA6560">
        <w:t xml:space="preserve"> </w:t>
      </w:r>
      <w:r>
        <w:t>a</w:t>
      </w:r>
      <w:r w:rsidRPr="00FA6560">
        <w:t>nd potentially refine the filtering afterwards</w:t>
      </w:r>
      <w:r>
        <w:t>.</w:t>
      </w:r>
    </w:p>
    <w:p w14:paraId="1FB3B5F5" w14:textId="77777777" w:rsidR="00F558DD" w:rsidRDefault="00F558DD" w:rsidP="00F558DD">
      <w:pPr>
        <w:pStyle w:val="Listenabsatz"/>
        <w:numPr>
          <w:ilvl w:val="0"/>
          <w:numId w:val="16"/>
        </w:numPr>
      </w:pPr>
      <w:r>
        <w:t xml:space="preserve">To ensure that the daily cycle does not dominate our EOF analyses, we need to filter the data beforehand. </w:t>
      </w:r>
      <w:r>
        <w:fldChar w:fldCharType="begin" w:fldLock="1"/>
      </w:r>
      <w:r w:rsidR="00BA094B">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regimes","type":"article-journal","volume":"7"},"uris":["http://www.mendeley.com/documents/?uuid=e16f18ec-f45b-4455-8d32-625e1f80da0f"]}],"mendeley":{"formattedCitation":"(Grams &lt;i&gt;et al.&lt;/i&gt;, 2017)","manualFormatting":"Grams et al. (2017)","plainTextFormattedCitation":"(Grams et al., 2017)","previouslyFormattedCitation":"(Grams &lt;i&gt;et al.&lt;/i&gt;, 2017)"},"properties":{"noteIndex":0},"schema":"https://github.com/citation-style-language/schema/raw/master/csl-citation.json"}</w:instrText>
      </w:r>
      <w:r>
        <w:fldChar w:fldCharType="separate"/>
      </w:r>
      <w:bookmarkStart w:id="32" w:name="__Fieldmark__809_3718023903"/>
      <w:r>
        <w:rPr>
          <w:noProof/>
        </w:rPr>
        <w:t xml:space="preserve">Grams </w:t>
      </w:r>
      <w:r>
        <w:rPr>
          <w:i/>
          <w:noProof/>
        </w:rPr>
        <w:t>et al.</w:t>
      </w:r>
      <w:r>
        <w:rPr>
          <w:noProof/>
        </w:rPr>
        <w:t xml:space="preserve"> (2017)</w:t>
      </w:r>
      <w:r>
        <w:fldChar w:fldCharType="end"/>
      </w:r>
      <w:bookmarkEnd w:id="32"/>
      <w:r>
        <w:t xml:space="preserve"> used a 10-day low pass filter and we will take this again as basis but will finally define our filter and its criterion during work with the data.</w:t>
      </w:r>
    </w:p>
    <w:p w14:paraId="76FA518D" w14:textId="77777777" w:rsidR="00BB0494" w:rsidRDefault="00BB0494">
      <w:pPr>
        <w:spacing w:after="160" w:line="259" w:lineRule="auto"/>
        <w:ind w:firstLine="0"/>
        <w:jc w:val="left"/>
        <w:rPr>
          <w:rFonts w:eastAsiaTheme="majorEastAsia" w:cstheme="majorBidi"/>
          <w:b/>
          <w:sz w:val="24"/>
          <w:szCs w:val="26"/>
        </w:rPr>
      </w:pPr>
      <w:bookmarkStart w:id="33" w:name="_Toc41830558"/>
      <w:r>
        <w:br w:type="page"/>
      </w:r>
    </w:p>
    <w:p w14:paraId="26A47228" w14:textId="75025EC3" w:rsidR="00463276" w:rsidRDefault="00463276" w:rsidP="006154F9">
      <w:pPr>
        <w:pStyle w:val="berschrift2"/>
      </w:pPr>
      <w:r>
        <w:lastRenderedPageBreak/>
        <w:t>M</w:t>
      </w:r>
      <w:r w:rsidR="00417F8B">
        <w:t>ethod</w:t>
      </w:r>
      <w:bookmarkEnd w:id="33"/>
    </w:p>
    <w:p w14:paraId="0DBC2201" w14:textId="77777777" w:rsidR="006154F9" w:rsidRPr="006154F9" w:rsidRDefault="005C5E0A" w:rsidP="006154F9">
      <w:pPr>
        <w:pStyle w:val="berschrift3"/>
      </w:pPr>
      <w:bookmarkStart w:id="34" w:name="_Toc41830559"/>
      <w:r>
        <w:t>Weather regime classification</w:t>
      </w:r>
      <w:bookmarkEnd w:id="34"/>
    </w:p>
    <w:p w14:paraId="0571400E" w14:textId="77777777" w:rsidR="006154F9" w:rsidRDefault="006154F9" w:rsidP="006154F9">
      <w:r w:rsidRPr="009D240E">
        <w:t xml:space="preserve">Our study will use the 500hPa geopotential height and surface downward solar radiation variables from ERA5 in the </w:t>
      </w:r>
      <w:bookmarkStart w:id="35" w:name="_Hlk38354990"/>
      <w:r w:rsidRPr="009D240E">
        <w:t xml:space="preserve">domain 80°W to 40°E, 30°N to 90°N. The domain is chosen according to </w:t>
      </w:r>
      <w:r w:rsidRPr="009D240E">
        <w:fldChar w:fldCharType="begin" w:fldLock="1"/>
      </w:r>
      <w:r w:rsidR="00BA094B" w:rsidRPr="009D240E">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regimes","type":"article-journal","volume":"7"},"uris":["http://www.mendeley.com/documents/?uuid=e16f18ec-f45b-4455-8d32-625e1f80da0f"]}],"mendeley":{"formattedCitation":"(Grams &lt;i&gt;et al.&lt;/i&gt;, 2017)","manualFormatting":"Grams et al. (2017)","plainTextFormattedCitation":"(Grams et al., 2017)","previouslyFormattedCitation":"(Grams &lt;i&gt;et al.&lt;/i&gt;, 2017)"},"properties":{"noteIndex":0},"schema":"https://github.com/citation-style-language/schema/raw/master/csl-citation.json"}</w:instrText>
      </w:r>
      <w:r w:rsidRPr="009D240E">
        <w:fldChar w:fldCharType="separate"/>
      </w:r>
      <w:r w:rsidRPr="009D240E">
        <w:rPr>
          <w:noProof/>
        </w:rPr>
        <w:t xml:space="preserve">Grams </w:t>
      </w:r>
      <w:r w:rsidRPr="009D240E">
        <w:rPr>
          <w:i/>
          <w:noProof/>
        </w:rPr>
        <w:t>et al.</w:t>
      </w:r>
      <w:r w:rsidRPr="009D240E">
        <w:rPr>
          <w:noProof/>
        </w:rPr>
        <w:t xml:space="preserve"> (2017)</w:t>
      </w:r>
      <w:r w:rsidRPr="009D240E">
        <w:fldChar w:fldCharType="end"/>
      </w:r>
      <w:r w:rsidRPr="009D240E">
        <w:t xml:space="preserve"> for easy comparison, and </w:t>
      </w:r>
      <w:r>
        <w:t xml:space="preserve">is also reasonable for our meteorological field investigates since it captures the large scale circulation that affects Europe. </w:t>
      </w:r>
      <w:bookmarkEnd w:id="35"/>
      <w:r>
        <w:t xml:space="preserve">We will perform EOF analyses on these two variables and with the capacity factors from the simulation by </w:t>
      </w:r>
      <w:proofErr w:type="spellStart"/>
      <w:r>
        <w:t>renewables.ninja</w:t>
      </w:r>
      <w:proofErr w:type="spellEnd"/>
      <w:r>
        <w:t>. An EOF analyses decomposes a dataset into statistically orthogonal modes that describe the variability of the data. For metrological datasets, a few modes are often sufficient to explain a large fraction of the total variability in the data, which is helpful to assess the key patterns of the variability and to further analyse them. The input parameter for the EOF analysis with the fewest resulting modes, which explain the highest percentage of the variability, will be used to further work with. This is just a first criterion which can be used, the final decision will be taken during the work because it depends on the results and its analysis.</w:t>
      </w:r>
    </w:p>
    <w:p w14:paraId="64B31BB2" w14:textId="0AE22281" w:rsidR="006154F9" w:rsidRPr="006154F9" w:rsidRDefault="0081218E" w:rsidP="006154F9">
      <w:r>
        <w:t>The generated subspace</w:t>
      </w:r>
      <w:r w:rsidR="004B6712">
        <w:t xml:space="preserve"> spanned by the leading EOFs</w:t>
      </w:r>
      <w:r>
        <w:t xml:space="preserve"> will</w:t>
      </w:r>
      <w:r w:rsidR="004B6712">
        <w:t xml:space="preserve"> be</w:t>
      </w:r>
      <w:r>
        <w:t xml:space="preserve"> used to group the data with the k-mean clustering method.</w:t>
      </w:r>
      <w:r w:rsidR="00F80309">
        <w:t xml:space="preserve"> It is commonly used to classify weather regime with </w:t>
      </w:r>
      <w:r w:rsidR="00583179">
        <w:t>this</w:t>
      </w:r>
      <w:r w:rsidR="00F80309">
        <w:t xml:space="preserve"> method </w:t>
      </w:r>
      <w:r w:rsidR="00724FE8">
        <w:fldChar w:fldCharType="begin" w:fldLock="1"/>
      </w:r>
      <w:r w:rsidR="00E96670">
        <w:instrText xml:space="preserve">ADDIN CSL_CITATION {"citationItems":[{"id":"ITEM-1","itemData":{"DOI":"10.1175/1520-0469(1995)052&lt;1237:WRRAQS&gt;2.0.CO;2","ISSN":"00224928","abstract":"Two different definitions of midlatitude weather regimes are compared. The first seeks recurrent atmospheric patterns. The second seeks quasi-stationary patterns, whose average tendency vanishes. Recurrent patterns are identified by cluster analysis, and qausi-stationary patterns are identified by solving a nonlinear equilibration equation. The two methods give the same number of weather regimes - four over the Atlantic sector and three over the Pacific sector. However, the patterns differ significantly. The investigation of the tendency, or drift, of the clusters shows that recurrent flows have a systematic slow evolution, explaining this difference. The patterns are in agreement with the ones obtained from previous studies, but their number differs. -from Authors","author":[{"dropping-particle":"","family":"Michelangeli","given":"P. A.","non-dropping-particle":"","parse-names":false,"suffix":""},{"dropping-particle":"","family":"Vautard","given":"R.","non-dropping-particle":"","parse-names":false,"suffix":""},{"dropping-particle":"","family":"Legras","given":"B.","non-dropping-particle":"","parse-names":false,"suffix":""}],"container-title":"Journal of the Atmospheric Sciences","id":"ITEM-1","issue":"8","issued":{"date-parts":[["1995"]]},"page":"1237-1256","title":"Weather regimes: recurrence and quasi stationarity","type":"article","volume":"52"},"uris":["http://www.mendeley.com/documents/?uuid=e65311d3-efe5-47ac-aa82-b6cbd44b48b4"]},{"id":"ITEM-2","itemData":{"DOI":"10.1038/nature07286","ISSN":"14764687","abstract":"Bridging the traditional gap between the spatio-temporal scales of weather and climate is a significant challenge facing the atmospheric community. In particular, progress in both medium-range and seasonal-to-interannual climate prediction relies on our understanding of recurrent weather patterns and the identification of specific causes responsible for their favoured occurrence, persistence or transition. Within this framework, I here present evidence that the main climate intra-seasonal oscillation in the tropics - the Madden-Julian Oscillation (MJO) - controls part of the distribution and sequences of the four daily weather regimes defined over the North Atlantic-European region in winter. North Atlantic Oscillation (NAO) regimes are the most affected, allowing for medium-range predictability of their phase far exceeding the limit of around one week that is usually quoted. The tropical-extratropical lagged relationship is asymmetrical. Positive NAO events mostly respond to a mid-latitude low-frequency wave train initiated by the MJO in the western-central tropical Pacific and propagating eastwards. Precursors for negative NAO events are found in the eastern tropical Pacific-western Atlantic, leading to changes along the North Atlantic storm track. Wave-breaking diagnostics tend to support the MJO preconditioning and the role of transient eddies in setting the phase of the NAO. I present a simple statistical model to quantitatively assess the potential predictability of the daily NAO index or the sign of the NAO regimes when they occur. Forecasts are successful in </w:instrText>
      </w:r>
      <w:r w:rsidR="00E96670">
        <w:rPr>
          <w:rFonts w:ascii="Cambria Math" w:hAnsi="Cambria Math" w:cs="Cambria Math"/>
        </w:rPr>
        <w:instrText>∼</w:instrText>
      </w:r>
      <w:r w:rsidR="00E96670">
        <w:instrText xml:space="preserve">70 per cent of the cases based on the knowledge of the previous </w:instrText>
      </w:r>
      <w:r w:rsidR="00E96670">
        <w:rPr>
          <w:rFonts w:ascii="Cambria Math" w:hAnsi="Cambria Math" w:cs="Cambria Math"/>
        </w:rPr>
        <w:instrText>∼</w:instrText>
      </w:r>
      <w:r w:rsidR="00E96670">
        <w:instrText>12-day MJO phase used as a predictor. This promising skill could be of importance considering the tight link between weather regimes and both mean conditions and the chances of extreme events occurring over Europe. These findings are useful for further stressing the need to better simulate and forecast the tropical coupled ocean-atmosphere dynamics, which is a source of medium-to-long range predictability and is the Achilles' heel of the current seamless prediction suites. ©2008 Macmillan Publishers Limited. All rights reserved.","author":[{"dropping-particle":"","family":"Cassou","given":"Christophe","non-dropping-particle":"","parse-names":false,"suffix":""}],"container-title":"Nature","id":"ITEM-2","issue":"7212","issued":{"date-parts":[["2008"]]},"page":"523-527","title":"Intraseasonal interaction between the Madden-Julian Oscillation and the North Atlantic Oscillation","type":"article-journal","volume":"455"},"uris":["http://www.mendeley.com/documents/?uuid=69380aa0-e642-4004-a672-91882b3732c9"]}],"mendeley":{"formattedCitation":"(Michelangeli, Vautard and Legras, 1995; Cassou, 2008)","plainTextFormattedCitation":"(Michelangeli, Vautard and Legras, 1995; Cassou, 2008)","previouslyFormattedCitation":"(Michelangeli, Vautard and Legras, 1995; Cassou, 2008)"},"properties":{"noteIndex":0},"schema":"https://github.com/citation-style-language/schema/raw/master/csl-citation.json"}</w:instrText>
      </w:r>
      <w:r w:rsidR="00724FE8">
        <w:fldChar w:fldCharType="separate"/>
      </w:r>
      <w:r w:rsidR="00383405" w:rsidRPr="00383405">
        <w:rPr>
          <w:noProof/>
        </w:rPr>
        <w:t>(Michelangeli, Vautard and Legras, 1995; Cassou, 2008)</w:t>
      </w:r>
      <w:r w:rsidR="00724FE8">
        <w:fldChar w:fldCharType="end"/>
      </w:r>
      <w:r w:rsidR="00F93656">
        <w:t xml:space="preserve"> and we will make use of this approach as well.</w:t>
      </w:r>
      <w:r w:rsidR="00F80309">
        <w:t xml:space="preserve"> </w:t>
      </w:r>
      <w:r w:rsidR="004B6712">
        <w:t>Clustering</w:t>
      </w:r>
      <w:r w:rsidR="00F93656">
        <w:t xml:space="preserve"> our</w:t>
      </w:r>
      <w:r w:rsidR="009736B7">
        <w:t xml:space="preserve"> radiation and geopotential height EOF analysis result</w:t>
      </w:r>
      <w:r w:rsidR="00F93656">
        <w:t>s,</w:t>
      </w:r>
      <w:r w:rsidR="009736B7">
        <w:t xml:space="preserve"> will yield in weather and radiation regimes. For simplification we will use hereafter just the term weather regime even if it includes the radiation analysis as well. </w:t>
      </w:r>
      <w:r w:rsidR="00F80309">
        <w:t>Generally,</w:t>
      </w:r>
      <w:r>
        <w:t xml:space="preserve"> </w:t>
      </w:r>
      <w:r w:rsidR="00F80309">
        <w:t>c</w:t>
      </w:r>
      <w:r w:rsidR="009D240E" w:rsidRPr="0081218E">
        <w:t>lustering</w:t>
      </w:r>
      <w:r>
        <w:t xml:space="preserve"> techniques are</w:t>
      </w:r>
      <w:r w:rsidR="009D240E" w:rsidRPr="0081218E">
        <w:t xml:space="preserve"> used to group data with similar </w:t>
      </w:r>
      <w:r w:rsidR="000213BC" w:rsidRPr="0081218E">
        <w:t>characteristics</w:t>
      </w:r>
      <w:r w:rsidR="00F53631" w:rsidRPr="0081218E">
        <w:t xml:space="preserve"> </w:t>
      </w:r>
      <w:r>
        <w:t>by</w:t>
      </w:r>
      <w:r w:rsidR="00F53631" w:rsidRPr="0081218E">
        <w:t xml:space="preserve"> minimiz</w:t>
      </w:r>
      <w:r>
        <w:t>ing</w:t>
      </w:r>
      <w:r w:rsidR="00F53631" w:rsidRPr="0081218E">
        <w:t xml:space="preserve"> the variance within th</w:t>
      </w:r>
      <w:r>
        <w:t xml:space="preserve">e </w:t>
      </w:r>
      <w:r w:rsidR="00F80309">
        <w:t>clusters</w:t>
      </w:r>
      <w:r w:rsidR="009D240E" w:rsidRPr="0081218E">
        <w:t>.</w:t>
      </w:r>
      <w:r w:rsidR="00F80309">
        <w:t xml:space="preserve"> </w:t>
      </w:r>
      <w:r w:rsidR="009736B7">
        <w:t xml:space="preserve">The difficulty lies in the definition of the number of clusters. There are several </w:t>
      </w:r>
      <w:r w:rsidR="00267B7C">
        <w:t>methods</w:t>
      </w:r>
      <w:r w:rsidR="009736B7">
        <w:t xml:space="preserve"> to find the most suitable number of clusters</w:t>
      </w:r>
      <w:r w:rsidR="00FA31CC">
        <w:t xml:space="preserve">, which </w:t>
      </w:r>
      <w:r w:rsidR="00E80A5E">
        <w:t>will be</w:t>
      </w:r>
      <w:r w:rsidR="00FA31CC">
        <w:t xml:space="preserve"> evaluate</w:t>
      </w:r>
      <w:r w:rsidR="00E80A5E">
        <w:t>d</w:t>
      </w:r>
      <w:r w:rsidR="00FA31CC">
        <w:t xml:space="preserve"> during our work</w:t>
      </w:r>
      <w:r w:rsidR="00267B7C">
        <w:t xml:space="preserve">. For </w:t>
      </w:r>
      <w:r w:rsidR="00FA31CC">
        <w:t xml:space="preserve">the </w:t>
      </w:r>
      <w:r w:rsidR="00267B7C">
        <w:t xml:space="preserve">Euro-Atlantic </w:t>
      </w:r>
      <w:r w:rsidR="00FA31CC">
        <w:t>region</w:t>
      </w:r>
      <w:r w:rsidR="00267B7C">
        <w:t xml:space="preserve"> often four clusters are used </w:t>
      </w:r>
      <w:r w:rsidR="00E15D8D">
        <w:t xml:space="preserve">to define the weather regimes </w:t>
      </w:r>
      <w:r w:rsidR="00583179">
        <w:fldChar w:fldCharType="begin" w:fldLock="1"/>
      </w:r>
      <w:r w:rsidR="00E96670">
        <w:instrText xml:space="preserve">ADDIN CSL_CITATION {"citationItems":[{"id":"ITEM-1","itemData":{"DOI":"10.1088/1748-9326/ab38d3","ISSN":"17489326","abstract":"The growing share of variable renewable energy increases the meteorological sensitivity of power systems. This study investigates if large-scale weather regimes capture the influence of meteorological variability on the European energy sector. For each weather regime, the associated changes to wintertime - mean and extreme - wind and solar power production, temperature-driven energy demand and energy shortfall (residual load) are explored. Days with a blocked circulation pattern, i.e. the 'Scandinavian Blocking' and 'North Atlantic Oscillation negative' regimes, on average have lower than normal renewable power production, higher than normal energy demand and therefore, higher than normal energy shortfall. These average effects hide large variability of energy parameters within each weather regime. Though the risk of extreme high energy shortfall events increases in the two blocked regimes (by a factor of 1.5 and 2.0, respectively), it is shown that such events occur in all regimes. Extreme high energy shortfall events are the result of rare circulation types and smaller-scale features, rather than extreme magnitudes of common large-scale circulation types. In fact, these events resemble each other more strongly than their respective weather regime mean pattern. For (sub-)seasonal forecasting applications weather regimes may be of use for the energy sector. At shorter lead times or for more detailed system analyses, their ineffectiveness at characterising extreme events limits their potential.","author":[{"dropping-particle":"","family":"Wiel","given":"Karin","non-dropping-particle":"Van Der","parse-names":false,"suffix":""},{"dropping-particle":"","family":"Bloomfield","given":"Hannah C.","non-dropping-particle":"","parse-names":false,"suffix":""},{"dropping-particle":"","family":"Lee","given":"Robert W.","non-dropping-particle":"","parse-names":false,"suffix":""},{"dropping-particle":"","family":"Stoop","given":"Laurens P.","non-dropping-particle":"","parse-names":false,"suffix":""},{"dropping-particle":"","family":"Blackport","given":"Russell","non-dropping-particle":"","parse-names":false,"suffix":""},{"dropping-particle":"","family":"Screen","given":"James A.","non-dropping-particle":"","parse-names":false,"suffix":""},{"dropping-particle":"","family":"Selten","given":"Frank M.","non-dropping-particle":"","parse-names":false,"suffix":""}],"container-title":"Environmental Research Letters","id":"ITEM-1","issue":"9","issued":{"date-parts":[["2019"]]},"title":"The influence of weather regimes on European renewable energy production and demand","type":"article-journal","volume":"14"},"uris":["http://www.mendeley.com/documents/?uuid=b4a3148a-4a0b-43a8-8d5c-ef9e174c1174"]},{"id":"ITEM-2","itemData":{"DOI":"10.1038/nature07286","ISSN":"14764687","abstract":"Bridging the traditional gap between the spatio-temporal scales of weather and climate is a significant challenge facing the atmospheric community. In particular, progress in both medium-range and seasonal-to-interannual climate prediction relies on our understanding of recurrent weather patterns and the identification of specific causes responsible for their favoured occurrence, persistence or transition. Within this framework, I here present evidence that the main climate intra-seasonal oscillation in the tropics - the Madden-Julian Oscillation (MJO) - controls part of the distribution and sequences of the four daily weather regimes defined over the North Atlantic-European region in winter. North Atlantic Oscillation (NAO) regimes are the most affected, allowing for medium-range predictability of their phase far exceeding the limit of around one week that is usually quoted. The tropical-extratropical lagged relationship is asymmetrical. Positive NAO events mostly respond to a mid-latitude low-frequency wave train initiated by the MJO in the western-central tropical Pacific and propagating eastwards. Precursors for negative NAO events are found in the eastern tropical Pacific-western Atlantic, leading to changes along the North Atlantic storm track. Wave-breaking diagnostics tend to support the MJO preconditioning and the role of transient eddies in setting the phase of the NAO. I present a simple statistical model to quantitatively assess the potential predictability of the daily NAO index or the sign of the NAO regimes when they occur. Forecasts are successful in </w:instrText>
      </w:r>
      <w:r w:rsidR="00E96670">
        <w:rPr>
          <w:rFonts w:ascii="Cambria Math" w:hAnsi="Cambria Math" w:cs="Cambria Math"/>
        </w:rPr>
        <w:instrText>∼</w:instrText>
      </w:r>
      <w:r w:rsidR="00E96670">
        <w:instrText xml:space="preserve">70 per cent of the cases based on the knowledge of the previous </w:instrText>
      </w:r>
      <w:r w:rsidR="00E96670">
        <w:rPr>
          <w:rFonts w:ascii="Cambria Math" w:hAnsi="Cambria Math" w:cs="Cambria Math"/>
        </w:rPr>
        <w:instrText>∼</w:instrText>
      </w:r>
      <w:r w:rsidR="00E96670">
        <w:instrText>12-day MJO phase used as a predictor. This promising skill could be of importance considering the tight link between weather regimes and both mean conditions and the chances of extreme events occurring over Europe. These findings are useful for further stressing the need to better simulate and forecast the tropical coupled ocean-atmosphere dynamics, which is a source of medium-to-long range predictability and is the Achilles' heel of the current seamless prediction suites. ©2008 Macmillan Publishers Limited. All rights reserved.","author":[{"dropping-particle":"","family":"Cassou","given":"Christophe","non-dropping-particle":"","parse-names":false,"suffix":""}],"container-title":"Nature","id":"ITEM-2","issue":"7212","issued":{"date-parts":[["2008"]]},"page":"523-527","title":"Intraseasonal interaction between the Madden-Julian Oscillation and the North Atlantic Oscillation","type":"article-journal","volume":"455"},"uris":["http://www.mendeley.com/documents/?uuid=69380aa0-e642-4004-a672-91882b3732c9"]},{"id":"ITEM-3","itemData":{"DOI":"10.1175/1520-0469(1995)052&lt;1237:WRRAQS&gt;2.0.CO;2","ISSN":"00224928","abstract":"Two different definitions of midlatitude weather regimes are compared. The first seeks recurrent atmospheric patterns. The second seeks quasi-stationary patterns, whose average tendency vanishes. Recurrent patterns are identified by cluster analysis, and qausi-stationary patterns are identified by solving a nonlinear equilibration equation. The two methods give the same number of weather regimes - four over the Atlantic sector and three over the Pacific sector. However, the patterns differ significantly. The investigation of the tendency, or drift, of the clusters shows that recurrent flows have a systematic slow evolution, explaining this difference. The patterns are in agreement with the ones obtained from previous studies, but their number differs. -from Authors","author":[{"dropping-particle":"","family":"Michelangeli","given":"P. A.","non-dropping-particle":"","parse-names":false,"suffix":""},{"dropping-particle":"","family":"Vautard","given":"R.","non-dropping-particle":"","parse-names":false,"suffix":""},{"dropping-particle":"","family":"Legras","given":"B.","non-dropping-particle":"","parse-names":false,"suffix":""}],"container-title":"Journal of the Atmospheric Sciences","id":"ITEM-3","issue":"8","issued":{"date-parts":[["1995"]]},"page":"1237-1256","title":"Weather regimes: recurrence and quasi stationarity","type":"article","volume":"52"},"uris":["http://www.mendeley.com/documents/?uuid=e65311d3-efe5-47ac-aa82-b6cbd44b48b4"]}],"mendeley":{"formattedCitation":"(Michelangeli, Vautard and Legras, 1995; Cassou, 2008; Van Der Wiel &lt;i&gt;et al.&lt;/i&gt;, 2019)","plainTextFormattedCitation":"(Michelangeli, Vautard and Legras, 1995; Cassou, 2008; Van Der Wiel et al., 2019)","previouslyFormattedCitation":"(Michelangeli, Vautard and Legras, 1995; Cassou, 2008; Van Der Wiel &lt;i&gt;et al.&lt;/i&gt;, 2019)"},"properties":{"noteIndex":0},"schema":"https://github.com/citation-style-language/schema/raw/master/csl-citation.json"}</w:instrText>
      </w:r>
      <w:r w:rsidR="00583179">
        <w:fldChar w:fldCharType="separate"/>
      </w:r>
      <w:r w:rsidR="00583179" w:rsidRPr="00583179">
        <w:rPr>
          <w:noProof/>
        </w:rPr>
        <w:t xml:space="preserve">(Michelangeli, Vautard and Legras, 1995; Cassou, 2008; Van Der Wiel </w:t>
      </w:r>
      <w:r w:rsidR="00583179" w:rsidRPr="00583179">
        <w:rPr>
          <w:i/>
          <w:noProof/>
        </w:rPr>
        <w:t>et al.</w:t>
      </w:r>
      <w:r w:rsidR="00583179" w:rsidRPr="00583179">
        <w:rPr>
          <w:noProof/>
        </w:rPr>
        <w:t>, 2019)</w:t>
      </w:r>
      <w:r w:rsidR="00583179">
        <w:fldChar w:fldCharType="end"/>
      </w:r>
      <w:r w:rsidR="00267B7C">
        <w:t xml:space="preserve">. </w:t>
      </w:r>
      <w:r w:rsidR="00267B7C">
        <w:fldChar w:fldCharType="begin" w:fldLock="1"/>
      </w:r>
      <w:r w:rsidR="00997DB2">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regimes","type":"article-journal","volume":"7"},"uris":["http://www.mendeley.com/documents/?uuid=d83a18de-1e07-4281-ad3b-9b5f2db864e0"]}],"mendeley":{"formattedCitation":"(Grams &lt;i&gt;et al.&lt;/i&gt;, 2017)","manualFormatting":"Grams et al. (2017)","plainTextFormattedCitation":"(Grams et al., 2017)","previouslyFormattedCitation":"(Grams &lt;i&gt;et al.&lt;/i&gt;, 2017)"},"properties":{"noteIndex":0},"schema":"https://github.com/citation-style-language/schema/raw/master/csl-citation.json"}</w:instrText>
      </w:r>
      <w:r w:rsidR="00267B7C">
        <w:fldChar w:fldCharType="separate"/>
      </w:r>
      <w:r w:rsidR="00267B7C" w:rsidRPr="00267B7C">
        <w:rPr>
          <w:noProof/>
        </w:rPr>
        <w:t xml:space="preserve">Grams </w:t>
      </w:r>
      <w:r w:rsidR="00267B7C" w:rsidRPr="00267B7C">
        <w:rPr>
          <w:i/>
          <w:noProof/>
        </w:rPr>
        <w:t>et al.</w:t>
      </w:r>
      <w:r w:rsidR="00267B7C" w:rsidRPr="00267B7C">
        <w:rPr>
          <w:noProof/>
        </w:rPr>
        <w:t xml:space="preserve"> </w:t>
      </w:r>
      <w:r w:rsidR="00267B7C">
        <w:rPr>
          <w:noProof/>
        </w:rPr>
        <w:t>(</w:t>
      </w:r>
      <w:r w:rsidR="00267B7C" w:rsidRPr="00267B7C">
        <w:rPr>
          <w:noProof/>
        </w:rPr>
        <w:t>2017)</w:t>
      </w:r>
      <w:r w:rsidR="00267B7C">
        <w:fldChar w:fldCharType="end"/>
      </w:r>
      <w:r w:rsidR="00267B7C">
        <w:t xml:space="preserve"> </w:t>
      </w:r>
      <w:r w:rsidR="00FA31CC">
        <w:t xml:space="preserve">used 7 clusters in his study and therefore ended up with 7 weather </w:t>
      </w:r>
      <w:r w:rsidR="002731CA">
        <w:t>regimes</w:t>
      </w:r>
      <w:r w:rsidR="007C4086">
        <w:t xml:space="preserve">. </w:t>
      </w:r>
      <w:r w:rsidR="00345E59">
        <w:t xml:space="preserve">For easy comparison we may use the same number of </w:t>
      </w:r>
      <w:r w:rsidR="00425A8E">
        <w:t>clusters,</w:t>
      </w:r>
      <w:r w:rsidR="00345E59">
        <w:t xml:space="preserve"> but </w:t>
      </w:r>
      <w:r w:rsidR="00750688">
        <w:t>other approaches are feasible and will be evaluated</w:t>
      </w:r>
      <w:r w:rsidR="00E80A5E">
        <w:t xml:space="preserve"> during work with the data</w:t>
      </w:r>
      <w:r w:rsidR="00750688">
        <w:t>.</w:t>
      </w:r>
      <w:r w:rsidR="00425A8E">
        <w:t xml:space="preserve"> Finally, we will have the information which weather regime prevails on which </w:t>
      </w:r>
      <w:r w:rsidR="00AF5656">
        <w:t>time period</w:t>
      </w:r>
      <w:r w:rsidR="00425A8E">
        <w:t xml:space="preserve">. </w:t>
      </w:r>
      <w:r w:rsidR="00505540">
        <w:t xml:space="preserve">As soon as we have this attribution, we can assign capacity factors to the corresponding </w:t>
      </w:r>
      <w:r w:rsidR="00374B4C">
        <w:t>weather regimes</w:t>
      </w:r>
      <w:r w:rsidR="00505540">
        <w:t xml:space="preserve"> for further analysis</w:t>
      </w:r>
      <w:r w:rsidR="00E80A5E">
        <w:t>.</w:t>
      </w:r>
    </w:p>
    <w:p w14:paraId="463A67DC" w14:textId="77777777" w:rsidR="00013880" w:rsidRDefault="005C5E0A" w:rsidP="00013880">
      <w:pPr>
        <w:pStyle w:val="berschrift3"/>
      </w:pPr>
      <w:bookmarkStart w:id="36" w:name="_Toc41830560"/>
      <w:r>
        <w:t>Capacity facto</w:t>
      </w:r>
      <w:r w:rsidR="003B1457">
        <w:t>r</w:t>
      </w:r>
      <w:r>
        <w:t xml:space="preserve"> estimates</w:t>
      </w:r>
      <w:bookmarkEnd w:id="36"/>
    </w:p>
    <w:p w14:paraId="49AF47DA" w14:textId="77777777" w:rsidR="00F92AA9" w:rsidRDefault="00F92AA9" w:rsidP="00F92AA9">
      <w:r>
        <w:t xml:space="preserve">We will consider two possible approaches to use the data provided by </w:t>
      </w:r>
      <w:proofErr w:type="spellStart"/>
      <w:r>
        <w:t>renewables.ninja</w:t>
      </w:r>
      <w:proofErr w:type="spellEnd"/>
      <w:r>
        <w:t xml:space="preserve">. The first is based on national aggregated capacity factors analogous to </w:t>
      </w:r>
      <w:r>
        <w:fldChar w:fldCharType="begin" w:fldLock="1"/>
      </w:r>
      <w:r w:rsidR="00BA094B">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regimes","type":"article-journal","volume":"7"},"uris":["http://www.mendeley.com/documents/?uuid=d83a18de-1e07-4281-ad3b-9b5f2db864e0"]}],"mendeley":{"formattedCitation":"(Grams &lt;i&gt;et al.&lt;/i&gt;, 2017)","manualFormatting":"Grams et al. (2017)","plainTextFormattedCitation":"(Grams et al., 2017)","previouslyFormattedCitation":"(Grams &lt;i&gt;et al.&lt;/i&gt;, 2017)"},"properties":{"noteIndex":0},"schema":"https://github.com/citation-style-language/schema/raw/master/csl-citation.json"}</w:instrText>
      </w:r>
      <w:r>
        <w:fldChar w:fldCharType="separate"/>
      </w:r>
      <w:bookmarkStart w:id="37" w:name="__Fieldmark__1245_3718023903"/>
      <w:r>
        <w:rPr>
          <w:noProof/>
        </w:rPr>
        <w:t xml:space="preserve">Grams </w:t>
      </w:r>
      <w:r>
        <w:rPr>
          <w:i/>
          <w:noProof/>
        </w:rPr>
        <w:t>et al.</w:t>
      </w:r>
      <w:r>
        <w:rPr>
          <w:noProof/>
        </w:rPr>
        <w:t xml:space="preserve"> (2017)</w:t>
      </w:r>
      <w:r>
        <w:fldChar w:fldCharType="end"/>
      </w:r>
      <w:bookmarkEnd w:id="37"/>
      <w:r>
        <w:t>. The advantage of this dataset is the included bias correction</w:t>
      </w:r>
      <w:r w:rsidR="000C062C">
        <w:t xml:space="preserve"> described above</w:t>
      </w:r>
      <w:r>
        <w:t xml:space="preserve">. But one must consider that this is strongly depended on the amount and position of measurement sites in a country. For example, for Spain they only have 14 available measurement sites </w:t>
      </w:r>
      <w:r w:rsidR="005C276F">
        <w:t>that</w:t>
      </w:r>
      <w:r>
        <w:t xml:space="preserve"> are mostly located at the north</w:t>
      </w:r>
      <w:r w:rsidR="005C276F">
        <w:t>ern</w:t>
      </w:r>
      <w:r>
        <w:t xml:space="preserve"> coast. This leads to a statistically unrepresentative sample </w:t>
      </w:r>
      <w:r>
        <w:fldChar w:fldCharType="begin" w:fldLock="1"/>
      </w:r>
      <w:r w:rsidR="00BA094B">
        <w:instrText>ADDIN CSL_CITATION {"citationItems":[{"id":"ITEM-1","itemData":{"DOI":"10.1016/j.energy.2016.08.060","ISSN":"03605442","abstract":"Solar PV is rapidly growing globally, creating difficult questions around how to efficiently integrate it into national electricity grids. Its time-varying power output is difficult to model credibly because it depends on complex and variable weather systems, leading to difficulty in understanding its potential and limitations. We demonstrate how the MERRA and MERRA-2 global meteorological reanalyses as well as the Meteosat-based CM-SAF SARAH satellite dataset can be used to produce hourly PV simulations across Europe. To validate these simulations, we gather metered time series from more than 1000 PV systems as well as national aggregate output reported by transmission network operators. We find slightly better accuracy from satellite data, but greater stability from reanalysis data. We correct for systematic bias by matching our simulations to the mean bias in modeling individual sites, then examine the long-term patterns, variability and correlation with power demand across Europe, using thirty years of simulated outputs. The results quantify how the increasing deployment of PV substantially changes net power demand and affects system adequacy and ramping requirements, with heterogeneous impacts across different European countries. The simulation code and the hourly simulations for all European countries are available freely via an interactive web platform, www.renewables.ninja.","author":[{"dropping-particle":"","family":"Pfenninger","given":"Stefan","non-dropping-particle":"","parse-names":false,"suffix":""},{"dropping-particle":"","family":"Staffell","given":"Iain","non-dropping-particle":"","parse-names":false,"suffix":""}],"container-title":"Energy","id":"ITEM-1","issued":{"date-parts":[["2016"]]},"page":"1251-1265","title":"Long-term patterns of European PV output using 30 years of validated hourly reanalysis and satellite data","type":"article-journal","volume":"114"},"uris":["http://www.mendeley.com/documents/?uuid=7e9ea2fc-89e3-49c0-b2e5-dfe18d26e5da"]}],"mendeley":{"formattedCitation":"(Pfenninger and Staffell, 2016)","plainTextFormattedCitation":"(Pfenninger and Staffell, 2016)","previouslyFormattedCitation":"(Pfenninger and Staffell, 2016)"},"properties":{"noteIndex":0},"schema":"https://github.com/citation-style-language/schema/raw/master/csl-citation.json"}</w:instrText>
      </w:r>
      <w:r>
        <w:fldChar w:fldCharType="separate"/>
      </w:r>
      <w:bookmarkStart w:id="38" w:name="__Fieldmark__1286_3718023903"/>
      <w:r w:rsidR="00BF2D26" w:rsidRPr="00BF2D26">
        <w:rPr>
          <w:noProof/>
        </w:rPr>
        <w:t>(Pfenninger and Staffell, 2016)</w:t>
      </w:r>
      <w:r>
        <w:fldChar w:fldCharType="end"/>
      </w:r>
      <w:bookmarkEnd w:id="38"/>
      <w:r>
        <w:t xml:space="preserve">. Nevertheless, a further advantage of this approach is that we would be in line with the study of </w:t>
      </w:r>
      <w:r>
        <w:fldChar w:fldCharType="begin" w:fldLock="1"/>
      </w:r>
      <w:r w:rsidR="00BA094B">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regimes","type":"article-journal","volume":"7"},"uris":["http://www.mendeley.com/documents/?uuid=d83a18de-1e07-4281-ad3b-9b5f2db864e0"]}],"mendeley":{"formattedCitation":"(Grams &lt;i&gt;et al.&lt;/i&gt;, 2017)","manualFormatting":"Grams et al. (2017)","plainTextFormattedCitation":"(Grams et al., 2017)","previouslyFormattedCitation":"(Grams &lt;i&gt;et al.&lt;/i&gt;, 2017)"},"properties":{"noteIndex":0},"schema":"https://github.com/citation-style-language/schema/raw/master/csl-citation.json"}</w:instrText>
      </w:r>
      <w:r>
        <w:fldChar w:fldCharType="separate"/>
      </w:r>
      <w:bookmarkStart w:id="39" w:name="__Fieldmark__1294_3718023903"/>
      <w:r>
        <w:rPr>
          <w:noProof/>
        </w:rPr>
        <w:t xml:space="preserve">Grams </w:t>
      </w:r>
      <w:r>
        <w:rPr>
          <w:i/>
          <w:noProof/>
        </w:rPr>
        <w:t>et al.</w:t>
      </w:r>
      <w:r>
        <w:rPr>
          <w:noProof/>
        </w:rPr>
        <w:t xml:space="preserve"> (2017)</w:t>
      </w:r>
      <w:r>
        <w:fldChar w:fldCharType="end"/>
      </w:r>
      <w:bookmarkEnd w:id="39"/>
      <w:r>
        <w:t xml:space="preserve"> which makes further comparison or combination analyses of wind and solar power output variability easier. </w:t>
      </w:r>
    </w:p>
    <w:p w14:paraId="6464435F" w14:textId="77777777" w:rsidR="00F92AA9" w:rsidRDefault="00F92AA9" w:rsidP="00F92AA9">
      <w:r>
        <w:t>The second approach is based on using the GSEE with the ERA5 dataset to calculate the capacity factors for each ERA5 grid cell by our own. One advantage of this approach is data consistency</w:t>
      </w:r>
      <w:r w:rsidR="005C276F">
        <w:t>,</w:t>
      </w:r>
      <w:r>
        <w:t xml:space="preserve"> since we are doing the </w:t>
      </w:r>
      <w:r w:rsidR="00CC3B1C">
        <w:t>weather regime definitions</w:t>
      </w:r>
      <w:r>
        <w:t xml:space="preserve"> based on the ERA5 dataset as well. But this will also be the case </w:t>
      </w:r>
      <w:r>
        <w:lastRenderedPageBreak/>
        <w:t xml:space="preserve">if the implementation of ERA5 into </w:t>
      </w:r>
      <w:proofErr w:type="spellStart"/>
      <w:r>
        <w:t>renewable</w:t>
      </w:r>
      <w:r w:rsidR="004D08D1">
        <w:t>s</w:t>
      </w:r>
      <w:r>
        <w:t>.ninja</w:t>
      </w:r>
      <w:proofErr w:type="spellEnd"/>
      <w:r>
        <w:t xml:space="preserve"> will be published in time. Furthermore, we can specify the size of the regions </w:t>
      </w:r>
      <w:r w:rsidR="00550C80">
        <w:t>for</w:t>
      </w:r>
      <w:r>
        <w:t xml:space="preserve"> further use </w:t>
      </w:r>
      <w:r w:rsidR="00550C80">
        <w:t>in</w:t>
      </w:r>
      <w:r>
        <w:t xml:space="preserve"> our analysis. In other words, we could replace capacity factor per country with capacity factor per region of interest with only the grid resolution of ERA5 as constrain. Especially</w:t>
      </w:r>
      <w:r w:rsidR="00550C80">
        <w:t>,</w:t>
      </w:r>
      <w:r>
        <w:t xml:space="preserve"> for </w:t>
      </w:r>
      <w:r w:rsidR="00550C80">
        <w:t>large</w:t>
      </w:r>
      <w:r>
        <w:t xml:space="preserve"> countries like Germany</w:t>
      </w:r>
      <w:r w:rsidR="00550C80">
        <w:t>,</w:t>
      </w:r>
      <w:r>
        <w:t xml:space="preserve"> this could be useful since the potential difference between its capacity factors for northern and southern regions could be substantial. </w:t>
      </w:r>
    </w:p>
    <w:p w14:paraId="757970CB" w14:textId="77777777" w:rsidR="00F92AA9" w:rsidRDefault="00550C80" w:rsidP="00F92AA9">
      <w:r>
        <w:t>B</w:t>
      </w:r>
      <w:r w:rsidR="00F92AA9">
        <w:t xml:space="preserve">oth approaches include the attribution of the capacity factor to the before defined </w:t>
      </w:r>
      <w:r w:rsidR="00A20851">
        <w:t>weather regimes</w:t>
      </w:r>
      <w:r w:rsidR="00F92AA9">
        <w:t>. As described above</w:t>
      </w:r>
      <w:r>
        <w:t>,</w:t>
      </w:r>
      <w:r w:rsidR="00F92AA9">
        <w:t xml:space="preserve"> this will be done by assigning time periods to a specific </w:t>
      </w:r>
      <w:r w:rsidR="00AF5656">
        <w:t>weather regime</w:t>
      </w:r>
      <w:r w:rsidR="00197783">
        <w:t xml:space="preserve"> and</w:t>
      </w:r>
      <w:r w:rsidR="00F92AA9">
        <w:t xml:space="preserve"> </w:t>
      </w:r>
      <w:r w:rsidR="00197783">
        <w:t>c</w:t>
      </w:r>
      <w:r w:rsidR="00F92AA9">
        <w:t xml:space="preserve">apacity factors during </w:t>
      </w:r>
      <w:r w:rsidR="00D554A3">
        <w:t>the same time</w:t>
      </w:r>
      <w:r w:rsidR="00F92AA9">
        <w:t xml:space="preserve"> period will</w:t>
      </w:r>
      <w:r w:rsidR="00D554A3">
        <w:t xml:space="preserve"> then</w:t>
      </w:r>
      <w:r w:rsidR="00F92AA9">
        <w:t xml:space="preserve"> </w:t>
      </w:r>
      <w:r>
        <w:t>be</w:t>
      </w:r>
      <w:r w:rsidR="00F92AA9">
        <w:t xml:space="preserve"> the attributed</w:t>
      </w:r>
      <w:r>
        <w:t xml:space="preserve"> to </w:t>
      </w:r>
      <w:r w:rsidR="00197783">
        <w:t>them</w:t>
      </w:r>
      <w:r w:rsidR="00F92AA9">
        <w:t xml:space="preserve">. We will use the attributed capacity factors to calculate a mean capacity factor per </w:t>
      </w:r>
      <w:r w:rsidR="00FF3FB0">
        <w:t>weather regime</w:t>
      </w:r>
      <w:r w:rsidR="00F92AA9">
        <w:t xml:space="preserve">, season and region/country. The difference </w:t>
      </w:r>
      <w:r>
        <w:t>between</w:t>
      </w:r>
      <w:r w:rsidR="00F92AA9">
        <w:t xml:space="preserve"> this mean capacity factors and the mean capacity factors for the whole season of a country/region determines whether the</w:t>
      </w:r>
      <w:r w:rsidR="00AA7C7E">
        <w:t xml:space="preserve"> impact of the</w:t>
      </w:r>
      <w:r w:rsidR="00F92AA9">
        <w:t xml:space="preserve"> </w:t>
      </w:r>
      <w:r w:rsidR="00911F68">
        <w:t>weather regime</w:t>
      </w:r>
      <w:r w:rsidR="00F92AA9">
        <w:t xml:space="preserve"> exhibits over- or underproduction. Furthermore, this quantity can be normalised by the mean capacity factor for the whole season of a country/region to get a percent</w:t>
      </w:r>
      <w:r w:rsidR="00AA7C7E">
        <w:t>age</w:t>
      </w:r>
      <w:r w:rsidR="00F92AA9">
        <w:t xml:space="preserve"> deviation:</w:t>
      </w:r>
    </w:p>
    <w:p w14:paraId="4EE9216B" w14:textId="77777777" w:rsidR="00F92AA9" w:rsidRDefault="00F92AA9" w:rsidP="00F92AA9"/>
    <w:tbl>
      <w:tblPr>
        <w:tblStyle w:val="Tabellenraster"/>
        <w:tblW w:w="9396" w:type="dxa"/>
        <w:jc w:val="center"/>
        <w:tblLook w:val="04A0" w:firstRow="1" w:lastRow="0" w:firstColumn="1" w:lastColumn="0" w:noHBand="0" w:noVBand="1"/>
      </w:tblPr>
      <w:tblGrid>
        <w:gridCol w:w="703"/>
        <w:gridCol w:w="7938"/>
        <w:gridCol w:w="755"/>
      </w:tblGrid>
      <w:tr w:rsidR="00F92AA9" w14:paraId="7AA04F18" w14:textId="77777777" w:rsidTr="00D90587">
        <w:trPr>
          <w:jc w:val="center"/>
        </w:trPr>
        <w:tc>
          <w:tcPr>
            <w:tcW w:w="703" w:type="dxa"/>
            <w:tcBorders>
              <w:top w:val="nil"/>
              <w:left w:val="nil"/>
              <w:bottom w:val="nil"/>
              <w:right w:val="nil"/>
            </w:tcBorders>
            <w:shd w:val="clear" w:color="auto" w:fill="auto"/>
            <w:vAlign w:val="center"/>
          </w:tcPr>
          <w:p w14:paraId="60B3E182" w14:textId="77777777" w:rsidR="00F92AA9" w:rsidRDefault="00F92AA9" w:rsidP="00D90587">
            <w:pPr>
              <w:spacing w:line="240" w:lineRule="auto"/>
              <w:ind w:firstLine="0"/>
            </w:pPr>
          </w:p>
        </w:tc>
        <w:tc>
          <w:tcPr>
            <w:tcW w:w="7938" w:type="dxa"/>
            <w:tcBorders>
              <w:top w:val="nil"/>
              <w:left w:val="nil"/>
              <w:bottom w:val="nil"/>
              <w:right w:val="nil"/>
            </w:tcBorders>
            <w:shd w:val="clear" w:color="auto" w:fill="auto"/>
            <w:vAlign w:val="center"/>
          </w:tcPr>
          <w:p w14:paraId="6FDF17AF" w14:textId="77777777" w:rsidR="00F92AA9" w:rsidRDefault="00F36F50" w:rsidP="00D90587">
            <w:pPr>
              <w:spacing w:line="240" w:lineRule="auto"/>
              <w:ind w:firstLine="0"/>
            </w:pPr>
            <m:oMathPara>
              <m:oMath>
                <m:sSub>
                  <m:sSubPr>
                    <m:ctrlPr>
                      <w:rPr>
                        <w:rFonts w:ascii="Cambria Math" w:hAnsi="Cambria Math"/>
                      </w:rPr>
                    </m:ctrlPr>
                  </m:sSubPr>
                  <m:e>
                    <m:r>
                      <w:rPr>
                        <w:rFonts w:ascii="Cambria Math" w:hAnsi="Cambria Math"/>
                      </w:rPr>
                      <m:t>∆CF</m:t>
                    </m:r>
                  </m:e>
                  <m:sub>
                    <m:r>
                      <w:rPr>
                        <w:rFonts w:ascii="Cambria Math" w:hAnsi="Cambria Math"/>
                      </w:rPr>
                      <m:t>wr,country,season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CF</m:t>
                        </m:r>
                      </m:e>
                      <m:sub>
                        <m:r>
                          <w:rPr>
                            <w:rFonts w:ascii="Cambria Math" w:hAnsi="Cambria Math"/>
                          </w:rPr>
                          <m:t>wr,country,season</m:t>
                        </m:r>
                      </m:sub>
                    </m:sSub>
                    <m:r>
                      <w:rPr>
                        <w:rFonts w:ascii="Cambria Math" w:hAnsi="Cambria Math"/>
                      </w:rPr>
                      <m:t>-</m:t>
                    </m:r>
                    <m:sSub>
                      <m:sSubPr>
                        <m:ctrlPr>
                          <w:rPr>
                            <w:rFonts w:ascii="Cambria Math" w:hAnsi="Cambria Math"/>
                          </w:rPr>
                        </m:ctrlPr>
                      </m:sSubPr>
                      <m:e>
                        <m:r>
                          <w:rPr>
                            <w:rFonts w:ascii="Cambria Math" w:hAnsi="Cambria Math"/>
                          </w:rPr>
                          <m:t>CF</m:t>
                        </m:r>
                      </m:e>
                      <m:sub>
                        <m:r>
                          <w:rPr>
                            <w:rFonts w:ascii="Cambria Math" w:hAnsi="Cambria Math"/>
                          </w:rPr>
                          <m:t>country,season</m:t>
                        </m:r>
                      </m:sub>
                    </m:sSub>
                  </m:num>
                  <m:den>
                    <m:sSub>
                      <m:sSubPr>
                        <m:ctrlPr>
                          <w:rPr>
                            <w:rFonts w:ascii="Cambria Math" w:hAnsi="Cambria Math"/>
                          </w:rPr>
                        </m:ctrlPr>
                      </m:sSubPr>
                      <m:e>
                        <m:r>
                          <w:rPr>
                            <w:rFonts w:ascii="Cambria Math" w:hAnsi="Cambria Math"/>
                          </w:rPr>
                          <m:t>CF</m:t>
                        </m:r>
                      </m:e>
                      <m:sub>
                        <m:r>
                          <w:rPr>
                            <w:rFonts w:ascii="Cambria Math" w:hAnsi="Cambria Math"/>
                          </w:rPr>
                          <m:t>country,season</m:t>
                        </m:r>
                      </m:sub>
                    </m:sSub>
                  </m:den>
                </m:f>
              </m:oMath>
            </m:oMathPara>
          </w:p>
        </w:tc>
        <w:tc>
          <w:tcPr>
            <w:tcW w:w="755" w:type="dxa"/>
            <w:tcBorders>
              <w:top w:val="nil"/>
              <w:left w:val="nil"/>
              <w:bottom w:val="nil"/>
              <w:right w:val="nil"/>
            </w:tcBorders>
            <w:shd w:val="clear" w:color="auto" w:fill="auto"/>
            <w:vAlign w:val="center"/>
          </w:tcPr>
          <w:p w14:paraId="5C9C7E26" w14:textId="4A63F2A1" w:rsidR="00F92AA9" w:rsidRDefault="00F92AA9" w:rsidP="00D90587">
            <w:pPr>
              <w:spacing w:line="240" w:lineRule="auto"/>
              <w:ind w:firstLine="0"/>
              <w:jc w:val="right"/>
            </w:pPr>
            <w:r>
              <w:t xml:space="preserve">Eq. </w:t>
            </w:r>
            <w:r>
              <w:fldChar w:fldCharType="begin"/>
            </w:r>
            <w:r>
              <w:instrText>SEQ Equation \* ARABIC</w:instrText>
            </w:r>
            <w:r>
              <w:fldChar w:fldCharType="separate"/>
            </w:r>
            <w:r w:rsidR="002B03F6">
              <w:rPr>
                <w:noProof/>
              </w:rPr>
              <w:t>2</w:t>
            </w:r>
            <w:r>
              <w:fldChar w:fldCharType="end"/>
            </w:r>
          </w:p>
        </w:tc>
      </w:tr>
    </w:tbl>
    <w:p w14:paraId="73073D02" w14:textId="77777777" w:rsidR="00F92AA9" w:rsidRDefault="002D3F42" w:rsidP="00F92AA9">
      <w:pPr>
        <w:ind w:firstLine="0"/>
      </w:pPr>
      <w:r>
        <w:br/>
      </w:r>
      <w:r w:rsidR="00F92AA9">
        <w:t xml:space="preserve">where </w:t>
      </w:r>
      <w:proofErr w:type="spellStart"/>
      <w:r w:rsidR="00F92AA9">
        <w:t>CF</w:t>
      </w:r>
      <w:r w:rsidR="00911F68">
        <w:rPr>
          <w:vertAlign w:val="subscript"/>
        </w:rPr>
        <w:t>wr</w:t>
      </w:r>
      <w:r w:rsidR="00F92AA9">
        <w:rPr>
          <w:vertAlign w:val="subscript"/>
        </w:rPr>
        <w:t>,country,season</w:t>
      </w:r>
      <w:proofErr w:type="spellEnd"/>
      <w:r w:rsidR="00F92AA9">
        <w:t xml:space="preserve"> is the mean capacity factor of a specific </w:t>
      </w:r>
      <w:r w:rsidR="00911F68">
        <w:t>weather regime</w:t>
      </w:r>
      <w:r w:rsidR="00F92AA9">
        <w:t xml:space="preserve">, country/region and season [unitless] and </w:t>
      </w:r>
      <w:proofErr w:type="spellStart"/>
      <w:r w:rsidR="00F92AA9">
        <w:t>CF</w:t>
      </w:r>
      <w:r w:rsidR="00F92AA9">
        <w:rPr>
          <w:vertAlign w:val="subscript"/>
        </w:rPr>
        <w:t>country,season</w:t>
      </w:r>
      <w:proofErr w:type="spellEnd"/>
      <w:r w:rsidR="00F92AA9">
        <w:t xml:space="preserve"> is the mean capacity factor of a country/region for the whole season [unitless].</w:t>
      </w:r>
    </w:p>
    <w:p w14:paraId="77BC6824" w14:textId="77777777" w:rsidR="00F92AA9" w:rsidRDefault="00F92AA9" w:rsidP="00F92AA9">
      <w:r>
        <w:t xml:space="preserve">Analogous to </w:t>
      </w:r>
      <w:r>
        <w:fldChar w:fldCharType="begin" w:fldLock="1"/>
      </w:r>
      <w:r w:rsidR="00BA094B">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regimes","type":"article-journal","volume":"7"},"uris":["http://www.mendeley.com/documents/?uuid=d83a18de-1e07-4281-ad3b-9b5f2db864e0"]}],"mendeley":{"formattedCitation":"(Grams &lt;i&gt;et al.&lt;/i&gt;, 2017)","manualFormatting":"Grams et al. (2017)","plainTextFormattedCitation":"(Grams et al., 2017)","previouslyFormattedCitation":"(Grams &lt;i&gt;et al.&lt;/i&gt;, 2017)"},"properties":{"noteIndex":0},"schema":"https://github.com/citation-style-language/schema/raw/master/csl-citation.json"}</w:instrText>
      </w:r>
      <w:r>
        <w:fldChar w:fldCharType="separate"/>
      </w:r>
      <w:bookmarkStart w:id="40" w:name="__Fieldmark__1459_3718023903"/>
      <w:r>
        <w:rPr>
          <w:noProof/>
        </w:rPr>
        <w:t xml:space="preserve">Grams </w:t>
      </w:r>
      <w:r>
        <w:rPr>
          <w:i/>
          <w:noProof/>
        </w:rPr>
        <w:t>et al.</w:t>
      </w:r>
      <w:r>
        <w:rPr>
          <w:noProof/>
        </w:rPr>
        <w:t xml:space="preserve"> (2017)</w:t>
      </w:r>
      <w:r>
        <w:fldChar w:fldCharType="end"/>
      </w:r>
      <w:bookmarkEnd w:id="40"/>
      <w:r>
        <w:t xml:space="preserve"> we will calculate the European capacity factors per </w:t>
      </w:r>
      <w:r w:rsidR="00911F68">
        <w:t>weather regime</w:t>
      </w:r>
      <w:r>
        <w:t xml:space="preserve"> and season by summing up the capacity factor per </w:t>
      </w:r>
      <w:r w:rsidR="007D2760">
        <w:t>weather</w:t>
      </w:r>
      <w:r w:rsidR="00911F68">
        <w:t xml:space="preserve"> regime</w:t>
      </w:r>
      <w:r>
        <w:t>, season and country/region and weighting them per land area:</w:t>
      </w:r>
    </w:p>
    <w:p w14:paraId="11F41502" w14:textId="77777777" w:rsidR="00F92AA9" w:rsidRDefault="00F92AA9" w:rsidP="00F92AA9"/>
    <w:tbl>
      <w:tblPr>
        <w:tblStyle w:val="Tabellenraster"/>
        <w:tblW w:w="9396" w:type="dxa"/>
        <w:jc w:val="center"/>
        <w:tblLook w:val="04A0" w:firstRow="1" w:lastRow="0" w:firstColumn="1" w:lastColumn="0" w:noHBand="0" w:noVBand="1"/>
      </w:tblPr>
      <w:tblGrid>
        <w:gridCol w:w="703"/>
        <w:gridCol w:w="7938"/>
        <w:gridCol w:w="755"/>
      </w:tblGrid>
      <w:tr w:rsidR="00F92AA9" w14:paraId="33A0FB21" w14:textId="77777777" w:rsidTr="00D90587">
        <w:trPr>
          <w:jc w:val="center"/>
        </w:trPr>
        <w:tc>
          <w:tcPr>
            <w:tcW w:w="703" w:type="dxa"/>
            <w:tcBorders>
              <w:top w:val="nil"/>
              <w:left w:val="nil"/>
              <w:bottom w:val="nil"/>
              <w:right w:val="nil"/>
            </w:tcBorders>
            <w:shd w:val="clear" w:color="auto" w:fill="auto"/>
            <w:vAlign w:val="center"/>
          </w:tcPr>
          <w:p w14:paraId="5BD69ECE" w14:textId="77777777" w:rsidR="00F92AA9" w:rsidRDefault="00F92AA9" w:rsidP="00D90587">
            <w:pPr>
              <w:spacing w:line="240" w:lineRule="auto"/>
              <w:ind w:firstLine="0"/>
            </w:pPr>
          </w:p>
        </w:tc>
        <w:tc>
          <w:tcPr>
            <w:tcW w:w="7938" w:type="dxa"/>
            <w:tcBorders>
              <w:top w:val="nil"/>
              <w:left w:val="nil"/>
              <w:bottom w:val="nil"/>
              <w:right w:val="nil"/>
            </w:tcBorders>
            <w:shd w:val="clear" w:color="auto" w:fill="auto"/>
            <w:vAlign w:val="center"/>
          </w:tcPr>
          <w:p w14:paraId="53971DB3" w14:textId="77777777" w:rsidR="00F92AA9" w:rsidRDefault="00F36F50" w:rsidP="00D90587">
            <w:pPr>
              <w:spacing w:line="240" w:lineRule="auto"/>
              <w:ind w:firstLine="0"/>
            </w:pPr>
            <m:oMathPara>
              <m:oMath>
                <m:sSub>
                  <m:sSubPr>
                    <m:ctrlPr>
                      <w:rPr>
                        <w:rFonts w:ascii="Cambria Math" w:hAnsi="Cambria Math"/>
                      </w:rPr>
                    </m:ctrlPr>
                  </m:sSubPr>
                  <m:e>
                    <m:r>
                      <w:rPr>
                        <w:rFonts w:ascii="Cambria Math" w:hAnsi="Cambria Math"/>
                      </w:rPr>
                      <m:t>CF</m:t>
                    </m:r>
                  </m:e>
                  <m:sub>
                    <m:r>
                      <w:rPr>
                        <w:rFonts w:ascii="Cambria Math" w:hAnsi="Cambria Math"/>
                      </w:rPr>
                      <m:t>wr,Europe,season</m:t>
                    </m:r>
                  </m:sub>
                </m:sSub>
                <m: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(CF</m:t>
                            </m:r>
                          </m:e>
                          <m:sub>
                            <m:r>
                              <w:rPr>
                                <w:rFonts w:ascii="Cambria Math" w:hAnsi="Cambria Math"/>
                              </w:rPr>
                              <m:t>wr,country,season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country</m:t>
                            </m:r>
                          </m:sub>
                        </m:sSub>
                        <m:r>
                          <w:rPr>
                            <w:rFonts w:ascii="Cambria Math" w:hAnsi="Cambria Math"/>
                          </w:rPr>
                          <m:t>)</m:t>
                        </m:r>
                      </m:e>
                    </m:nary>
                  </m:num>
                  <m:den>
                    <m:sSub>
                      <m:sSubPr>
                        <m:ctrlPr>
                          <w:rPr>
                            <w:rFonts w:ascii="Cambria Math" w:hAnsi="Cambria Math"/>
                          </w:rPr>
                        </m:ctrlPr>
                      </m:sSubPr>
                      <m:e>
                        <m:r>
                          <w:rPr>
                            <w:rFonts w:ascii="Cambria Math" w:hAnsi="Cambria Math"/>
                          </w:rPr>
                          <m:t>A</m:t>
                        </m:r>
                      </m:e>
                      <m:sub>
                        <m:r>
                          <w:rPr>
                            <w:rFonts w:ascii="Cambria Math" w:hAnsi="Cambria Math"/>
                          </w:rPr>
                          <m:t>Europe</m:t>
                        </m:r>
                      </m:sub>
                    </m:sSub>
                  </m:den>
                </m:f>
              </m:oMath>
            </m:oMathPara>
          </w:p>
        </w:tc>
        <w:tc>
          <w:tcPr>
            <w:tcW w:w="755" w:type="dxa"/>
            <w:tcBorders>
              <w:top w:val="nil"/>
              <w:left w:val="nil"/>
              <w:bottom w:val="nil"/>
              <w:right w:val="nil"/>
            </w:tcBorders>
            <w:shd w:val="clear" w:color="auto" w:fill="auto"/>
            <w:vAlign w:val="center"/>
          </w:tcPr>
          <w:p w14:paraId="675B4633" w14:textId="6F30A3EE" w:rsidR="00F92AA9" w:rsidRDefault="00F92AA9" w:rsidP="00D90587">
            <w:pPr>
              <w:spacing w:line="240" w:lineRule="auto"/>
              <w:ind w:firstLine="0"/>
              <w:jc w:val="right"/>
            </w:pPr>
            <w:bookmarkStart w:id="41" w:name="_Ref38540911"/>
            <w:r>
              <w:t xml:space="preserve">Eq. </w:t>
            </w:r>
            <w:r>
              <w:fldChar w:fldCharType="begin"/>
            </w:r>
            <w:r>
              <w:instrText>SEQ Equation \* ARABIC</w:instrText>
            </w:r>
            <w:r>
              <w:fldChar w:fldCharType="separate"/>
            </w:r>
            <w:r w:rsidR="002B03F6">
              <w:rPr>
                <w:noProof/>
              </w:rPr>
              <w:t>3</w:t>
            </w:r>
            <w:r>
              <w:fldChar w:fldCharType="end"/>
            </w:r>
            <w:bookmarkEnd w:id="41"/>
          </w:p>
        </w:tc>
      </w:tr>
    </w:tbl>
    <w:p w14:paraId="41CEEA58" w14:textId="77777777" w:rsidR="00F92AA9" w:rsidRDefault="002D3F42" w:rsidP="00F92AA9">
      <w:pPr>
        <w:ind w:firstLine="0"/>
      </w:pPr>
      <w:r>
        <w:br/>
      </w:r>
      <w:r w:rsidR="00F92AA9">
        <w:t xml:space="preserve">where </w:t>
      </w:r>
      <w:proofErr w:type="spellStart"/>
      <w:r w:rsidR="00F92AA9">
        <w:t>CF</w:t>
      </w:r>
      <w:r w:rsidR="00911F68">
        <w:rPr>
          <w:vertAlign w:val="subscript"/>
        </w:rPr>
        <w:t>wr</w:t>
      </w:r>
      <w:r w:rsidR="00F92AA9">
        <w:rPr>
          <w:vertAlign w:val="subscript"/>
        </w:rPr>
        <w:t>,Europe,season</w:t>
      </w:r>
      <w:proofErr w:type="spellEnd"/>
      <w:r w:rsidR="00F92AA9">
        <w:t xml:space="preserve"> is the mean capacity factor per </w:t>
      </w:r>
      <w:r w:rsidR="00911F68">
        <w:t>weather regime</w:t>
      </w:r>
      <w:r w:rsidR="00F92AA9">
        <w:t xml:space="preserve"> and season for Europe [</w:t>
      </w:r>
      <w:r w:rsidR="005C341C">
        <w:t>unitless</w:t>
      </w:r>
      <w:r w:rsidR="00F92AA9">
        <w:t xml:space="preserve">], </w:t>
      </w:r>
      <w:proofErr w:type="spellStart"/>
      <w:r w:rsidR="00F92AA9">
        <w:t>A</w:t>
      </w:r>
      <w:r w:rsidR="00F92AA9">
        <w:rPr>
          <w:vertAlign w:val="subscript"/>
        </w:rPr>
        <w:t>country</w:t>
      </w:r>
      <w:proofErr w:type="spellEnd"/>
      <w:r w:rsidR="00F92AA9">
        <w:t xml:space="preserve"> is the land area per country [km</w:t>
      </w:r>
      <w:r w:rsidR="00F92AA9">
        <w:rPr>
          <w:vertAlign w:val="superscript"/>
        </w:rPr>
        <w:t>2</w:t>
      </w:r>
      <w:r w:rsidR="00F92AA9">
        <w:t xml:space="preserve">] and </w:t>
      </w:r>
      <w:proofErr w:type="spellStart"/>
      <w:r w:rsidR="00F92AA9">
        <w:t>A</w:t>
      </w:r>
      <w:r w:rsidR="00F92AA9">
        <w:rPr>
          <w:vertAlign w:val="subscript"/>
        </w:rPr>
        <w:t>Europe</w:t>
      </w:r>
      <w:proofErr w:type="spellEnd"/>
      <w:r w:rsidR="00F92AA9">
        <w:t xml:space="preserve"> is the land area of Europe [km</w:t>
      </w:r>
      <w:r w:rsidR="00F92AA9">
        <w:rPr>
          <w:vertAlign w:val="superscript"/>
        </w:rPr>
        <w:t>2</w:t>
      </w:r>
      <w:r w:rsidR="00F92AA9">
        <w:t>].</w:t>
      </w:r>
    </w:p>
    <w:p w14:paraId="3A010524" w14:textId="356817C9" w:rsidR="00F92AA9" w:rsidRDefault="00F92AA9" w:rsidP="00F92AA9">
      <w:r>
        <w:t xml:space="preserve">Multiplication of capacity factors with installed capacities yields power output (Eq. 1). This can be used to expand </w:t>
      </w:r>
      <w:r>
        <w:fldChar w:fldCharType="begin"/>
      </w:r>
      <w:r>
        <w:instrText>REF _Ref38540911 \h</w:instrText>
      </w:r>
      <w:r>
        <w:fldChar w:fldCharType="separate"/>
      </w:r>
      <w:r w:rsidR="002B03F6">
        <w:t xml:space="preserve">Eq. </w:t>
      </w:r>
      <w:r w:rsidR="002B03F6">
        <w:rPr>
          <w:noProof/>
        </w:rPr>
        <w:t>3</w:t>
      </w:r>
      <w:r>
        <w:fldChar w:fldCharType="end"/>
      </w:r>
      <w:r>
        <w:t xml:space="preserve"> which gives us the total solar power output of Europe per </w:t>
      </w:r>
      <w:r w:rsidR="00F015F7">
        <w:t>weather regime</w:t>
      </w:r>
      <w:r>
        <w:t xml:space="preserve"> and season. And to get the percentage deviation it can be normalised by the mean solar power output of Europe per season:</w:t>
      </w:r>
    </w:p>
    <w:p w14:paraId="542F0161" w14:textId="77777777" w:rsidR="00F92AA9" w:rsidRDefault="00F92AA9" w:rsidP="00F92AA9"/>
    <w:tbl>
      <w:tblPr>
        <w:tblStyle w:val="Tabellenraster"/>
        <w:tblW w:w="9396" w:type="dxa"/>
        <w:jc w:val="center"/>
        <w:tblLook w:val="04A0" w:firstRow="1" w:lastRow="0" w:firstColumn="1" w:lastColumn="0" w:noHBand="0" w:noVBand="1"/>
      </w:tblPr>
      <w:tblGrid>
        <w:gridCol w:w="703"/>
        <w:gridCol w:w="7938"/>
        <w:gridCol w:w="755"/>
      </w:tblGrid>
      <w:tr w:rsidR="00F92AA9" w14:paraId="3F24A4F8" w14:textId="77777777" w:rsidTr="00D90587">
        <w:trPr>
          <w:jc w:val="center"/>
        </w:trPr>
        <w:tc>
          <w:tcPr>
            <w:tcW w:w="703" w:type="dxa"/>
            <w:tcBorders>
              <w:top w:val="nil"/>
              <w:left w:val="nil"/>
              <w:bottom w:val="nil"/>
              <w:right w:val="nil"/>
            </w:tcBorders>
            <w:shd w:val="clear" w:color="auto" w:fill="auto"/>
            <w:vAlign w:val="center"/>
          </w:tcPr>
          <w:p w14:paraId="2A54D522" w14:textId="77777777" w:rsidR="00F92AA9" w:rsidRDefault="00F92AA9" w:rsidP="00D90587">
            <w:pPr>
              <w:spacing w:line="240" w:lineRule="auto"/>
              <w:ind w:firstLine="0"/>
            </w:pPr>
          </w:p>
        </w:tc>
        <w:tc>
          <w:tcPr>
            <w:tcW w:w="7938" w:type="dxa"/>
            <w:tcBorders>
              <w:top w:val="nil"/>
              <w:left w:val="nil"/>
              <w:bottom w:val="nil"/>
              <w:right w:val="nil"/>
            </w:tcBorders>
            <w:shd w:val="clear" w:color="auto" w:fill="auto"/>
            <w:vAlign w:val="center"/>
          </w:tcPr>
          <w:p w14:paraId="13814C9A" w14:textId="77777777" w:rsidR="00F92AA9" w:rsidRDefault="00F36F50" w:rsidP="00D90587">
            <w:pPr>
              <w:spacing w:line="240" w:lineRule="auto"/>
              <w:ind w:firstLine="0"/>
            </w:pPr>
            <m:oMathPara>
              <m:oMath>
                <m:sSub>
                  <m:sSubPr>
                    <m:ctrlPr>
                      <w:rPr>
                        <w:rFonts w:ascii="Cambria Math" w:hAnsi="Cambria Math"/>
                      </w:rPr>
                    </m:ctrlPr>
                  </m:sSubPr>
                  <m:e>
                    <m:r>
                      <w:rPr>
                        <w:rFonts w:ascii="Cambria Math" w:hAnsi="Cambria Math"/>
                      </w:rPr>
                      <m:t>∆P</m:t>
                    </m:r>
                  </m:e>
                  <m:sub>
                    <m:r>
                      <w:rPr>
                        <w:rFonts w:ascii="Cambria Math" w:hAnsi="Cambria Math"/>
                      </w:rPr>
                      <m:t>wr,Europe,season</m:t>
                    </m:r>
                  </m:sub>
                </m:sSub>
                <m:r>
                  <w:rPr>
                    <w:rFonts w:ascii="Cambria Math" w:hAnsi="Cambria Math"/>
                  </w:rPr>
                  <m:t>=</m:t>
                </m:r>
                <m:f>
                  <m:fPr>
                    <m:ctrlPr>
                      <w:rPr>
                        <w:rFonts w:ascii="Cambria Math" w:hAnsi="Cambria Math"/>
                      </w:rPr>
                    </m:ctrlPr>
                  </m:fPr>
                  <m:num>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CF</m:t>
                                </m:r>
                              </m:e>
                              <m:sub>
                                <m:r>
                                  <w:rPr>
                                    <w:rFonts w:ascii="Cambria Math" w:hAnsi="Cambria Math"/>
                                  </w:rPr>
                                  <m:t>wr,country,season</m:t>
                                </m:r>
                              </m:sub>
                            </m:sSub>
                            <m:r>
                              <w:rPr>
                                <w:rFonts w:ascii="Cambria Math" w:hAnsi="Cambria Math"/>
                              </w:rPr>
                              <m:t>*</m:t>
                            </m:r>
                            <m:sSub>
                              <m:sSubPr>
                                <m:ctrlPr>
                                  <w:rPr>
                                    <w:rFonts w:ascii="Cambria Math" w:hAnsi="Cambria Math"/>
                                  </w:rPr>
                                </m:ctrlPr>
                              </m:sSubPr>
                              <m:e>
                                <m:r>
                                  <w:rPr>
                                    <w:rFonts w:ascii="Cambria Math" w:hAnsi="Cambria Math"/>
                                  </w:rPr>
                                  <m:t>IC</m:t>
                                </m:r>
                              </m:e>
                              <m:sub>
                                <m:r>
                                  <w:rPr>
                                    <w:rFonts w:ascii="Cambria Math" w:hAnsi="Cambria Math"/>
                                  </w:rPr>
                                  <m:t>country</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country</m:t>
                                </m:r>
                              </m:sub>
                            </m:sSub>
                          </m:e>
                        </m:d>
                      </m:e>
                    </m:nary>
                  </m:num>
                  <m:den>
                    <m:sSub>
                      <m:sSubPr>
                        <m:ctrlPr>
                          <w:rPr>
                            <w:rFonts w:ascii="Cambria Math" w:hAnsi="Cambria Math"/>
                          </w:rPr>
                        </m:ctrlPr>
                      </m:sSubPr>
                      <m:e>
                        <m:r>
                          <w:rPr>
                            <w:rFonts w:ascii="Cambria Math" w:hAnsi="Cambria Math"/>
                          </w:rPr>
                          <m:t>A</m:t>
                        </m:r>
                      </m:e>
                      <m:sub>
                        <m:r>
                          <w:rPr>
                            <w:rFonts w:ascii="Cambria Math" w:hAnsi="Cambria Math"/>
                          </w:rPr>
                          <m:t>Europe</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Europe,season</m:t>
                        </m:r>
                      </m:sub>
                    </m:sSub>
                  </m:den>
                </m:f>
              </m:oMath>
            </m:oMathPara>
          </w:p>
        </w:tc>
        <w:tc>
          <w:tcPr>
            <w:tcW w:w="755" w:type="dxa"/>
            <w:tcBorders>
              <w:top w:val="nil"/>
              <w:left w:val="nil"/>
              <w:bottom w:val="nil"/>
              <w:right w:val="nil"/>
            </w:tcBorders>
            <w:shd w:val="clear" w:color="auto" w:fill="auto"/>
            <w:vAlign w:val="center"/>
          </w:tcPr>
          <w:p w14:paraId="62645BDA" w14:textId="465C385F" w:rsidR="00F92AA9" w:rsidRDefault="00F92AA9" w:rsidP="00D90587">
            <w:pPr>
              <w:spacing w:line="240" w:lineRule="auto"/>
              <w:ind w:firstLine="0"/>
              <w:jc w:val="right"/>
            </w:pPr>
            <w:bookmarkStart w:id="42" w:name="_Ref38541375"/>
            <w:r>
              <w:t xml:space="preserve">Eq. </w:t>
            </w:r>
            <w:r>
              <w:fldChar w:fldCharType="begin"/>
            </w:r>
            <w:r>
              <w:instrText>SEQ Equation \* ARABIC</w:instrText>
            </w:r>
            <w:r>
              <w:fldChar w:fldCharType="separate"/>
            </w:r>
            <w:r w:rsidR="002B03F6">
              <w:rPr>
                <w:noProof/>
              </w:rPr>
              <w:t>4</w:t>
            </w:r>
            <w:r>
              <w:fldChar w:fldCharType="end"/>
            </w:r>
            <w:bookmarkEnd w:id="42"/>
          </w:p>
        </w:tc>
      </w:tr>
    </w:tbl>
    <w:p w14:paraId="7BD991B6" w14:textId="77777777" w:rsidR="00F92AA9" w:rsidRDefault="00F92AA9" w:rsidP="00F92AA9">
      <w:r>
        <w:br/>
        <w:t xml:space="preserve">where </w:t>
      </w:r>
      <w:proofErr w:type="spellStart"/>
      <w:r>
        <w:t>IC</w:t>
      </w:r>
      <w:r>
        <w:rPr>
          <w:vertAlign w:val="subscript"/>
        </w:rPr>
        <w:t>country</w:t>
      </w:r>
      <w:proofErr w:type="spellEnd"/>
      <w:r>
        <w:t xml:space="preserve"> is the installed capacity per country [W] and </w:t>
      </w:r>
      <w:proofErr w:type="spellStart"/>
      <w:r>
        <w:t>P</w:t>
      </w:r>
      <w:r>
        <w:rPr>
          <w:vertAlign w:val="subscript"/>
        </w:rPr>
        <w:t>Europe,season</w:t>
      </w:r>
      <w:proofErr w:type="spellEnd"/>
      <w:r>
        <w:t xml:space="preserve"> is the mean solar power output of Europe per season [W].</w:t>
      </w:r>
    </w:p>
    <w:p w14:paraId="64B7E83A" w14:textId="08BAE484" w:rsidR="00F92AA9" w:rsidRDefault="00F92AA9" w:rsidP="00F92AA9">
      <w:r>
        <w:t xml:space="preserve">We will use </w:t>
      </w:r>
      <w:r>
        <w:fldChar w:fldCharType="begin"/>
      </w:r>
      <w:r>
        <w:instrText>REF _Ref38541375 \h</w:instrText>
      </w:r>
      <w:r>
        <w:fldChar w:fldCharType="separate"/>
      </w:r>
      <w:r w:rsidR="002B03F6">
        <w:t xml:space="preserve">Eq. </w:t>
      </w:r>
      <w:r w:rsidR="002B03F6">
        <w:rPr>
          <w:noProof/>
        </w:rPr>
        <w:t>4</w:t>
      </w:r>
      <w:r>
        <w:fldChar w:fldCharType="end"/>
      </w:r>
      <w:r>
        <w:t xml:space="preserve"> as </w:t>
      </w:r>
      <w:r w:rsidR="00AA7C7E">
        <w:t xml:space="preserve">an </w:t>
      </w:r>
      <w:r>
        <w:t xml:space="preserve">expression for the variability. The results will </w:t>
      </w:r>
      <w:r w:rsidR="00AA7C7E">
        <w:t>provide a seasonal</w:t>
      </w:r>
      <w:r>
        <w:t xml:space="preserve"> percent</w:t>
      </w:r>
      <w:r w:rsidR="00AA7C7E">
        <w:t>age of</w:t>
      </w:r>
      <w:r>
        <w:t xml:space="preserve"> over</w:t>
      </w:r>
      <w:r w:rsidR="00AA7C7E">
        <w:t>-</w:t>
      </w:r>
      <w:r>
        <w:t xml:space="preserve"> or underproduction per </w:t>
      </w:r>
      <w:r w:rsidR="00F015F7">
        <w:t>weather regime</w:t>
      </w:r>
      <w:r>
        <w:t xml:space="preserve"> within Europe relative to </w:t>
      </w:r>
      <w:r w:rsidR="00AA7C7E">
        <w:t>the</w:t>
      </w:r>
      <w:r>
        <w:t xml:space="preserve"> mean. This will be used to </w:t>
      </w:r>
      <w:r w:rsidR="002D3F42">
        <w:t>answer research</w:t>
      </w:r>
      <w:r>
        <w:t xml:space="preserve"> question </w:t>
      </w:r>
      <w:r w:rsidR="0044272D">
        <w:t>one</w:t>
      </w:r>
      <w:r>
        <w:t xml:space="preserve">. The only unknown we still have is the installed capacity per country. </w:t>
      </w:r>
      <w:r>
        <w:lastRenderedPageBreak/>
        <w:fldChar w:fldCharType="begin" w:fldLock="1"/>
      </w:r>
      <w:r w:rsidR="00BA094B">
        <w:instrText>ADDIN CSL_CITATION {"citationItems":[{"id":"ITEM-1","itemData":{"DOI":"10.1016/j.energy.2016.08.060","ISSN":"03605442","abstract":"Solar PV is rapidly growing globally, creating difficult questions around how to efficiently integrate it into national electricity grids. Its time-varying power output is difficult to model credibly because it depends on complex and variable weather systems, leading to difficulty in understanding its potential and limitations. We demonstrate how the MERRA and MERRA-2 global meteorological reanalyses as well as the Meteosat-based CM-SAF SARAH satellite dataset can be used to produce hourly PV simulations across Europe. To validate these simulations, we gather metered time series from more than 1000 PV systems as well as national aggregate output reported by transmission network operators. We find slightly better accuracy from satellite data, but greater stability from reanalysis data. We correct for systematic bias by matching our simulations to the mean bias in modeling individual sites, then examine the long-term patterns, variability and correlation with power demand across Europe, using thirty years of simulated outputs. The results quantify how the increasing deployment of PV substantially changes net power demand and affects system adequacy and ramping requirements, with heterogeneous impacts across different European countries. The simulation code and the hourly simulations for all European countries are available freely via an interactive web platform, www.renewables.ninja.","author":[{"dropping-particle":"","family":"Pfenninger","given":"Stefan","non-dropping-particle":"","parse-names":false,"suffix":""},{"dropping-particle":"","family":"Staffell","given":"Iain","non-dropping-particle":"","parse-names":false,"suffix":""}],"container-title":"Energy","id":"ITEM-1","issued":{"date-parts":[["2016"]]},"page":"1251-1265","title":"Long-term patterns of European PV output using 30 years of validated hourly reanalysis and satellite data","type":"article-journal","volume":"114"},"uris":["http://www.mendeley.com/documents/?uuid=7e9ea2fc-89e3-49c0-b2e5-dfe18d26e5da"]}],"mendeley":{"formattedCitation":"(Pfenninger and Staffell, 2016)","manualFormatting":"Pfenninger and Staffell (2016)","plainTextFormattedCitation":"(Pfenninger and Staffell, 2016)","previouslyFormattedCitation":"(Pfenninger and Staffell, 2016)"},"properties":{"noteIndex":0},"schema":"https://github.com/citation-style-language/schema/raw/master/csl-citation.json"}</w:instrText>
      </w:r>
      <w:r>
        <w:fldChar w:fldCharType="separate"/>
      </w:r>
      <w:bookmarkStart w:id="43" w:name="__Fieldmark__1567_3718023903"/>
      <w:r>
        <w:rPr>
          <w:noProof/>
        </w:rPr>
        <w:t>Pfenninger and Staffell (2016)</w:t>
      </w:r>
      <w:r>
        <w:fldChar w:fldCharType="end"/>
      </w:r>
      <w:bookmarkEnd w:id="43"/>
      <w:r>
        <w:t xml:space="preserve"> used </w:t>
      </w:r>
      <w:r w:rsidR="00881D8A">
        <w:t>four</w:t>
      </w:r>
      <w:r>
        <w:t xml:space="preserve"> data sources to obtain the PV installed capacity per country: </w:t>
      </w:r>
      <w:proofErr w:type="spellStart"/>
      <w:r>
        <w:t>EurObserv’ER</w:t>
      </w:r>
      <w:proofErr w:type="spellEnd"/>
      <w:r>
        <w:t>, IRENA, ENTSO-E, Eurostat. We will analyse them and decide how and which of them or others will be used during our study.</w:t>
      </w:r>
    </w:p>
    <w:p w14:paraId="7E54F5AC" w14:textId="77777777" w:rsidR="00F92AA9" w:rsidRDefault="00F92AA9" w:rsidP="00F92AA9">
      <w:r>
        <w:t xml:space="preserve">The main research question </w:t>
      </w:r>
      <w:r w:rsidR="0044272D">
        <w:t>2</w:t>
      </w:r>
      <w:r>
        <w:t xml:space="preserve"> will also be addressed with Eq. 4. The goal is to reduce the variability as much as possible. Therefore, we need to minimize Eq.4 with </w:t>
      </w:r>
      <w:proofErr w:type="spellStart"/>
      <w:r>
        <w:t>IC</w:t>
      </w:r>
      <w:r>
        <w:rPr>
          <w:vertAlign w:val="subscript"/>
        </w:rPr>
        <w:t>country</w:t>
      </w:r>
      <w:proofErr w:type="spellEnd"/>
      <w:r>
        <w:t xml:space="preserve"> as unknown. And this for every </w:t>
      </w:r>
      <w:r w:rsidR="00F015F7">
        <w:t>weather regime</w:t>
      </w:r>
      <w:r>
        <w:t xml:space="preserve"> with the prioritization of the </w:t>
      </w:r>
      <w:r w:rsidR="00F015F7">
        <w:t>weather regime</w:t>
      </w:r>
      <w:r>
        <w:t xml:space="preserve"> which explain the highest variability. Constraints are the already installed capacity per country and the aimed total installed capacity for PV systems in Europe. Further, constraints to address can be a maximum difference of installed capacity per country/region to consider transmission limitation between countries/regions.</w:t>
      </w:r>
      <w:r w:rsidR="00330089">
        <w:br w:type="page"/>
      </w:r>
    </w:p>
    <w:p w14:paraId="1C61CA50" w14:textId="77777777" w:rsidR="008E3835" w:rsidRDefault="00835CB1" w:rsidP="00052843">
      <w:pPr>
        <w:pStyle w:val="berschrift1"/>
      </w:pPr>
      <w:bookmarkStart w:id="44" w:name="_Toc41830561"/>
      <w:r>
        <w:lastRenderedPageBreak/>
        <w:t>T</w:t>
      </w:r>
      <w:r w:rsidR="008E3835" w:rsidRPr="003327A0">
        <w:t>imeline and milestones</w:t>
      </w:r>
      <w:bookmarkEnd w:id="44"/>
    </w:p>
    <w:p w14:paraId="6E9B183B" w14:textId="77777777" w:rsidR="0031685C" w:rsidRDefault="0031685C" w:rsidP="00835CB1"/>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977"/>
        <w:gridCol w:w="4576"/>
      </w:tblGrid>
      <w:tr w:rsidR="0031685C" w:rsidRPr="00B17119" w14:paraId="2BF0BB57" w14:textId="77777777" w:rsidTr="009C2ACD">
        <w:trPr>
          <w:trHeight w:val="263"/>
        </w:trPr>
        <w:tc>
          <w:tcPr>
            <w:tcW w:w="1843" w:type="dxa"/>
            <w:tcBorders>
              <w:bottom w:val="single" w:sz="4" w:space="0" w:color="auto"/>
            </w:tcBorders>
          </w:tcPr>
          <w:p w14:paraId="4EFD7FFA" w14:textId="2DF4274D" w:rsidR="0031685C" w:rsidRPr="00B17119" w:rsidRDefault="00543D19" w:rsidP="00835CB1">
            <w:pPr>
              <w:ind w:firstLine="0"/>
              <w:rPr>
                <w:b/>
                <w:bCs/>
              </w:rPr>
            </w:pPr>
            <w:r>
              <w:rPr>
                <w:b/>
                <w:bCs/>
              </w:rPr>
              <w:t>Date</w:t>
            </w:r>
            <w:r w:rsidR="004C7DEF">
              <w:rPr>
                <w:b/>
                <w:bCs/>
              </w:rPr>
              <w:t xml:space="preserve"> / Milestone</w:t>
            </w:r>
            <w:r w:rsidR="001E2C98">
              <w:rPr>
                <w:b/>
                <w:bCs/>
              </w:rPr>
              <w:t xml:space="preserve"> Nr.</w:t>
            </w:r>
          </w:p>
        </w:tc>
        <w:tc>
          <w:tcPr>
            <w:tcW w:w="2977" w:type="dxa"/>
            <w:tcBorders>
              <w:bottom w:val="single" w:sz="4" w:space="0" w:color="auto"/>
            </w:tcBorders>
          </w:tcPr>
          <w:p w14:paraId="6E236D10" w14:textId="77777777" w:rsidR="0031685C" w:rsidRDefault="0031685C" w:rsidP="00835CB1">
            <w:pPr>
              <w:ind w:firstLine="0"/>
            </w:pPr>
          </w:p>
        </w:tc>
        <w:tc>
          <w:tcPr>
            <w:tcW w:w="4576" w:type="dxa"/>
            <w:tcBorders>
              <w:bottom w:val="single" w:sz="4" w:space="0" w:color="auto"/>
            </w:tcBorders>
          </w:tcPr>
          <w:p w14:paraId="601BF772" w14:textId="77777777" w:rsidR="0031685C" w:rsidRPr="00B17119" w:rsidRDefault="0031685C" w:rsidP="0031685C">
            <w:pPr>
              <w:ind w:firstLine="0"/>
              <w:jc w:val="right"/>
              <w:rPr>
                <w:b/>
                <w:bCs/>
              </w:rPr>
            </w:pPr>
            <w:r w:rsidRPr="00B17119">
              <w:rPr>
                <w:b/>
                <w:bCs/>
              </w:rPr>
              <w:t>Task / Milestone</w:t>
            </w:r>
          </w:p>
        </w:tc>
      </w:tr>
      <w:tr w:rsidR="0031685C" w14:paraId="3C2F44E5" w14:textId="77777777" w:rsidTr="009C2ACD">
        <w:trPr>
          <w:trHeight w:val="737"/>
        </w:trPr>
        <w:tc>
          <w:tcPr>
            <w:tcW w:w="1843" w:type="dxa"/>
            <w:vAlign w:val="center"/>
          </w:tcPr>
          <w:p w14:paraId="4D4FB3CC" w14:textId="4B6C0F8D" w:rsidR="0031685C" w:rsidRPr="00AA1692" w:rsidRDefault="00543D19" w:rsidP="00835CB1">
            <w:pPr>
              <w:ind w:firstLine="0"/>
              <w:rPr>
                <w:b/>
                <w:bCs/>
              </w:rPr>
            </w:pPr>
            <w:r>
              <w:rPr>
                <w:b/>
                <w:bCs/>
              </w:rPr>
              <w:t>03.08</w:t>
            </w:r>
            <w:r w:rsidR="00813EF7">
              <w:rPr>
                <w:b/>
                <w:bCs/>
              </w:rPr>
              <w:t>.</w:t>
            </w:r>
            <w:r>
              <w:rPr>
                <w:b/>
                <w:bCs/>
              </w:rPr>
              <w:t xml:space="preserve"> – 31.08</w:t>
            </w:r>
          </w:p>
        </w:tc>
        <w:tc>
          <w:tcPr>
            <w:tcW w:w="2977" w:type="dxa"/>
            <w:vAlign w:val="center"/>
          </w:tcPr>
          <w:p w14:paraId="05B185FC" w14:textId="77777777" w:rsidR="0031685C" w:rsidRDefault="0031685C" w:rsidP="00835CB1">
            <w:pPr>
              <w:ind w:firstLine="0"/>
            </w:pPr>
          </w:p>
        </w:tc>
        <w:tc>
          <w:tcPr>
            <w:tcW w:w="4576" w:type="dxa"/>
            <w:vAlign w:val="center"/>
          </w:tcPr>
          <w:p w14:paraId="066DC51B" w14:textId="77777777" w:rsidR="0031685C" w:rsidRDefault="0031685C" w:rsidP="00B17119">
            <w:pPr>
              <w:ind w:firstLine="0"/>
              <w:jc w:val="right"/>
            </w:pPr>
            <w:r>
              <w:t xml:space="preserve">Review </w:t>
            </w:r>
            <w:r w:rsidR="003B313F">
              <w:t>l</w:t>
            </w:r>
            <w:r>
              <w:t>iterature</w:t>
            </w:r>
          </w:p>
        </w:tc>
      </w:tr>
      <w:tr w:rsidR="0031685C" w14:paraId="62653914" w14:textId="77777777" w:rsidTr="009C2ACD">
        <w:trPr>
          <w:trHeight w:val="737"/>
        </w:trPr>
        <w:tc>
          <w:tcPr>
            <w:tcW w:w="1843" w:type="dxa"/>
            <w:vAlign w:val="center"/>
          </w:tcPr>
          <w:p w14:paraId="7C72E5D8" w14:textId="33155C28" w:rsidR="0031685C" w:rsidRPr="00AA1692" w:rsidRDefault="00543D19" w:rsidP="00835CB1">
            <w:pPr>
              <w:ind w:firstLine="0"/>
              <w:rPr>
                <w:b/>
                <w:bCs/>
              </w:rPr>
            </w:pPr>
            <w:r>
              <w:rPr>
                <w:b/>
                <w:bCs/>
              </w:rPr>
              <w:t>03.08</w:t>
            </w:r>
            <w:r w:rsidR="00813EF7">
              <w:rPr>
                <w:b/>
                <w:bCs/>
              </w:rPr>
              <w:t>.</w:t>
            </w:r>
            <w:r>
              <w:rPr>
                <w:b/>
                <w:bCs/>
              </w:rPr>
              <w:t xml:space="preserve"> – 12.10</w:t>
            </w:r>
            <w:r w:rsidR="00813EF7">
              <w:rPr>
                <w:b/>
                <w:bCs/>
              </w:rPr>
              <w:t>.</w:t>
            </w:r>
          </w:p>
        </w:tc>
        <w:tc>
          <w:tcPr>
            <w:tcW w:w="2977" w:type="dxa"/>
            <w:vAlign w:val="center"/>
          </w:tcPr>
          <w:p w14:paraId="5EE89BCF" w14:textId="77777777" w:rsidR="0031685C" w:rsidRDefault="0031685C" w:rsidP="00835CB1">
            <w:pPr>
              <w:ind w:firstLine="0"/>
            </w:pPr>
          </w:p>
        </w:tc>
        <w:tc>
          <w:tcPr>
            <w:tcW w:w="4576" w:type="dxa"/>
            <w:vAlign w:val="center"/>
          </w:tcPr>
          <w:p w14:paraId="1CAE3648" w14:textId="77777777" w:rsidR="0031685C" w:rsidRDefault="0000293A" w:rsidP="00B17119">
            <w:pPr>
              <w:ind w:firstLine="0"/>
              <w:jc w:val="right"/>
            </w:pPr>
            <w:r>
              <w:t xml:space="preserve">Perform </w:t>
            </w:r>
            <w:r w:rsidR="0031685C">
              <w:t xml:space="preserve">EOF </w:t>
            </w:r>
            <w:r w:rsidR="007C0A46">
              <w:t>a</w:t>
            </w:r>
            <w:r w:rsidR="0031685C">
              <w:t>nalysis</w:t>
            </w:r>
            <w:r w:rsidR="007C0A46">
              <w:t xml:space="preserve"> and define weather regimes</w:t>
            </w:r>
            <w:r w:rsidR="00064747">
              <w:t xml:space="preserve"> </w:t>
            </w:r>
          </w:p>
        </w:tc>
      </w:tr>
      <w:tr w:rsidR="0031685C" w14:paraId="4528ABF9" w14:textId="77777777" w:rsidTr="009C2ACD">
        <w:trPr>
          <w:trHeight w:val="737"/>
        </w:trPr>
        <w:tc>
          <w:tcPr>
            <w:tcW w:w="1843" w:type="dxa"/>
            <w:shd w:val="clear" w:color="auto" w:fill="D9D9D9" w:themeFill="background1" w:themeFillShade="D9"/>
            <w:vAlign w:val="center"/>
          </w:tcPr>
          <w:p w14:paraId="604B94B2" w14:textId="77777777" w:rsidR="0031685C" w:rsidRPr="001F3600" w:rsidRDefault="00B17119" w:rsidP="00835CB1">
            <w:pPr>
              <w:ind w:firstLine="0"/>
              <w:rPr>
                <w:b/>
                <w:bCs/>
              </w:rPr>
            </w:pPr>
            <w:r w:rsidRPr="001F3600">
              <w:rPr>
                <w:b/>
                <w:bCs/>
              </w:rPr>
              <w:t>MILESTONE</w:t>
            </w:r>
            <w:r w:rsidR="0031685C" w:rsidRPr="001F3600">
              <w:rPr>
                <w:b/>
                <w:bCs/>
              </w:rPr>
              <w:t xml:space="preserve"> </w:t>
            </w:r>
            <w:r w:rsidR="001F3600" w:rsidRPr="001F3600">
              <w:rPr>
                <w:b/>
                <w:bCs/>
              </w:rPr>
              <w:t>I</w:t>
            </w:r>
          </w:p>
        </w:tc>
        <w:tc>
          <w:tcPr>
            <w:tcW w:w="2977" w:type="dxa"/>
            <w:shd w:val="clear" w:color="auto" w:fill="D9D9D9" w:themeFill="background1" w:themeFillShade="D9"/>
            <w:vAlign w:val="center"/>
          </w:tcPr>
          <w:p w14:paraId="4E946819" w14:textId="77777777" w:rsidR="0031685C" w:rsidRDefault="0031685C" w:rsidP="00835CB1">
            <w:pPr>
              <w:ind w:firstLine="0"/>
            </w:pPr>
          </w:p>
        </w:tc>
        <w:tc>
          <w:tcPr>
            <w:tcW w:w="4576" w:type="dxa"/>
            <w:shd w:val="clear" w:color="auto" w:fill="D9D9D9" w:themeFill="background1" w:themeFillShade="D9"/>
            <w:vAlign w:val="center"/>
          </w:tcPr>
          <w:p w14:paraId="2E6A7574" w14:textId="77777777" w:rsidR="0031685C" w:rsidRDefault="0031685C" w:rsidP="00B17119">
            <w:pPr>
              <w:ind w:firstLine="0"/>
              <w:jc w:val="right"/>
            </w:pPr>
            <w:r>
              <w:t xml:space="preserve">Decision </w:t>
            </w:r>
            <w:r w:rsidR="00F25524">
              <w:t>on</w:t>
            </w:r>
            <w:r w:rsidR="00B17119">
              <w:t xml:space="preserve"> the</w:t>
            </w:r>
            <w:r>
              <w:t xml:space="preserve"> most suitable</w:t>
            </w:r>
            <w:r w:rsidR="00B17119">
              <w:t xml:space="preserve"> variable </w:t>
            </w:r>
            <w:r w:rsidR="00F25524">
              <w:t>for further analysis</w:t>
            </w:r>
            <w:r w:rsidR="009C2ACD">
              <w:t>, based</w:t>
            </w:r>
            <w:r w:rsidR="008C0C9C">
              <w:t xml:space="preserve"> on the EOF analyse results</w:t>
            </w:r>
            <w:r w:rsidR="00B17119">
              <w:t xml:space="preserve"> </w:t>
            </w:r>
          </w:p>
        </w:tc>
      </w:tr>
      <w:tr w:rsidR="0031685C" w14:paraId="3EE09BDB" w14:textId="77777777" w:rsidTr="009C2ACD">
        <w:trPr>
          <w:trHeight w:val="737"/>
        </w:trPr>
        <w:tc>
          <w:tcPr>
            <w:tcW w:w="1843" w:type="dxa"/>
            <w:vAlign w:val="center"/>
          </w:tcPr>
          <w:p w14:paraId="445A3836" w14:textId="3F5EDD15" w:rsidR="0031685C" w:rsidRPr="00AA1692" w:rsidRDefault="00826947" w:rsidP="00835CB1">
            <w:pPr>
              <w:ind w:firstLine="0"/>
              <w:rPr>
                <w:b/>
                <w:bCs/>
              </w:rPr>
            </w:pPr>
            <w:r>
              <w:rPr>
                <w:b/>
                <w:bCs/>
              </w:rPr>
              <w:t>12.10</w:t>
            </w:r>
            <w:r w:rsidR="00813EF7">
              <w:rPr>
                <w:b/>
                <w:bCs/>
              </w:rPr>
              <w:t>.</w:t>
            </w:r>
            <w:r>
              <w:rPr>
                <w:b/>
                <w:bCs/>
              </w:rPr>
              <w:t xml:space="preserve"> – 01.12</w:t>
            </w:r>
            <w:r w:rsidR="00813EF7">
              <w:rPr>
                <w:b/>
                <w:bCs/>
              </w:rPr>
              <w:t>.</w:t>
            </w:r>
          </w:p>
        </w:tc>
        <w:tc>
          <w:tcPr>
            <w:tcW w:w="2977" w:type="dxa"/>
            <w:vAlign w:val="center"/>
          </w:tcPr>
          <w:p w14:paraId="542B57C4" w14:textId="77777777" w:rsidR="0031685C" w:rsidRDefault="0031685C" w:rsidP="00835CB1">
            <w:pPr>
              <w:ind w:firstLine="0"/>
            </w:pPr>
          </w:p>
        </w:tc>
        <w:tc>
          <w:tcPr>
            <w:tcW w:w="4576" w:type="dxa"/>
            <w:vAlign w:val="center"/>
          </w:tcPr>
          <w:p w14:paraId="1DD2E67A" w14:textId="77777777" w:rsidR="0031685C" w:rsidRDefault="00692467" w:rsidP="00B17119">
            <w:pPr>
              <w:ind w:firstLine="0"/>
              <w:jc w:val="right"/>
            </w:pPr>
            <w:r>
              <w:t>Attribute</w:t>
            </w:r>
            <w:r w:rsidR="00B17119">
              <w:t xml:space="preserve"> </w:t>
            </w:r>
            <w:r w:rsidR="00847BDB">
              <w:t>and process</w:t>
            </w:r>
            <w:r w:rsidR="00B17119">
              <w:t xml:space="preserve"> capacity factors </w:t>
            </w:r>
          </w:p>
        </w:tc>
      </w:tr>
      <w:tr w:rsidR="0031685C" w14:paraId="4A00A22C" w14:textId="77777777" w:rsidTr="009C2ACD">
        <w:trPr>
          <w:trHeight w:val="737"/>
        </w:trPr>
        <w:tc>
          <w:tcPr>
            <w:tcW w:w="1843" w:type="dxa"/>
            <w:vAlign w:val="center"/>
          </w:tcPr>
          <w:p w14:paraId="49C7E99D" w14:textId="35545535" w:rsidR="0031685C" w:rsidRPr="00AA1692" w:rsidRDefault="00826947" w:rsidP="00835CB1">
            <w:pPr>
              <w:ind w:firstLine="0"/>
              <w:rPr>
                <w:b/>
                <w:bCs/>
              </w:rPr>
            </w:pPr>
            <w:r>
              <w:rPr>
                <w:b/>
                <w:bCs/>
              </w:rPr>
              <w:t>01.12. – 31.12</w:t>
            </w:r>
            <w:r w:rsidR="00813EF7">
              <w:rPr>
                <w:b/>
                <w:bCs/>
              </w:rPr>
              <w:t>.</w:t>
            </w:r>
          </w:p>
        </w:tc>
        <w:tc>
          <w:tcPr>
            <w:tcW w:w="2977" w:type="dxa"/>
            <w:vAlign w:val="center"/>
          </w:tcPr>
          <w:p w14:paraId="155A09B3" w14:textId="77777777" w:rsidR="0031685C" w:rsidRDefault="0031685C" w:rsidP="00835CB1">
            <w:pPr>
              <w:ind w:firstLine="0"/>
            </w:pPr>
          </w:p>
        </w:tc>
        <w:tc>
          <w:tcPr>
            <w:tcW w:w="4576" w:type="dxa"/>
            <w:vAlign w:val="center"/>
          </w:tcPr>
          <w:p w14:paraId="3A32CD74" w14:textId="77777777" w:rsidR="0031685C" w:rsidRDefault="001F3600" w:rsidP="00B17119">
            <w:pPr>
              <w:ind w:firstLine="0"/>
              <w:jc w:val="right"/>
            </w:pPr>
            <w:r>
              <w:t>Evaluate</w:t>
            </w:r>
            <w:r w:rsidR="00B17119">
              <w:t xml:space="preserve"> current multiday </w:t>
            </w:r>
            <w:r w:rsidR="00AA1692">
              <w:t xml:space="preserve">PV power output </w:t>
            </w:r>
            <w:r w:rsidR="00B17119">
              <w:t xml:space="preserve">variability </w:t>
            </w:r>
            <w:r w:rsidR="00847BDB">
              <w:t>in</w:t>
            </w:r>
            <w:r w:rsidR="00B17119">
              <w:t xml:space="preserve"> Europe</w:t>
            </w:r>
          </w:p>
        </w:tc>
      </w:tr>
      <w:tr w:rsidR="0031685C" w14:paraId="78E5E2FF" w14:textId="77777777" w:rsidTr="009C2ACD">
        <w:trPr>
          <w:trHeight w:val="737"/>
        </w:trPr>
        <w:tc>
          <w:tcPr>
            <w:tcW w:w="1843" w:type="dxa"/>
            <w:shd w:val="clear" w:color="auto" w:fill="D9D9D9" w:themeFill="background1" w:themeFillShade="D9"/>
            <w:vAlign w:val="center"/>
          </w:tcPr>
          <w:p w14:paraId="155A5352" w14:textId="77777777" w:rsidR="0031685C" w:rsidRPr="00AA1692" w:rsidRDefault="00AA1692" w:rsidP="00835CB1">
            <w:pPr>
              <w:ind w:firstLine="0"/>
              <w:rPr>
                <w:b/>
                <w:bCs/>
              </w:rPr>
            </w:pPr>
            <w:r w:rsidRPr="00AA1692">
              <w:rPr>
                <w:b/>
                <w:bCs/>
              </w:rPr>
              <w:t xml:space="preserve">MILESTONE </w:t>
            </w:r>
            <w:r w:rsidR="001F3600" w:rsidRPr="001F3600">
              <w:rPr>
                <w:rFonts w:eastAsia="Arial Unicode MS"/>
                <w:b/>
                <w:bCs/>
              </w:rPr>
              <w:t>Ⅱ</w:t>
            </w:r>
          </w:p>
        </w:tc>
        <w:tc>
          <w:tcPr>
            <w:tcW w:w="2977" w:type="dxa"/>
            <w:shd w:val="clear" w:color="auto" w:fill="D9D9D9" w:themeFill="background1" w:themeFillShade="D9"/>
            <w:vAlign w:val="center"/>
          </w:tcPr>
          <w:p w14:paraId="453B2264" w14:textId="77777777" w:rsidR="0031685C" w:rsidRDefault="0031685C" w:rsidP="00835CB1">
            <w:pPr>
              <w:ind w:firstLine="0"/>
            </w:pPr>
          </w:p>
        </w:tc>
        <w:tc>
          <w:tcPr>
            <w:tcW w:w="4576" w:type="dxa"/>
            <w:shd w:val="clear" w:color="auto" w:fill="D9D9D9" w:themeFill="background1" w:themeFillShade="D9"/>
            <w:vAlign w:val="center"/>
          </w:tcPr>
          <w:p w14:paraId="08A3399D" w14:textId="77777777" w:rsidR="0031685C" w:rsidRDefault="00AA1692" w:rsidP="00B17119">
            <w:pPr>
              <w:ind w:firstLine="0"/>
              <w:jc w:val="right"/>
            </w:pPr>
            <w:r>
              <w:t>Overview of current situation in Europe</w:t>
            </w:r>
          </w:p>
        </w:tc>
      </w:tr>
      <w:tr w:rsidR="0031685C" w14:paraId="6CA478EA" w14:textId="77777777" w:rsidTr="009C2ACD">
        <w:trPr>
          <w:trHeight w:val="737"/>
        </w:trPr>
        <w:tc>
          <w:tcPr>
            <w:tcW w:w="1843" w:type="dxa"/>
            <w:vAlign w:val="center"/>
          </w:tcPr>
          <w:p w14:paraId="26423BDC" w14:textId="12CC5C82" w:rsidR="0031685C" w:rsidRPr="00AA1692" w:rsidRDefault="00826947" w:rsidP="00835CB1">
            <w:pPr>
              <w:ind w:firstLine="0"/>
              <w:rPr>
                <w:b/>
                <w:bCs/>
              </w:rPr>
            </w:pPr>
            <w:r>
              <w:rPr>
                <w:b/>
                <w:bCs/>
              </w:rPr>
              <w:t>01.01</w:t>
            </w:r>
            <w:r w:rsidR="00813EF7">
              <w:rPr>
                <w:b/>
                <w:bCs/>
              </w:rPr>
              <w:t>.</w:t>
            </w:r>
            <w:r>
              <w:rPr>
                <w:b/>
                <w:bCs/>
              </w:rPr>
              <w:t xml:space="preserve"> – 28.02</w:t>
            </w:r>
            <w:r w:rsidR="00813EF7">
              <w:rPr>
                <w:b/>
                <w:bCs/>
              </w:rPr>
              <w:t>.</w:t>
            </w:r>
          </w:p>
        </w:tc>
        <w:tc>
          <w:tcPr>
            <w:tcW w:w="2977" w:type="dxa"/>
            <w:vAlign w:val="center"/>
          </w:tcPr>
          <w:p w14:paraId="55FF3E10" w14:textId="77777777" w:rsidR="0031685C" w:rsidRDefault="0031685C" w:rsidP="00835CB1">
            <w:pPr>
              <w:ind w:firstLine="0"/>
            </w:pPr>
          </w:p>
        </w:tc>
        <w:tc>
          <w:tcPr>
            <w:tcW w:w="4576" w:type="dxa"/>
            <w:vAlign w:val="center"/>
          </w:tcPr>
          <w:p w14:paraId="3BFCCF2B" w14:textId="77777777" w:rsidR="0031685C" w:rsidRDefault="000F75AB" w:rsidP="00B17119">
            <w:pPr>
              <w:ind w:firstLine="0"/>
              <w:jc w:val="right"/>
            </w:pPr>
            <w:r>
              <w:t xml:space="preserve"> Assess </w:t>
            </w:r>
            <w:r w:rsidR="00AA1692">
              <w:t>future installed</w:t>
            </w:r>
            <w:r w:rsidR="00344B8E">
              <w:t xml:space="preserve"> PV</w:t>
            </w:r>
            <w:r w:rsidR="00AA1692">
              <w:t xml:space="preserve"> capacity per country </w:t>
            </w:r>
            <w:r>
              <w:t xml:space="preserve">to reduce </w:t>
            </w:r>
            <w:r w:rsidR="00101BBF">
              <w:t>variability</w:t>
            </w:r>
            <w:r>
              <w:t xml:space="preserve"> in Europe</w:t>
            </w:r>
          </w:p>
        </w:tc>
      </w:tr>
      <w:tr w:rsidR="00D73483" w14:paraId="30C5A59A" w14:textId="77777777" w:rsidTr="009C2ACD">
        <w:trPr>
          <w:trHeight w:val="737"/>
        </w:trPr>
        <w:tc>
          <w:tcPr>
            <w:tcW w:w="1843" w:type="dxa"/>
            <w:shd w:val="clear" w:color="auto" w:fill="D9D9D9" w:themeFill="background1" w:themeFillShade="D9"/>
            <w:vAlign w:val="center"/>
          </w:tcPr>
          <w:p w14:paraId="7CBF901B" w14:textId="77777777" w:rsidR="00D73483" w:rsidRPr="00AA1692" w:rsidRDefault="00D73483" w:rsidP="00835CB1">
            <w:pPr>
              <w:ind w:firstLine="0"/>
              <w:rPr>
                <w:b/>
                <w:bCs/>
              </w:rPr>
            </w:pPr>
            <w:r>
              <w:rPr>
                <w:b/>
                <w:bCs/>
              </w:rPr>
              <w:t xml:space="preserve">MILESTONE </w:t>
            </w:r>
            <w:r w:rsidR="001F3600" w:rsidRPr="001F3600">
              <w:rPr>
                <w:rFonts w:eastAsia="Arial Unicode MS"/>
                <w:b/>
                <w:bCs/>
              </w:rPr>
              <w:t>Ⅲ</w:t>
            </w:r>
          </w:p>
        </w:tc>
        <w:tc>
          <w:tcPr>
            <w:tcW w:w="2977" w:type="dxa"/>
            <w:shd w:val="clear" w:color="auto" w:fill="D9D9D9" w:themeFill="background1" w:themeFillShade="D9"/>
            <w:vAlign w:val="center"/>
          </w:tcPr>
          <w:p w14:paraId="5C08599D" w14:textId="77777777" w:rsidR="00D73483" w:rsidRDefault="00D73483" w:rsidP="00835CB1">
            <w:pPr>
              <w:ind w:firstLine="0"/>
            </w:pPr>
          </w:p>
        </w:tc>
        <w:tc>
          <w:tcPr>
            <w:tcW w:w="4576" w:type="dxa"/>
            <w:shd w:val="clear" w:color="auto" w:fill="D9D9D9" w:themeFill="background1" w:themeFillShade="D9"/>
            <w:vAlign w:val="center"/>
          </w:tcPr>
          <w:p w14:paraId="4762B4FA" w14:textId="77777777" w:rsidR="00D73483" w:rsidRDefault="002422C2" w:rsidP="00B17119">
            <w:pPr>
              <w:ind w:firstLine="0"/>
              <w:jc w:val="right"/>
            </w:pPr>
            <w:r>
              <w:t>Result for potential future PV installed capacity in Europe / W</w:t>
            </w:r>
            <w:r w:rsidR="00D73483">
              <w:t>ork on data completed</w:t>
            </w:r>
          </w:p>
        </w:tc>
      </w:tr>
      <w:tr w:rsidR="00D73483" w14:paraId="0AC3B282" w14:textId="77777777" w:rsidTr="009C2ACD">
        <w:trPr>
          <w:trHeight w:val="737"/>
        </w:trPr>
        <w:tc>
          <w:tcPr>
            <w:tcW w:w="1843" w:type="dxa"/>
            <w:vAlign w:val="center"/>
          </w:tcPr>
          <w:p w14:paraId="296EC310" w14:textId="051DA545" w:rsidR="00D73483" w:rsidRPr="00AA1692" w:rsidRDefault="00826947" w:rsidP="00835CB1">
            <w:pPr>
              <w:ind w:firstLine="0"/>
              <w:rPr>
                <w:b/>
                <w:bCs/>
              </w:rPr>
            </w:pPr>
            <w:r>
              <w:rPr>
                <w:b/>
                <w:bCs/>
              </w:rPr>
              <w:t>24.08</w:t>
            </w:r>
            <w:r w:rsidR="00813EF7">
              <w:rPr>
                <w:b/>
                <w:bCs/>
              </w:rPr>
              <w:t>.</w:t>
            </w:r>
            <w:r>
              <w:rPr>
                <w:b/>
                <w:bCs/>
              </w:rPr>
              <w:t xml:space="preserve"> – 06.03</w:t>
            </w:r>
            <w:r w:rsidR="00813EF7">
              <w:rPr>
                <w:b/>
                <w:bCs/>
              </w:rPr>
              <w:t>.</w:t>
            </w:r>
          </w:p>
        </w:tc>
        <w:tc>
          <w:tcPr>
            <w:tcW w:w="2977" w:type="dxa"/>
            <w:vAlign w:val="center"/>
          </w:tcPr>
          <w:p w14:paraId="193E068B" w14:textId="77777777" w:rsidR="00D73483" w:rsidRDefault="00D73483" w:rsidP="00835CB1">
            <w:pPr>
              <w:ind w:firstLine="0"/>
            </w:pPr>
          </w:p>
        </w:tc>
        <w:tc>
          <w:tcPr>
            <w:tcW w:w="4576" w:type="dxa"/>
            <w:vAlign w:val="center"/>
          </w:tcPr>
          <w:p w14:paraId="7B8DD224" w14:textId="77777777" w:rsidR="00D73483" w:rsidRDefault="00D73483" w:rsidP="00B17119">
            <w:pPr>
              <w:ind w:firstLine="0"/>
              <w:jc w:val="right"/>
            </w:pPr>
            <w:r>
              <w:t>Write master thesis</w:t>
            </w:r>
          </w:p>
        </w:tc>
      </w:tr>
      <w:tr w:rsidR="001F3600" w14:paraId="16392DD4" w14:textId="77777777" w:rsidTr="009C2ACD">
        <w:trPr>
          <w:trHeight w:val="737"/>
        </w:trPr>
        <w:tc>
          <w:tcPr>
            <w:tcW w:w="1843" w:type="dxa"/>
            <w:shd w:val="clear" w:color="auto" w:fill="D9D9D9" w:themeFill="background1" w:themeFillShade="D9"/>
            <w:vAlign w:val="center"/>
          </w:tcPr>
          <w:p w14:paraId="10A3C96C" w14:textId="77777777" w:rsidR="001F3600" w:rsidRPr="00AA1692" w:rsidRDefault="001F3600" w:rsidP="00BE2E6B">
            <w:pPr>
              <w:ind w:firstLine="0"/>
              <w:rPr>
                <w:b/>
                <w:bCs/>
              </w:rPr>
            </w:pPr>
            <w:r>
              <w:rPr>
                <w:b/>
                <w:bCs/>
              </w:rPr>
              <w:t xml:space="preserve">MILESTONE </w:t>
            </w:r>
            <w:r w:rsidRPr="0006393A">
              <w:rPr>
                <w:b/>
                <w:bCs/>
              </w:rPr>
              <w:t>IV</w:t>
            </w:r>
          </w:p>
        </w:tc>
        <w:tc>
          <w:tcPr>
            <w:tcW w:w="2977" w:type="dxa"/>
            <w:shd w:val="clear" w:color="auto" w:fill="D9D9D9" w:themeFill="background1" w:themeFillShade="D9"/>
            <w:vAlign w:val="center"/>
          </w:tcPr>
          <w:p w14:paraId="7672DD71" w14:textId="77777777" w:rsidR="001F3600" w:rsidRDefault="001F3600" w:rsidP="00BE2E6B">
            <w:pPr>
              <w:ind w:firstLine="0"/>
            </w:pPr>
          </w:p>
        </w:tc>
        <w:tc>
          <w:tcPr>
            <w:tcW w:w="4576" w:type="dxa"/>
            <w:shd w:val="clear" w:color="auto" w:fill="D9D9D9" w:themeFill="background1" w:themeFillShade="D9"/>
            <w:vAlign w:val="center"/>
          </w:tcPr>
          <w:p w14:paraId="2FA63482" w14:textId="77777777" w:rsidR="001F3600" w:rsidRDefault="00692467" w:rsidP="00BE2E6B">
            <w:pPr>
              <w:ind w:firstLine="0"/>
              <w:jc w:val="right"/>
            </w:pPr>
            <w:r>
              <w:t>Submit master thesis</w:t>
            </w:r>
          </w:p>
        </w:tc>
      </w:tr>
      <w:tr w:rsidR="00101BBF" w14:paraId="2B638B3B" w14:textId="77777777" w:rsidTr="009C2ACD">
        <w:trPr>
          <w:trHeight w:val="737"/>
        </w:trPr>
        <w:tc>
          <w:tcPr>
            <w:tcW w:w="1843" w:type="dxa"/>
            <w:vAlign w:val="center"/>
          </w:tcPr>
          <w:p w14:paraId="2A9FE640" w14:textId="615B866C" w:rsidR="00101BBF" w:rsidRPr="00AA1692" w:rsidRDefault="00826947" w:rsidP="00835CB1">
            <w:pPr>
              <w:ind w:firstLine="0"/>
              <w:rPr>
                <w:b/>
                <w:bCs/>
              </w:rPr>
            </w:pPr>
            <w:r>
              <w:rPr>
                <w:b/>
                <w:bCs/>
              </w:rPr>
              <w:t>06.03</w:t>
            </w:r>
            <w:r w:rsidR="00813EF7">
              <w:rPr>
                <w:b/>
                <w:bCs/>
              </w:rPr>
              <w:t>.</w:t>
            </w:r>
            <w:r>
              <w:rPr>
                <w:b/>
                <w:bCs/>
              </w:rPr>
              <w:t xml:space="preserve"> </w:t>
            </w:r>
            <w:r w:rsidR="00F45DA7">
              <w:rPr>
                <w:b/>
                <w:bCs/>
              </w:rPr>
              <w:t>–</w:t>
            </w:r>
            <w:r>
              <w:rPr>
                <w:b/>
                <w:bCs/>
              </w:rPr>
              <w:t xml:space="preserve"> 3</w:t>
            </w:r>
            <w:r w:rsidR="00F45DA7">
              <w:rPr>
                <w:b/>
                <w:bCs/>
              </w:rPr>
              <w:t>1.03</w:t>
            </w:r>
            <w:r w:rsidR="00813EF7">
              <w:rPr>
                <w:b/>
                <w:bCs/>
              </w:rPr>
              <w:t>.</w:t>
            </w:r>
          </w:p>
        </w:tc>
        <w:tc>
          <w:tcPr>
            <w:tcW w:w="2977" w:type="dxa"/>
            <w:vAlign w:val="center"/>
          </w:tcPr>
          <w:p w14:paraId="5350DC9F" w14:textId="77777777" w:rsidR="00101BBF" w:rsidRDefault="00101BBF" w:rsidP="00835CB1">
            <w:pPr>
              <w:ind w:firstLine="0"/>
            </w:pPr>
          </w:p>
        </w:tc>
        <w:tc>
          <w:tcPr>
            <w:tcW w:w="4576" w:type="dxa"/>
            <w:vAlign w:val="center"/>
          </w:tcPr>
          <w:p w14:paraId="602CA284" w14:textId="77777777" w:rsidR="00101BBF" w:rsidRDefault="00101BBF" w:rsidP="00B17119">
            <w:pPr>
              <w:ind w:firstLine="0"/>
              <w:jc w:val="right"/>
            </w:pPr>
            <w:r>
              <w:t>Review and correction</w:t>
            </w:r>
            <w:r w:rsidR="00433542">
              <w:t>s</w:t>
            </w:r>
          </w:p>
        </w:tc>
      </w:tr>
      <w:tr w:rsidR="00101BBF" w14:paraId="4FA85A71" w14:textId="77777777" w:rsidTr="009C2ACD">
        <w:trPr>
          <w:trHeight w:val="794"/>
        </w:trPr>
        <w:tc>
          <w:tcPr>
            <w:tcW w:w="1843" w:type="dxa"/>
            <w:vAlign w:val="center"/>
          </w:tcPr>
          <w:p w14:paraId="24E111C7" w14:textId="77777777" w:rsidR="00101BBF" w:rsidRPr="00AA1692" w:rsidRDefault="00101BBF" w:rsidP="00835CB1">
            <w:pPr>
              <w:ind w:firstLine="0"/>
              <w:rPr>
                <w:b/>
                <w:bCs/>
              </w:rPr>
            </w:pPr>
          </w:p>
        </w:tc>
        <w:tc>
          <w:tcPr>
            <w:tcW w:w="2977" w:type="dxa"/>
            <w:vAlign w:val="center"/>
          </w:tcPr>
          <w:p w14:paraId="6973D3BC" w14:textId="77777777" w:rsidR="00101BBF" w:rsidRDefault="00101BBF" w:rsidP="00835CB1">
            <w:pPr>
              <w:ind w:firstLine="0"/>
            </w:pPr>
          </w:p>
        </w:tc>
        <w:tc>
          <w:tcPr>
            <w:tcW w:w="4576" w:type="dxa"/>
            <w:vAlign w:val="center"/>
          </w:tcPr>
          <w:p w14:paraId="1B8EC856" w14:textId="77777777" w:rsidR="00101BBF" w:rsidRDefault="00101BBF" w:rsidP="00B17119">
            <w:pPr>
              <w:ind w:firstLine="0"/>
              <w:jc w:val="right"/>
            </w:pPr>
          </w:p>
        </w:tc>
      </w:tr>
    </w:tbl>
    <w:p w14:paraId="08A27AAB" w14:textId="77777777" w:rsidR="00835CB1" w:rsidRDefault="00835CB1">
      <w:pPr>
        <w:spacing w:after="160" w:line="259" w:lineRule="auto"/>
        <w:ind w:firstLine="0"/>
        <w:jc w:val="left"/>
        <w:rPr>
          <w:rFonts w:eastAsiaTheme="majorEastAsia" w:cstheme="majorBidi"/>
          <w:b/>
          <w:sz w:val="26"/>
          <w:szCs w:val="26"/>
        </w:rPr>
      </w:pPr>
      <w:r>
        <w:br w:type="page"/>
      </w:r>
    </w:p>
    <w:p w14:paraId="5C48AEE3" w14:textId="77777777" w:rsidR="009771B5" w:rsidRDefault="008E3835" w:rsidP="00F116C6">
      <w:pPr>
        <w:pStyle w:val="berschrift1"/>
      </w:pPr>
      <w:bookmarkStart w:id="45" w:name="_Toc41830562"/>
      <w:r w:rsidRPr="003327A0">
        <w:lastRenderedPageBreak/>
        <w:t>References</w:t>
      </w:r>
      <w:bookmarkEnd w:id="45"/>
    </w:p>
    <w:p w14:paraId="1C2F9658" w14:textId="1E13C7E8" w:rsidR="006A692C" w:rsidRPr="006A692C" w:rsidRDefault="00F116C6" w:rsidP="006A692C">
      <w:pPr>
        <w:widowControl w:val="0"/>
        <w:autoSpaceDE w:val="0"/>
        <w:autoSpaceDN w:val="0"/>
        <w:adjustRightInd w:val="0"/>
        <w:spacing w:after="120" w:line="240" w:lineRule="auto"/>
        <w:rPr>
          <w:noProof/>
          <w:sz w:val="18"/>
          <w:szCs w:val="24"/>
        </w:rPr>
      </w:pPr>
      <w:r>
        <w:fldChar w:fldCharType="begin" w:fldLock="1"/>
      </w:r>
      <w:r>
        <w:instrText xml:space="preserve">ADDIN Mendeley Bibliography CSL_BIBLIOGRAPHY </w:instrText>
      </w:r>
      <w:r>
        <w:fldChar w:fldCharType="separate"/>
      </w:r>
      <w:r w:rsidR="006A692C" w:rsidRPr="006A692C">
        <w:rPr>
          <w:noProof/>
          <w:sz w:val="18"/>
          <w:szCs w:val="24"/>
        </w:rPr>
        <w:t xml:space="preserve">Cassou, C. (2008) ‘Intraseasonal interaction between the Madden-Julian Oscillation and the North Atlantic Oscillation’, </w:t>
      </w:r>
      <w:r w:rsidR="006A692C" w:rsidRPr="006A692C">
        <w:rPr>
          <w:i/>
          <w:iCs/>
          <w:noProof/>
          <w:sz w:val="18"/>
          <w:szCs w:val="24"/>
        </w:rPr>
        <w:t>Nature</w:t>
      </w:r>
      <w:r w:rsidR="006A692C" w:rsidRPr="006A692C">
        <w:rPr>
          <w:noProof/>
          <w:sz w:val="18"/>
          <w:szCs w:val="24"/>
        </w:rPr>
        <w:t>, 455(7212), pp. 523–527. doi: 10.1038/nature07286.</w:t>
      </w:r>
    </w:p>
    <w:p w14:paraId="68A77F30"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Dawson, A. (2016) ‘eofs: A Library for EOF Analysis of Meteorological, Oceanographic, and Climate Data’, </w:t>
      </w:r>
      <w:r w:rsidRPr="006A692C">
        <w:rPr>
          <w:i/>
          <w:iCs/>
          <w:noProof/>
          <w:sz w:val="18"/>
          <w:szCs w:val="24"/>
        </w:rPr>
        <w:t>Journal of Open Research Software</w:t>
      </w:r>
      <w:r w:rsidRPr="006A692C">
        <w:rPr>
          <w:noProof/>
          <w:sz w:val="18"/>
          <w:szCs w:val="24"/>
        </w:rPr>
        <w:t>, 4, pp. 4–7. doi: 10.5334/jors.122.</w:t>
      </w:r>
    </w:p>
    <w:p w14:paraId="7CC750BD"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Delucchi, M. A. and Jacobson, M. Z. (2011) ‘Providing all global energy with wind, water, and solar power, Part II: Reliability, system and transmission costs, and policies’, </w:t>
      </w:r>
      <w:r w:rsidRPr="006A692C">
        <w:rPr>
          <w:i/>
          <w:iCs/>
          <w:noProof/>
          <w:sz w:val="18"/>
          <w:szCs w:val="24"/>
        </w:rPr>
        <w:t>Energy Policy</w:t>
      </w:r>
      <w:r w:rsidRPr="006A692C">
        <w:rPr>
          <w:noProof/>
          <w:sz w:val="18"/>
          <w:szCs w:val="24"/>
        </w:rPr>
        <w:t>. Elsevier, 39(3), pp. 1170–1190. doi: 10.1016/j.enpol.2010.11.045.</w:t>
      </w:r>
    </w:p>
    <w:p w14:paraId="05716FFB"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Graabak, I. and Korpås, M. (2016) ‘Variability Characteristics of European Wind and Solar Power Resources—A Review’, </w:t>
      </w:r>
      <w:r w:rsidRPr="006A692C">
        <w:rPr>
          <w:i/>
          <w:iCs/>
          <w:noProof/>
          <w:sz w:val="18"/>
          <w:szCs w:val="24"/>
        </w:rPr>
        <w:t>Energies</w:t>
      </w:r>
      <w:r w:rsidRPr="006A692C">
        <w:rPr>
          <w:noProof/>
          <w:sz w:val="18"/>
          <w:szCs w:val="24"/>
        </w:rPr>
        <w:t>, 9(6), pp. 1–31. doi: 10.3390/en9060449.</w:t>
      </w:r>
    </w:p>
    <w:p w14:paraId="6BE19379"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Grams, C. M., Beerli, R., Pfenninger, S., Staffell, I. and Wernli, H. (2017) ‘Balancing Europe’s wind-power output through spatial deployment informed by weather regimes’, </w:t>
      </w:r>
      <w:r w:rsidRPr="006A692C">
        <w:rPr>
          <w:i/>
          <w:iCs/>
          <w:noProof/>
          <w:sz w:val="18"/>
          <w:szCs w:val="24"/>
        </w:rPr>
        <w:t>Nature Climate Change</w:t>
      </w:r>
      <w:r w:rsidRPr="006A692C">
        <w:rPr>
          <w:noProof/>
          <w:sz w:val="18"/>
          <w:szCs w:val="24"/>
        </w:rPr>
        <w:t>, 7(8), pp. 557–562. doi: 10.1038/NCLIMATE3338.</w:t>
      </w:r>
    </w:p>
    <w:p w14:paraId="47E37800"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Heide, D., von Bremen, L., Greiner, M., Hoffmann, C., Speckmann, M. and Bofinger, S. (2010) ‘Seasonal optimal mix of wind and solar power in a future, highly renewable Europe’, </w:t>
      </w:r>
      <w:r w:rsidRPr="006A692C">
        <w:rPr>
          <w:i/>
          <w:iCs/>
          <w:noProof/>
          <w:sz w:val="18"/>
          <w:szCs w:val="24"/>
        </w:rPr>
        <w:t>Renewable Energy</w:t>
      </w:r>
      <w:r w:rsidRPr="006A692C">
        <w:rPr>
          <w:noProof/>
          <w:sz w:val="18"/>
          <w:szCs w:val="24"/>
        </w:rPr>
        <w:t>, 35(11), pp. 2483–2489. doi: 10.1016/j.renene.2010.03.012.</w:t>
      </w:r>
    </w:p>
    <w:p w14:paraId="7C7F7954"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Hennermann, K. and Yang, X. (2018) </w:t>
      </w:r>
      <w:r w:rsidRPr="006A692C">
        <w:rPr>
          <w:i/>
          <w:iCs/>
          <w:noProof/>
          <w:sz w:val="18"/>
          <w:szCs w:val="24"/>
        </w:rPr>
        <w:t>ERA5 data documentation</w:t>
      </w:r>
      <w:r w:rsidRPr="006A692C">
        <w:rPr>
          <w:noProof/>
          <w:sz w:val="18"/>
          <w:szCs w:val="24"/>
        </w:rPr>
        <w:t xml:space="preserve">, </w:t>
      </w:r>
      <w:r w:rsidRPr="006A692C">
        <w:rPr>
          <w:i/>
          <w:iCs/>
          <w:noProof/>
          <w:sz w:val="18"/>
          <w:szCs w:val="24"/>
        </w:rPr>
        <w:t>European Centre for Medium-Range Weather Forecasts</w:t>
      </w:r>
      <w:r w:rsidRPr="006A692C">
        <w:rPr>
          <w:noProof/>
          <w:sz w:val="18"/>
          <w:szCs w:val="24"/>
        </w:rPr>
        <w:t>. Available at: https://confluence.ecmwf.int/display/CKB/ERA5+data+documentation (Accessed: 22 April 2020).</w:t>
      </w:r>
    </w:p>
    <w:p w14:paraId="415E89D8"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Huld, T., Gottschalg, R., Beyer, H. G. and Topič, M. (2010) ‘Mapping the performance of PV modules, effects of module type and data averaging’, </w:t>
      </w:r>
      <w:r w:rsidRPr="006A692C">
        <w:rPr>
          <w:i/>
          <w:iCs/>
          <w:noProof/>
          <w:sz w:val="18"/>
          <w:szCs w:val="24"/>
        </w:rPr>
        <w:t>Solar Energy</w:t>
      </w:r>
      <w:r w:rsidRPr="006A692C">
        <w:rPr>
          <w:noProof/>
          <w:sz w:val="18"/>
          <w:szCs w:val="24"/>
        </w:rPr>
        <w:t>, 84(2), pp. 324–338. doi: 10.1016/j.solener.2009.12.002.</w:t>
      </w:r>
    </w:p>
    <w:p w14:paraId="62DB06E6"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Hulme, M. (2016) ‘1.5 °C and climate research after the Paris Agreement’, </w:t>
      </w:r>
      <w:r w:rsidRPr="006A692C">
        <w:rPr>
          <w:i/>
          <w:iCs/>
          <w:noProof/>
          <w:sz w:val="18"/>
          <w:szCs w:val="24"/>
        </w:rPr>
        <w:t>Nature Climate Change</w:t>
      </w:r>
      <w:r w:rsidRPr="006A692C">
        <w:rPr>
          <w:noProof/>
          <w:sz w:val="18"/>
          <w:szCs w:val="24"/>
        </w:rPr>
        <w:t>. Nature Publishing Group, 6(3), pp. 222–224. doi: 10.1038/nclimate2939.</w:t>
      </w:r>
    </w:p>
    <w:p w14:paraId="07A480D2"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Jäger-Waldau, A. (2019) </w:t>
      </w:r>
      <w:r w:rsidRPr="006A692C">
        <w:rPr>
          <w:i/>
          <w:iCs/>
          <w:noProof/>
          <w:sz w:val="18"/>
          <w:szCs w:val="24"/>
        </w:rPr>
        <w:t>PV Status Report 2019</w:t>
      </w:r>
      <w:r w:rsidRPr="006A692C">
        <w:rPr>
          <w:noProof/>
          <w:sz w:val="18"/>
          <w:szCs w:val="24"/>
        </w:rPr>
        <w:t xml:space="preserve">, </w:t>
      </w:r>
      <w:r w:rsidRPr="006A692C">
        <w:rPr>
          <w:i/>
          <w:iCs/>
          <w:noProof/>
          <w:sz w:val="18"/>
          <w:szCs w:val="24"/>
        </w:rPr>
        <w:t>EUR 29938 EN, Publications Office of the European Union</w:t>
      </w:r>
      <w:r w:rsidRPr="006A692C">
        <w:rPr>
          <w:noProof/>
          <w:sz w:val="18"/>
          <w:szCs w:val="24"/>
        </w:rPr>
        <w:t>. Luxembourg. doi: 10.2760/326629.</w:t>
      </w:r>
    </w:p>
    <w:p w14:paraId="4CEEB4E8"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Lauret, P., Boland, J. and Ridley, B. (2013) ‘Bayesian statistical analysis applied to solar radiation modelling’, </w:t>
      </w:r>
      <w:r w:rsidRPr="006A692C">
        <w:rPr>
          <w:i/>
          <w:iCs/>
          <w:noProof/>
          <w:sz w:val="18"/>
          <w:szCs w:val="24"/>
        </w:rPr>
        <w:t>Renewable Energy</w:t>
      </w:r>
      <w:r w:rsidRPr="006A692C">
        <w:rPr>
          <w:noProof/>
          <w:sz w:val="18"/>
          <w:szCs w:val="24"/>
        </w:rPr>
        <w:t>, 49, pp. 124–127. doi: 10.1016/j.renene.2012.01.049.</w:t>
      </w:r>
    </w:p>
    <w:p w14:paraId="7C9F0018"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Michelangeli, P. A., Vautard, R. and Legras, B. (1995) ‘Weather regimes: recurrence and quasi stationarity’, </w:t>
      </w:r>
      <w:r w:rsidRPr="006A692C">
        <w:rPr>
          <w:i/>
          <w:iCs/>
          <w:noProof/>
          <w:sz w:val="18"/>
          <w:szCs w:val="24"/>
        </w:rPr>
        <w:t>Journal of the Atmospheric Sciences</w:t>
      </w:r>
      <w:r w:rsidRPr="006A692C">
        <w:rPr>
          <w:noProof/>
          <w:sz w:val="18"/>
          <w:szCs w:val="24"/>
        </w:rPr>
        <w:t>, pp. 1237–1256. doi: 10.1175/1520-0469(1995)052&lt;1237:WRRAQS&gt;2.0.CO;2.</w:t>
      </w:r>
    </w:p>
    <w:p w14:paraId="7AD3946C"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Mills, A. and Wiser, R. (2010) </w:t>
      </w:r>
      <w:r w:rsidRPr="006A692C">
        <w:rPr>
          <w:i/>
          <w:iCs/>
          <w:noProof/>
          <w:sz w:val="18"/>
          <w:szCs w:val="24"/>
        </w:rPr>
        <w:t>Implications of Wide-Area Geographic Diversity for Short- Term Variability of Solar Power</w:t>
      </w:r>
      <w:r w:rsidRPr="006A692C">
        <w:rPr>
          <w:noProof/>
          <w:sz w:val="18"/>
          <w:szCs w:val="24"/>
        </w:rPr>
        <w:t xml:space="preserve">, </w:t>
      </w:r>
      <w:r w:rsidRPr="006A692C">
        <w:rPr>
          <w:i/>
          <w:iCs/>
          <w:noProof/>
          <w:sz w:val="18"/>
          <w:szCs w:val="24"/>
        </w:rPr>
        <w:t>Energy</w:t>
      </w:r>
      <w:r w:rsidRPr="006A692C">
        <w:rPr>
          <w:noProof/>
          <w:sz w:val="18"/>
          <w:szCs w:val="24"/>
        </w:rPr>
        <w:t>. Berkeley, CA (United States). doi: 10.2172/986925.</w:t>
      </w:r>
    </w:p>
    <w:p w14:paraId="21F1EF3E"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Pedregosa, F., Varoquaux, G., Gramfort, A., Michel, V., Thirion, B., Grisel, O., Blondel, M., Prettenhofer, P., Weiss, R., Dubourg, V., Vanderplas, J., Passos, A., Cournapeau, D., Brucher, M., Perrot, M. and Duchesnay, E. (2011) ‘Scikit-learn: Machine Learning in {P}ython’, </w:t>
      </w:r>
      <w:r w:rsidRPr="006A692C">
        <w:rPr>
          <w:i/>
          <w:iCs/>
          <w:noProof/>
          <w:sz w:val="18"/>
          <w:szCs w:val="24"/>
        </w:rPr>
        <w:t>Journal of Machine Learning Research</w:t>
      </w:r>
      <w:r w:rsidRPr="006A692C">
        <w:rPr>
          <w:noProof/>
          <w:sz w:val="18"/>
          <w:szCs w:val="24"/>
        </w:rPr>
        <w:t>, 12, pp. 2825–2830.</w:t>
      </w:r>
    </w:p>
    <w:p w14:paraId="5973E8AD"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Pfenninger, S. and Staffell, I. (2016) ‘Long-term patterns of European PV output using 30 years of validated hourly reanalysis and satellite data’, </w:t>
      </w:r>
      <w:r w:rsidRPr="006A692C">
        <w:rPr>
          <w:i/>
          <w:iCs/>
          <w:noProof/>
          <w:sz w:val="18"/>
          <w:szCs w:val="24"/>
        </w:rPr>
        <w:t>Energy</w:t>
      </w:r>
      <w:r w:rsidRPr="006A692C">
        <w:rPr>
          <w:noProof/>
          <w:sz w:val="18"/>
          <w:szCs w:val="24"/>
        </w:rPr>
        <w:t>, 114, pp. 1251–1265. doi: 10.1016/j.energy.2016.08.060.</w:t>
      </w:r>
    </w:p>
    <w:p w14:paraId="4EB215CE"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Ram, M., Bogdanov, D., Aghahosseini, A., Oyewo, A., Gulagi, A., Child, M. and Fell, H.-J. (2019) ‘Global Energy System based on 100% Renewable Energy – Power, Heat, Transport and Desalination Sectors’, </w:t>
      </w:r>
      <w:r w:rsidRPr="006A692C">
        <w:rPr>
          <w:i/>
          <w:iCs/>
          <w:noProof/>
          <w:sz w:val="18"/>
          <w:szCs w:val="24"/>
        </w:rPr>
        <w:t>Study by Lappeenranta University of Technology and Energy Watch Group</w:t>
      </w:r>
      <w:r w:rsidRPr="006A692C">
        <w:rPr>
          <w:noProof/>
          <w:sz w:val="18"/>
          <w:szCs w:val="24"/>
        </w:rPr>
        <w:t>. Berlin, 1(March), pp. 1–321.</w:t>
      </w:r>
    </w:p>
    <w:p w14:paraId="20FB5B53"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Ridley, B., Boland, J. and Lauret, P. (2010) ‘Modelling of diffuse solar fraction with multiple predictors’, </w:t>
      </w:r>
      <w:r w:rsidRPr="006A692C">
        <w:rPr>
          <w:i/>
          <w:iCs/>
          <w:noProof/>
          <w:sz w:val="18"/>
          <w:szCs w:val="24"/>
        </w:rPr>
        <w:t>Renewable Energy</w:t>
      </w:r>
      <w:r w:rsidRPr="006A692C">
        <w:rPr>
          <w:noProof/>
          <w:sz w:val="18"/>
          <w:szCs w:val="24"/>
        </w:rPr>
        <w:t>, 35(2), pp. 478–483. doi: 10.1016/j.renene.2009.07.018.</w:t>
      </w:r>
    </w:p>
    <w:p w14:paraId="65EB50AC"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Santos-Alamillos, F. J., Pozo-Vázquez, D., Ruiz-Arias, J. A., Von Bremen, L. and Tovar-Pescador, J. (2015) ‘Combining wind farms with concentrating solar plants to provide stable renewable power’, </w:t>
      </w:r>
      <w:r w:rsidRPr="006A692C">
        <w:rPr>
          <w:i/>
          <w:iCs/>
          <w:noProof/>
          <w:sz w:val="18"/>
          <w:szCs w:val="24"/>
        </w:rPr>
        <w:t>Renewable Energy</w:t>
      </w:r>
      <w:r w:rsidRPr="006A692C">
        <w:rPr>
          <w:noProof/>
          <w:sz w:val="18"/>
          <w:szCs w:val="24"/>
        </w:rPr>
        <w:t>, 76(2015), pp. 539–550. doi: 10.1016/j.renene.2014.11.055.</w:t>
      </w:r>
    </w:p>
    <w:p w14:paraId="0F82C84E"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Stram, B. N. (2016) ‘Key challenges to expanding renewable energy’, </w:t>
      </w:r>
      <w:r w:rsidRPr="006A692C">
        <w:rPr>
          <w:i/>
          <w:iCs/>
          <w:noProof/>
          <w:sz w:val="18"/>
          <w:szCs w:val="24"/>
        </w:rPr>
        <w:t>Energy Policy</w:t>
      </w:r>
      <w:r w:rsidRPr="006A692C">
        <w:rPr>
          <w:noProof/>
          <w:sz w:val="18"/>
          <w:szCs w:val="24"/>
        </w:rPr>
        <w:t>, 96, pp. 728–734. doi: 10.1016/j.enpol.2016.05.034.</w:t>
      </w:r>
    </w:p>
    <w:p w14:paraId="274B0871"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Sweerts, B., Pfenninger, S., Yang, S., Folini, D., van der Zwaan, B. and Wild, M. (2019) ‘Estimation of losses in solar energy production from air pollution in China since 1960 using surface radiation data’, </w:t>
      </w:r>
      <w:r w:rsidRPr="006A692C">
        <w:rPr>
          <w:i/>
          <w:iCs/>
          <w:noProof/>
          <w:sz w:val="18"/>
          <w:szCs w:val="24"/>
        </w:rPr>
        <w:t>Nature Energy</w:t>
      </w:r>
      <w:r w:rsidRPr="006A692C">
        <w:rPr>
          <w:noProof/>
          <w:sz w:val="18"/>
          <w:szCs w:val="24"/>
        </w:rPr>
        <w:t>, 4(8), pp. 657–663. doi: 10.1038/s41560-019-0412-4.</w:t>
      </w:r>
    </w:p>
    <w:p w14:paraId="048FA20F"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Van Der Wiel, K., Bloomfield, H. C., Lee, R. W., Stoop, L. P., Blackport, R., Screen, J. A. and Selten, F. M. (2019) ‘The influence of weather regimes on European renewable energy production and demand’, </w:t>
      </w:r>
      <w:r w:rsidRPr="006A692C">
        <w:rPr>
          <w:i/>
          <w:iCs/>
          <w:noProof/>
          <w:sz w:val="18"/>
          <w:szCs w:val="24"/>
        </w:rPr>
        <w:t>Environmental Research Letters</w:t>
      </w:r>
      <w:r w:rsidRPr="006A692C">
        <w:rPr>
          <w:noProof/>
          <w:sz w:val="18"/>
          <w:szCs w:val="24"/>
        </w:rPr>
        <w:t xml:space="preserve">, 14(9). doi: </w:t>
      </w:r>
      <w:r w:rsidRPr="006A692C">
        <w:rPr>
          <w:noProof/>
          <w:sz w:val="18"/>
          <w:szCs w:val="24"/>
        </w:rPr>
        <w:lastRenderedPageBreak/>
        <w:t>10.1088/1748-9326/ab38d3.</w:t>
      </w:r>
    </w:p>
    <w:p w14:paraId="1548C61C" w14:textId="77777777" w:rsidR="006A692C" w:rsidRPr="006A692C" w:rsidRDefault="006A692C" w:rsidP="006A692C">
      <w:pPr>
        <w:widowControl w:val="0"/>
        <w:autoSpaceDE w:val="0"/>
        <w:autoSpaceDN w:val="0"/>
        <w:adjustRightInd w:val="0"/>
        <w:spacing w:after="120" w:line="240" w:lineRule="auto"/>
        <w:rPr>
          <w:noProof/>
          <w:sz w:val="18"/>
        </w:rPr>
      </w:pPr>
      <w:r w:rsidRPr="006A692C">
        <w:rPr>
          <w:noProof/>
          <w:sz w:val="18"/>
          <w:szCs w:val="24"/>
        </w:rPr>
        <w:t xml:space="preserve">Wild, M., Folini, D., Henschel, F., Fischer, N. and Müller, B. (2015) ‘Projections of long-term changes in solar radiation based on CMIP5 climate models and their influence on energy yields of photovoltaic systems’, </w:t>
      </w:r>
      <w:r w:rsidRPr="006A692C">
        <w:rPr>
          <w:i/>
          <w:iCs/>
          <w:noProof/>
          <w:sz w:val="18"/>
          <w:szCs w:val="24"/>
        </w:rPr>
        <w:t>Solar Energy</w:t>
      </w:r>
      <w:r w:rsidRPr="006A692C">
        <w:rPr>
          <w:noProof/>
          <w:sz w:val="18"/>
          <w:szCs w:val="24"/>
        </w:rPr>
        <w:t>, 116, pp. 12–24. doi: 10.1016/j.solener.2015.03.039.</w:t>
      </w:r>
    </w:p>
    <w:p w14:paraId="22748927" w14:textId="77777777" w:rsidR="00F116C6" w:rsidRPr="00F116C6" w:rsidRDefault="00F116C6" w:rsidP="002651A0">
      <w:pPr>
        <w:pStyle w:val="References"/>
      </w:pPr>
      <w:r>
        <w:fldChar w:fldCharType="end"/>
      </w:r>
    </w:p>
    <w:sectPr w:rsidR="00F116C6" w:rsidRPr="00F116C6" w:rsidSect="00182F6A">
      <w:headerReference w:type="default" r:id="rId14"/>
      <w:headerReference w:type="first" r:id="rId15"/>
      <w:pgSz w:w="12240" w:h="15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B2F56" w14:textId="77777777" w:rsidR="00F36F50" w:rsidRDefault="00F36F50" w:rsidP="00D26A32">
      <w:pPr>
        <w:spacing w:line="240" w:lineRule="auto"/>
      </w:pPr>
      <w:r>
        <w:separator/>
      </w:r>
    </w:p>
  </w:endnote>
  <w:endnote w:type="continuationSeparator" w:id="0">
    <w:p w14:paraId="0AA3A12B" w14:textId="77777777" w:rsidR="00F36F50" w:rsidRDefault="00F36F50" w:rsidP="00D26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5F952" w14:textId="77777777" w:rsidR="00F36F50" w:rsidRDefault="00F36F50" w:rsidP="00D26A32">
      <w:pPr>
        <w:spacing w:line="240" w:lineRule="auto"/>
      </w:pPr>
      <w:r>
        <w:separator/>
      </w:r>
    </w:p>
  </w:footnote>
  <w:footnote w:type="continuationSeparator" w:id="0">
    <w:p w14:paraId="5B03B3FD" w14:textId="77777777" w:rsidR="00F36F50" w:rsidRDefault="00F36F50" w:rsidP="00D26A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6DFB1" w14:textId="77777777" w:rsidR="0091754E" w:rsidRPr="001F40E5" w:rsidRDefault="0091754E">
    <w:pPr>
      <w:pStyle w:val="Kopfzeile"/>
      <w:rPr>
        <w:lang w:val="de-CH"/>
      </w:rPr>
    </w:pPr>
    <w:r>
      <w:ptab w:relativeTo="margin" w:alignment="center" w:leader="none"/>
    </w:r>
    <w:r>
      <w:ptab w:relativeTo="margin" w:alignment="right" w:leader="none"/>
    </w:r>
    <w:r>
      <w:fldChar w:fldCharType="begin"/>
    </w:r>
    <w:r>
      <w:instrText>PAGE   \* MERGEFORMAT</w:instrText>
    </w:r>
    <w:r>
      <w:fldChar w:fldCharType="separate"/>
    </w:r>
    <w:r>
      <w:rPr>
        <w:lang w:val="de-DE"/>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56D17" w14:textId="77777777" w:rsidR="0091754E" w:rsidRDefault="0091754E" w:rsidP="00A15F0B">
    <w:pPr>
      <w:pStyle w:val="Kopfzeile"/>
    </w:pPr>
    <w:r>
      <w:rPr>
        <w:noProof/>
      </w:rPr>
      <w:drawing>
        <wp:anchor distT="0" distB="0" distL="114300" distR="114300" simplePos="0" relativeHeight="251661312" behindDoc="0" locked="0" layoutInCell="1" allowOverlap="1" wp14:anchorId="67417AF5" wp14:editId="5616F2BA">
          <wp:simplePos x="0" y="0"/>
          <wp:positionH relativeFrom="margin">
            <wp:posOffset>2775585</wp:posOffset>
          </wp:positionH>
          <wp:positionV relativeFrom="margin">
            <wp:posOffset>-467833</wp:posOffset>
          </wp:positionV>
          <wp:extent cx="933450" cy="54038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6639" t="23777" r="18469" b="18986"/>
                  <a:stretch/>
                </pic:blipFill>
                <pic:spPr bwMode="auto">
                  <a:xfrm>
                    <a:off x="0" y="0"/>
                    <a:ext cx="933450" cy="5403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496AAEB9" wp14:editId="1CBDD14A">
          <wp:simplePos x="0" y="0"/>
          <wp:positionH relativeFrom="column">
            <wp:posOffset>4616450</wp:posOffset>
          </wp:positionH>
          <wp:positionV relativeFrom="paragraph">
            <wp:posOffset>36195</wp:posOffset>
          </wp:positionV>
          <wp:extent cx="1760220" cy="495300"/>
          <wp:effectExtent l="0" t="0" r="0" b="0"/>
          <wp:wrapSquare wrapText="bothSides"/>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760220" cy="4953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912D4CE" wp14:editId="227AC345">
          <wp:simplePos x="0" y="0"/>
          <wp:positionH relativeFrom="column">
            <wp:posOffset>-261620</wp:posOffset>
          </wp:positionH>
          <wp:positionV relativeFrom="paragraph">
            <wp:posOffset>64770</wp:posOffset>
          </wp:positionV>
          <wp:extent cx="2055495" cy="552450"/>
          <wp:effectExtent l="0" t="0" r="1905" b="0"/>
          <wp:wrapSquare wrapText="bothSides"/>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Lst>
                  </a:blip>
                  <a:stretch>
                    <a:fillRect/>
                  </a:stretch>
                </pic:blipFill>
                <pic:spPr>
                  <a:xfrm>
                    <a:off x="0" y="0"/>
                    <a:ext cx="2055495" cy="552450"/>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3BE6C99F" w14:textId="77777777" w:rsidR="0091754E" w:rsidRDefault="0091754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D36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A319DE"/>
    <w:multiLevelType w:val="hybridMultilevel"/>
    <w:tmpl w:val="457E71A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A6A3E5F"/>
    <w:multiLevelType w:val="hybridMultilevel"/>
    <w:tmpl w:val="0CE8735A"/>
    <w:lvl w:ilvl="0" w:tplc="AAE488DE">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DEA7C19"/>
    <w:multiLevelType w:val="multilevel"/>
    <w:tmpl w:val="4BEC224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0E922A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B929D1"/>
    <w:multiLevelType w:val="multilevel"/>
    <w:tmpl w:val="57387C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793129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0E759DD"/>
    <w:multiLevelType w:val="multilevel"/>
    <w:tmpl w:val="7B4484F8"/>
    <w:lvl w:ilvl="0">
      <w:start w:val="1"/>
      <w:numFmt w:val="decimal"/>
      <w:pStyle w:val="berschrift1"/>
      <w:lvlText w:val="%1."/>
      <w:lvlJc w:val="left"/>
      <w:pPr>
        <w:ind w:left="360" w:hanging="360"/>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35430CF7"/>
    <w:multiLevelType w:val="hybridMultilevel"/>
    <w:tmpl w:val="1B3AC48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3D5773DF"/>
    <w:multiLevelType w:val="multilevel"/>
    <w:tmpl w:val="F5A6AB2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3E606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1314B5"/>
    <w:multiLevelType w:val="multilevel"/>
    <w:tmpl w:val="14AAFE00"/>
    <w:lvl w:ilvl="0">
      <w:start w:val="11"/>
      <w:numFmt w:val="bullet"/>
      <w:lvlText w:val="-"/>
      <w:lvlJc w:val="left"/>
      <w:pPr>
        <w:ind w:left="1080" w:hanging="36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2" w15:restartNumberingAfterBreak="0">
    <w:nsid w:val="552D78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C062E9A"/>
    <w:multiLevelType w:val="multilevel"/>
    <w:tmpl w:val="F98403D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66726504"/>
    <w:multiLevelType w:val="hybridMultilevel"/>
    <w:tmpl w:val="07DCD42C"/>
    <w:lvl w:ilvl="0" w:tplc="A1F0E0D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8C10D13"/>
    <w:multiLevelType w:val="multilevel"/>
    <w:tmpl w:val="6DD275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F2644D4"/>
    <w:multiLevelType w:val="hybridMultilevel"/>
    <w:tmpl w:val="E08E2E34"/>
    <w:lvl w:ilvl="0" w:tplc="904417A8">
      <w:start w:val="11"/>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0"/>
  </w:num>
  <w:num w:numId="2">
    <w:abstractNumId w:val="14"/>
  </w:num>
  <w:num w:numId="3">
    <w:abstractNumId w:val="7"/>
  </w:num>
  <w:num w:numId="4">
    <w:abstractNumId w:val="4"/>
  </w:num>
  <w:num w:numId="5">
    <w:abstractNumId w:val="0"/>
  </w:num>
  <w:num w:numId="6">
    <w:abstractNumId w:val="5"/>
  </w:num>
  <w:num w:numId="7">
    <w:abstractNumId w:val="15"/>
  </w:num>
  <w:num w:numId="8">
    <w:abstractNumId w:val="12"/>
  </w:num>
  <w:num w:numId="9">
    <w:abstractNumId w:val="9"/>
  </w:num>
  <w:num w:numId="10">
    <w:abstractNumId w:val="6"/>
  </w:num>
  <w:num w:numId="11">
    <w:abstractNumId w:val="2"/>
  </w:num>
  <w:num w:numId="12">
    <w:abstractNumId w:val="1"/>
  </w:num>
  <w:num w:numId="13">
    <w:abstractNumId w:val="8"/>
  </w:num>
  <w:num w:numId="14">
    <w:abstractNumId w:val="16"/>
  </w:num>
  <w:num w:numId="15">
    <w:abstractNumId w:val="13"/>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34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848"/>
    <w:rsid w:val="00000D65"/>
    <w:rsid w:val="000023E4"/>
    <w:rsid w:val="0000293A"/>
    <w:rsid w:val="000034AC"/>
    <w:rsid w:val="00013880"/>
    <w:rsid w:val="00013F6C"/>
    <w:rsid w:val="00014E07"/>
    <w:rsid w:val="00015FCE"/>
    <w:rsid w:val="000213BC"/>
    <w:rsid w:val="00027BB5"/>
    <w:rsid w:val="00034899"/>
    <w:rsid w:val="0003638F"/>
    <w:rsid w:val="00041793"/>
    <w:rsid w:val="0004313C"/>
    <w:rsid w:val="00052843"/>
    <w:rsid w:val="00052B26"/>
    <w:rsid w:val="00053AE6"/>
    <w:rsid w:val="00060375"/>
    <w:rsid w:val="00060948"/>
    <w:rsid w:val="00061137"/>
    <w:rsid w:val="00061342"/>
    <w:rsid w:val="00062207"/>
    <w:rsid w:val="00062D61"/>
    <w:rsid w:val="00063327"/>
    <w:rsid w:val="0006393A"/>
    <w:rsid w:val="00063AB5"/>
    <w:rsid w:val="00064747"/>
    <w:rsid w:val="00064AD7"/>
    <w:rsid w:val="00090BC5"/>
    <w:rsid w:val="00095476"/>
    <w:rsid w:val="000A5909"/>
    <w:rsid w:val="000B5DFB"/>
    <w:rsid w:val="000C02F3"/>
    <w:rsid w:val="000C062C"/>
    <w:rsid w:val="000C0DF1"/>
    <w:rsid w:val="000C1695"/>
    <w:rsid w:val="000C246C"/>
    <w:rsid w:val="000C2725"/>
    <w:rsid w:val="000C6378"/>
    <w:rsid w:val="000C715C"/>
    <w:rsid w:val="000C75DD"/>
    <w:rsid w:val="000D0D43"/>
    <w:rsid w:val="000D20E7"/>
    <w:rsid w:val="000D4733"/>
    <w:rsid w:val="000F20D0"/>
    <w:rsid w:val="000F2BFA"/>
    <w:rsid w:val="000F75AB"/>
    <w:rsid w:val="00100B88"/>
    <w:rsid w:val="00100DCF"/>
    <w:rsid w:val="00101837"/>
    <w:rsid w:val="00101BBF"/>
    <w:rsid w:val="00103966"/>
    <w:rsid w:val="0010396E"/>
    <w:rsid w:val="0010770F"/>
    <w:rsid w:val="00117A82"/>
    <w:rsid w:val="00121B3B"/>
    <w:rsid w:val="001240CB"/>
    <w:rsid w:val="001255AE"/>
    <w:rsid w:val="0012781E"/>
    <w:rsid w:val="00130696"/>
    <w:rsid w:val="00133CB5"/>
    <w:rsid w:val="00134B5F"/>
    <w:rsid w:val="00135629"/>
    <w:rsid w:val="001356FF"/>
    <w:rsid w:val="00141ED8"/>
    <w:rsid w:val="00142927"/>
    <w:rsid w:val="00143E23"/>
    <w:rsid w:val="00145808"/>
    <w:rsid w:val="00145F38"/>
    <w:rsid w:val="001463F5"/>
    <w:rsid w:val="001530D0"/>
    <w:rsid w:val="001545C0"/>
    <w:rsid w:val="00155748"/>
    <w:rsid w:val="00155DA6"/>
    <w:rsid w:val="00156104"/>
    <w:rsid w:val="00161973"/>
    <w:rsid w:val="00166474"/>
    <w:rsid w:val="001713E7"/>
    <w:rsid w:val="00171456"/>
    <w:rsid w:val="0018099D"/>
    <w:rsid w:val="00182F6A"/>
    <w:rsid w:val="00187922"/>
    <w:rsid w:val="00192E52"/>
    <w:rsid w:val="00195FD2"/>
    <w:rsid w:val="00197783"/>
    <w:rsid w:val="001A045A"/>
    <w:rsid w:val="001A5CD1"/>
    <w:rsid w:val="001B39C5"/>
    <w:rsid w:val="001B4B50"/>
    <w:rsid w:val="001C0A60"/>
    <w:rsid w:val="001C0A72"/>
    <w:rsid w:val="001C157B"/>
    <w:rsid w:val="001C710C"/>
    <w:rsid w:val="001D29F8"/>
    <w:rsid w:val="001D3528"/>
    <w:rsid w:val="001E0132"/>
    <w:rsid w:val="001E2C98"/>
    <w:rsid w:val="001E3EF7"/>
    <w:rsid w:val="001E4471"/>
    <w:rsid w:val="001E4E0D"/>
    <w:rsid w:val="001E5053"/>
    <w:rsid w:val="001E5FA3"/>
    <w:rsid w:val="001E6859"/>
    <w:rsid w:val="001F2226"/>
    <w:rsid w:val="001F2C25"/>
    <w:rsid w:val="001F359A"/>
    <w:rsid w:val="001F3600"/>
    <w:rsid w:val="001F3DC4"/>
    <w:rsid w:val="001F40E5"/>
    <w:rsid w:val="001F414A"/>
    <w:rsid w:val="001F48A9"/>
    <w:rsid w:val="001F49EB"/>
    <w:rsid w:val="001F6BE2"/>
    <w:rsid w:val="00201D64"/>
    <w:rsid w:val="00202576"/>
    <w:rsid w:val="002030ED"/>
    <w:rsid w:val="00203817"/>
    <w:rsid w:val="002045F6"/>
    <w:rsid w:val="002114E3"/>
    <w:rsid w:val="002116A0"/>
    <w:rsid w:val="0021252E"/>
    <w:rsid w:val="00220BD8"/>
    <w:rsid w:val="00224F97"/>
    <w:rsid w:val="00230D91"/>
    <w:rsid w:val="00234F32"/>
    <w:rsid w:val="00241450"/>
    <w:rsid w:val="002422C2"/>
    <w:rsid w:val="00243ABD"/>
    <w:rsid w:val="00244485"/>
    <w:rsid w:val="00247314"/>
    <w:rsid w:val="00250D64"/>
    <w:rsid w:val="0025100C"/>
    <w:rsid w:val="0025662A"/>
    <w:rsid w:val="00262B18"/>
    <w:rsid w:val="00264603"/>
    <w:rsid w:val="002651A0"/>
    <w:rsid w:val="00267B7C"/>
    <w:rsid w:val="002731CA"/>
    <w:rsid w:val="00275990"/>
    <w:rsid w:val="00280A96"/>
    <w:rsid w:val="00280DA3"/>
    <w:rsid w:val="00282DA2"/>
    <w:rsid w:val="002926BF"/>
    <w:rsid w:val="00292A37"/>
    <w:rsid w:val="0029555B"/>
    <w:rsid w:val="00297149"/>
    <w:rsid w:val="002A2143"/>
    <w:rsid w:val="002A5209"/>
    <w:rsid w:val="002A57E9"/>
    <w:rsid w:val="002A7282"/>
    <w:rsid w:val="002B03F6"/>
    <w:rsid w:val="002C1D20"/>
    <w:rsid w:val="002C2C01"/>
    <w:rsid w:val="002C68FC"/>
    <w:rsid w:val="002D3F42"/>
    <w:rsid w:val="002D46B3"/>
    <w:rsid w:val="002D695A"/>
    <w:rsid w:val="002E746A"/>
    <w:rsid w:val="002F13B8"/>
    <w:rsid w:val="002F1FAA"/>
    <w:rsid w:val="002F2903"/>
    <w:rsid w:val="002F2FB9"/>
    <w:rsid w:val="002F433D"/>
    <w:rsid w:val="002F6181"/>
    <w:rsid w:val="00306E14"/>
    <w:rsid w:val="0031685C"/>
    <w:rsid w:val="003208E1"/>
    <w:rsid w:val="003211E0"/>
    <w:rsid w:val="00322E4B"/>
    <w:rsid w:val="0032482B"/>
    <w:rsid w:val="003264D6"/>
    <w:rsid w:val="00326AE5"/>
    <w:rsid w:val="00330089"/>
    <w:rsid w:val="003321EF"/>
    <w:rsid w:val="003327A0"/>
    <w:rsid w:val="00333DA0"/>
    <w:rsid w:val="00335124"/>
    <w:rsid w:val="00335752"/>
    <w:rsid w:val="00336352"/>
    <w:rsid w:val="00344B8E"/>
    <w:rsid w:val="00345D1A"/>
    <w:rsid w:val="00345E59"/>
    <w:rsid w:val="00350121"/>
    <w:rsid w:val="0035052A"/>
    <w:rsid w:val="00354840"/>
    <w:rsid w:val="00356490"/>
    <w:rsid w:val="0035757D"/>
    <w:rsid w:val="003578EF"/>
    <w:rsid w:val="00361A0F"/>
    <w:rsid w:val="00366534"/>
    <w:rsid w:val="00370105"/>
    <w:rsid w:val="00374B4C"/>
    <w:rsid w:val="00374FB8"/>
    <w:rsid w:val="0037560A"/>
    <w:rsid w:val="003758B3"/>
    <w:rsid w:val="00383405"/>
    <w:rsid w:val="00384A3C"/>
    <w:rsid w:val="00387BDC"/>
    <w:rsid w:val="00396A52"/>
    <w:rsid w:val="003A4609"/>
    <w:rsid w:val="003A637F"/>
    <w:rsid w:val="003A7958"/>
    <w:rsid w:val="003B1457"/>
    <w:rsid w:val="003B14F3"/>
    <w:rsid w:val="003B2308"/>
    <w:rsid w:val="003B313F"/>
    <w:rsid w:val="003B45E4"/>
    <w:rsid w:val="003B59E3"/>
    <w:rsid w:val="003B5C8E"/>
    <w:rsid w:val="003B7AF0"/>
    <w:rsid w:val="003C233A"/>
    <w:rsid w:val="003C2B61"/>
    <w:rsid w:val="003C2BC6"/>
    <w:rsid w:val="003D0572"/>
    <w:rsid w:val="003D5F1F"/>
    <w:rsid w:val="003D7E40"/>
    <w:rsid w:val="003E09BD"/>
    <w:rsid w:val="003E56DB"/>
    <w:rsid w:val="003E7EA4"/>
    <w:rsid w:val="003F0EDD"/>
    <w:rsid w:val="003F198B"/>
    <w:rsid w:val="003F36C2"/>
    <w:rsid w:val="003F4E65"/>
    <w:rsid w:val="003F622B"/>
    <w:rsid w:val="00400E08"/>
    <w:rsid w:val="004036E3"/>
    <w:rsid w:val="00404B8D"/>
    <w:rsid w:val="00406343"/>
    <w:rsid w:val="00411F3F"/>
    <w:rsid w:val="00412003"/>
    <w:rsid w:val="00416208"/>
    <w:rsid w:val="00417F8B"/>
    <w:rsid w:val="004204D1"/>
    <w:rsid w:val="00425A8E"/>
    <w:rsid w:val="00427B14"/>
    <w:rsid w:val="004321B5"/>
    <w:rsid w:val="00433542"/>
    <w:rsid w:val="004366BD"/>
    <w:rsid w:val="0044272D"/>
    <w:rsid w:val="00444987"/>
    <w:rsid w:val="00445504"/>
    <w:rsid w:val="00450153"/>
    <w:rsid w:val="004511DA"/>
    <w:rsid w:val="00454912"/>
    <w:rsid w:val="00460641"/>
    <w:rsid w:val="0046202C"/>
    <w:rsid w:val="00462F23"/>
    <w:rsid w:val="00463276"/>
    <w:rsid w:val="00464060"/>
    <w:rsid w:val="0047210E"/>
    <w:rsid w:val="004730DA"/>
    <w:rsid w:val="00482E8C"/>
    <w:rsid w:val="00483BB4"/>
    <w:rsid w:val="00484DDD"/>
    <w:rsid w:val="00486131"/>
    <w:rsid w:val="0049173E"/>
    <w:rsid w:val="0049657B"/>
    <w:rsid w:val="00496AEF"/>
    <w:rsid w:val="004A0B4A"/>
    <w:rsid w:val="004A54F0"/>
    <w:rsid w:val="004A6F3F"/>
    <w:rsid w:val="004B2458"/>
    <w:rsid w:val="004B3BBA"/>
    <w:rsid w:val="004B53C4"/>
    <w:rsid w:val="004B6712"/>
    <w:rsid w:val="004C346F"/>
    <w:rsid w:val="004C4018"/>
    <w:rsid w:val="004C426D"/>
    <w:rsid w:val="004C42EE"/>
    <w:rsid w:val="004C43CA"/>
    <w:rsid w:val="004C63FA"/>
    <w:rsid w:val="004C71FD"/>
    <w:rsid w:val="004C7DEF"/>
    <w:rsid w:val="004D049B"/>
    <w:rsid w:val="004D08D1"/>
    <w:rsid w:val="004D0D09"/>
    <w:rsid w:val="004D18E5"/>
    <w:rsid w:val="004D7AA2"/>
    <w:rsid w:val="004E3617"/>
    <w:rsid w:val="004E42DB"/>
    <w:rsid w:val="004E6AE3"/>
    <w:rsid w:val="004F1103"/>
    <w:rsid w:val="004F29D9"/>
    <w:rsid w:val="004F2B92"/>
    <w:rsid w:val="004F5735"/>
    <w:rsid w:val="00502CF6"/>
    <w:rsid w:val="005033BF"/>
    <w:rsid w:val="00505540"/>
    <w:rsid w:val="0051322B"/>
    <w:rsid w:val="00517C53"/>
    <w:rsid w:val="00523D85"/>
    <w:rsid w:val="005249A3"/>
    <w:rsid w:val="00526982"/>
    <w:rsid w:val="00542D95"/>
    <w:rsid w:val="00543D19"/>
    <w:rsid w:val="00544311"/>
    <w:rsid w:val="00547085"/>
    <w:rsid w:val="00550C80"/>
    <w:rsid w:val="0055142B"/>
    <w:rsid w:val="005514A3"/>
    <w:rsid w:val="00551D67"/>
    <w:rsid w:val="005559F3"/>
    <w:rsid w:val="00557261"/>
    <w:rsid w:val="00557EED"/>
    <w:rsid w:val="00560B58"/>
    <w:rsid w:val="00561D73"/>
    <w:rsid w:val="00564951"/>
    <w:rsid w:val="005649BE"/>
    <w:rsid w:val="005658E5"/>
    <w:rsid w:val="00571A7A"/>
    <w:rsid w:val="00572584"/>
    <w:rsid w:val="00580923"/>
    <w:rsid w:val="00580BAC"/>
    <w:rsid w:val="005823DF"/>
    <w:rsid w:val="00582CB0"/>
    <w:rsid w:val="00583179"/>
    <w:rsid w:val="00583E7F"/>
    <w:rsid w:val="0058518C"/>
    <w:rsid w:val="00586705"/>
    <w:rsid w:val="00587C98"/>
    <w:rsid w:val="005A044F"/>
    <w:rsid w:val="005A0891"/>
    <w:rsid w:val="005A5DB9"/>
    <w:rsid w:val="005B365B"/>
    <w:rsid w:val="005B4ABA"/>
    <w:rsid w:val="005C0457"/>
    <w:rsid w:val="005C276F"/>
    <w:rsid w:val="005C3057"/>
    <w:rsid w:val="005C341C"/>
    <w:rsid w:val="005C4F02"/>
    <w:rsid w:val="005C5D16"/>
    <w:rsid w:val="005C5E0A"/>
    <w:rsid w:val="005C6EB6"/>
    <w:rsid w:val="005D0EB8"/>
    <w:rsid w:val="005D1C29"/>
    <w:rsid w:val="005D36EB"/>
    <w:rsid w:val="005D4E78"/>
    <w:rsid w:val="005D5EA9"/>
    <w:rsid w:val="005E1715"/>
    <w:rsid w:val="005E18D2"/>
    <w:rsid w:val="005E29E1"/>
    <w:rsid w:val="005F3283"/>
    <w:rsid w:val="005F7AF8"/>
    <w:rsid w:val="00600EE7"/>
    <w:rsid w:val="00602C3C"/>
    <w:rsid w:val="00602F35"/>
    <w:rsid w:val="006040EF"/>
    <w:rsid w:val="00605FF3"/>
    <w:rsid w:val="006104FF"/>
    <w:rsid w:val="0061098E"/>
    <w:rsid w:val="00612BD4"/>
    <w:rsid w:val="00613B86"/>
    <w:rsid w:val="006154F9"/>
    <w:rsid w:val="00616C76"/>
    <w:rsid w:val="00616CB0"/>
    <w:rsid w:val="0062323F"/>
    <w:rsid w:val="00623A8D"/>
    <w:rsid w:val="00632708"/>
    <w:rsid w:val="00633FDF"/>
    <w:rsid w:val="006373B1"/>
    <w:rsid w:val="0063764C"/>
    <w:rsid w:val="006464DB"/>
    <w:rsid w:val="006466D5"/>
    <w:rsid w:val="006469DF"/>
    <w:rsid w:val="00655CD2"/>
    <w:rsid w:val="00664AB1"/>
    <w:rsid w:val="006677B8"/>
    <w:rsid w:val="00667F74"/>
    <w:rsid w:val="006779F1"/>
    <w:rsid w:val="00684FA4"/>
    <w:rsid w:val="00685CB1"/>
    <w:rsid w:val="00686A3C"/>
    <w:rsid w:val="006917CC"/>
    <w:rsid w:val="00692467"/>
    <w:rsid w:val="006945C4"/>
    <w:rsid w:val="006949E4"/>
    <w:rsid w:val="006A37C2"/>
    <w:rsid w:val="006A692C"/>
    <w:rsid w:val="006A7980"/>
    <w:rsid w:val="006B0425"/>
    <w:rsid w:val="006B4897"/>
    <w:rsid w:val="006B71FB"/>
    <w:rsid w:val="006C10D9"/>
    <w:rsid w:val="006C2DE8"/>
    <w:rsid w:val="006C3074"/>
    <w:rsid w:val="006C5F29"/>
    <w:rsid w:val="006C72BB"/>
    <w:rsid w:val="006D0195"/>
    <w:rsid w:val="006D0345"/>
    <w:rsid w:val="006D5369"/>
    <w:rsid w:val="006D7056"/>
    <w:rsid w:val="006E08E9"/>
    <w:rsid w:val="006E214D"/>
    <w:rsid w:val="006E3A2B"/>
    <w:rsid w:val="006E5499"/>
    <w:rsid w:val="006E638B"/>
    <w:rsid w:val="006F23E4"/>
    <w:rsid w:val="006F3148"/>
    <w:rsid w:val="006F4656"/>
    <w:rsid w:val="007034F5"/>
    <w:rsid w:val="007047C8"/>
    <w:rsid w:val="00705C89"/>
    <w:rsid w:val="00707519"/>
    <w:rsid w:val="00707BC9"/>
    <w:rsid w:val="007132FE"/>
    <w:rsid w:val="00713C6C"/>
    <w:rsid w:val="00714185"/>
    <w:rsid w:val="0071649B"/>
    <w:rsid w:val="00716E6B"/>
    <w:rsid w:val="00722117"/>
    <w:rsid w:val="00724FE8"/>
    <w:rsid w:val="00730D33"/>
    <w:rsid w:val="00730F9D"/>
    <w:rsid w:val="00731224"/>
    <w:rsid w:val="00734229"/>
    <w:rsid w:val="007358D5"/>
    <w:rsid w:val="00750688"/>
    <w:rsid w:val="007519BB"/>
    <w:rsid w:val="00754ECB"/>
    <w:rsid w:val="0076106C"/>
    <w:rsid w:val="007624B0"/>
    <w:rsid w:val="007636B9"/>
    <w:rsid w:val="00764588"/>
    <w:rsid w:val="00771125"/>
    <w:rsid w:val="007748ED"/>
    <w:rsid w:val="00781277"/>
    <w:rsid w:val="00782E8A"/>
    <w:rsid w:val="00784709"/>
    <w:rsid w:val="007865B1"/>
    <w:rsid w:val="0078773C"/>
    <w:rsid w:val="0079038F"/>
    <w:rsid w:val="00791E5C"/>
    <w:rsid w:val="007923A8"/>
    <w:rsid w:val="0079351D"/>
    <w:rsid w:val="00795039"/>
    <w:rsid w:val="007A19E9"/>
    <w:rsid w:val="007A2E0D"/>
    <w:rsid w:val="007A4C46"/>
    <w:rsid w:val="007A52C4"/>
    <w:rsid w:val="007A5807"/>
    <w:rsid w:val="007A683C"/>
    <w:rsid w:val="007C0A46"/>
    <w:rsid w:val="007C4086"/>
    <w:rsid w:val="007C5E7E"/>
    <w:rsid w:val="007C7E3B"/>
    <w:rsid w:val="007D2198"/>
    <w:rsid w:val="007D2760"/>
    <w:rsid w:val="007D296C"/>
    <w:rsid w:val="007D6557"/>
    <w:rsid w:val="007E31AD"/>
    <w:rsid w:val="00801121"/>
    <w:rsid w:val="0080390B"/>
    <w:rsid w:val="0081218E"/>
    <w:rsid w:val="00812719"/>
    <w:rsid w:val="00813EF7"/>
    <w:rsid w:val="008144B7"/>
    <w:rsid w:val="008149FF"/>
    <w:rsid w:val="0081762B"/>
    <w:rsid w:val="00822D0C"/>
    <w:rsid w:val="00826947"/>
    <w:rsid w:val="00827BE0"/>
    <w:rsid w:val="00831FB7"/>
    <w:rsid w:val="00835CB1"/>
    <w:rsid w:val="00835E31"/>
    <w:rsid w:val="0083706B"/>
    <w:rsid w:val="0084096E"/>
    <w:rsid w:val="00842469"/>
    <w:rsid w:val="00842E2E"/>
    <w:rsid w:val="00845C29"/>
    <w:rsid w:val="00846664"/>
    <w:rsid w:val="00847BDB"/>
    <w:rsid w:val="00850996"/>
    <w:rsid w:val="0085133E"/>
    <w:rsid w:val="00851688"/>
    <w:rsid w:val="00852B31"/>
    <w:rsid w:val="00857362"/>
    <w:rsid w:val="00860BED"/>
    <w:rsid w:val="0086223E"/>
    <w:rsid w:val="00862CD1"/>
    <w:rsid w:val="00866661"/>
    <w:rsid w:val="008675ED"/>
    <w:rsid w:val="0087110C"/>
    <w:rsid w:val="00873798"/>
    <w:rsid w:val="008741C6"/>
    <w:rsid w:val="00875410"/>
    <w:rsid w:val="00877630"/>
    <w:rsid w:val="00881D8A"/>
    <w:rsid w:val="008822BB"/>
    <w:rsid w:val="008870AF"/>
    <w:rsid w:val="00896A35"/>
    <w:rsid w:val="008A2421"/>
    <w:rsid w:val="008A390D"/>
    <w:rsid w:val="008A53FD"/>
    <w:rsid w:val="008B587E"/>
    <w:rsid w:val="008B5D8B"/>
    <w:rsid w:val="008C0C95"/>
    <w:rsid w:val="008C0C9C"/>
    <w:rsid w:val="008C0DD5"/>
    <w:rsid w:val="008C1F71"/>
    <w:rsid w:val="008C2247"/>
    <w:rsid w:val="008C240B"/>
    <w:rsid w:val="008C31C0"/>
    <w:rsid w:val="008C5285"/>
    <w:rsid w:val="008C6BDD"/>
    <w:rsid w:val="008D10CD"/>
    <w:rsid w:val="008D1560"/>
    <w:rsid w:val="008E0B41"/>
    <w:rsid w:val="008E1BFC"/>
    <w:rsid w:val="008E3835"/>
    <w:rsid w:val="008F0A49"/>
    <w:rsid w:val="008F2690"/>
    <w:rsid w:val="008F3301"/>
    <w:rsid w:val="008F4383"/>
    <w:rsid w:val="008F586A"/>
    <w:rsid w:val="00903CB4"/>
    <w:rsid w:val="00911F68"/>
    <w:rsid w:val="009132C2"/>
    <w:rsid w:val="00913C25"/>
    <w:rsid w:val="0091754E"/>
    <w:rsid w:val="009210BE"/>
    <w:rsid w:val="00922441"/>
    <w:rsid w:val="009237DD"/>
    <w:rsid w:val="00930C7D"/>
    <w:rsid w:val="00933346"/>
    <w:rsid w:val="0093376A"/>
    <w:rsid w:val="00935EFA"/>
    <w:rsid w:val="009365BC"/>
    <w:rsid w:val="00936992"/>
    <w:rsid w:val="00937CFA"/>
    <w:rsid w:val="00940E3C"/>
    <w:rsid w:val="0094117A"/>
    <w:rsid w:val="00942E82"/>
    <w:rsid w:val="00954891"/>
    <w:rsid w:val="00960C85"/>
    <w:rsid w:val="00962D25"/>
    <w:rsid w:val="00963B4B"/>
    <w:rsid w:val="00964B22"/>
    <w:rsid w:val="0096567B"/>
    <w:rsid w:val="009671DC"/>
    <w:rsid w:val="009678F8"/>
    <w:rsid w:val="00973524"/>
    <w:rsid w:val="009736B7"/>
    <w:rsid w:val="009739DE"/>
    <w:rsid w:val="0097457F"/>
    <w:rsid w:val="0097539B"/>
    <w:rsid w:val="009754D8"/>
    <w:rsid w:val="00975AD9"/>
    <w:rsid w:val="009771B5"/>
    <w:rsid w:val="009827AA"/>
    <w:rsid w:val="00985002"/>
    <w:rsid w:val="00986EB0"/>
    <w:rsid w:val="0099116B"/>
    <w:rsid w:val="00991D98"/>
    <w:rsid w:val="00993A52"/>
    <w:rsid w:val="009953C2"/>
    <w:rsid w:val="00997DB2"/>
    <w:rsid w:val="009A5538"/>
    <w:rsid w:val="009B460A"/>
    <w:rsid w:val="009B6685"/>
    <w:rsid w:val="009B6820"/>
    <w:rsid w:val="009B7C3E"/>
    <w:rsid w:val="009B7E47"/>
    <w:rsid w:val="009C19D1"/>
    <w:rsid w:val="009C2ACD"/>
    <w:rsid w:val="009C4AD7"/>
    <w:rsid w:val="009D008C"/>
    <w:rsid w:val="009D1889"/>
    <w:rsid w:val="009D240E"/>
    <w:rsid w:val="009D413E"/>
    <w:rsid w:val="009D6854"/>
    <w:rsid w:val="009D73FF"/>
    <w:rsid w:val="009D74D6"/>
    <w:rsid w:val="009E1DEB"/>
    <w:rsid w:val="009E31C1"/>
    <w:rsid w:val="009F5CE5"/>
    <w:rsid w:val="009F5F6C"/>
    <w:rsid w:val="00A009A1"/>
    <w:rsid w:val="00A01C57"/>
    <w:rsid w:val="00A01C71"/>
    <w:rsid w:val="00A057AB"/>
    <w:rsid w:val="00A065A3"/>
    <w:rsid w:val="00A105FD"/>
    <w:rsid w:val="00A12980"/>
    <w:rsid w:val="00A1424D"/>
    <w:rsid w:val="00A15F0B"/>
    <w:rsid w:val="00A20851"/>
    <w:rsid w:val="00A223AB"/>
    <w:rsid w:val="00A24056"/>
    <w:rsid w:val="00A252F0"/>
    <w:rsid w:val="00A26153"/>
    <w:rsid w:val="00A33A6A"/>
    <w:rsid w:val="00A3555B"/>
    <w:rsid w:val="00A44A09"/>
    <w:rsid w:val="00A44FE9"/>
    <w:rsid w:val="00A50169"/>
    <w:rsid w:val="00A513FE"/>
    <w:rsid w:val="00A514BD"/>
    <w:rsid w:val="00A54C9F"/>
    <w:rsid w:val="00A5516E"/>
    <w:rsid w:val="00A57F97"/>
    <w:rsid w:val="00A60C1A"/>
    <w:rsid w:val="00A6450C"/>
    <w:rsid w:val="00A652FC"/>
    <w:rsid w:val="00A67915"/>
    <w:rsid w:val="00A70786"/>
    <w:rsid w:val="00A70E70"/>
    <w:rsid w:val="00A716C8"/>
    <w:rsid w:val="00A74AFA"/>
    <w:rsid w:val="00A76F84"/>
    <w:rsid w:val="00A7749D"/>
    <w:rsid w:val="00A77E8A"/>
    <w:rsid w:val="00A807C1"/>
    <w:rsid w:val="00A827A9"/>
    <w:rsid w:val="00A831E7"/>
    <w:rsid w:val="00A8374B"/>
    <w:rsid w:val="00A8381D"/>
    <w:rsid w:val="00A8412B"/>
    <w:rsid w:val="00A8724D"/>
    <w:rsid w:val="00A956F9"/>
    <w:rsid w:val="00AA02DE"/>
    <w:rsid w:val="00AA1692"/>
    <w:rsid w:val="00AA2159"/>
    <w:rsid w:val="00AA3906"/>
    <w:rsid w:val="00AA3DCB"/>
    <w:rsid w:val="00AA446C"/>
    <w:rsid w:val="00AA7C7E"/>
    <w:rsid w:val="00AB0897"/>
    <w:rsid w:val="00AB7240"/>
    <w:rsid w:val="00AC1C95"/>
    <w:rsid w:val="00AC5FAB"/>
    <w:rsid w:val="00AC6090"/>
    <w:rsid w:val="00AC657E"/>
    <w:rsid w:val="00AC71C7"/>
    <w:rsid w:val="00AD0353"/>
    <w:rsid w:val="00AD0A6A"/>
    <w:rsid w:val="00AD263A"/>
    <w:rsid w:val="00AD29B9"/>
    <w:rsid w:val="00AD4DE7"/>
    <w:rsid w:val="00AE32C5"/>
    <w:rsid w:val="00AE3E8D"/>
    <w:rsid w:val="00AE4554"/>
    <w:rsid w:val="00AE5381"/>
    <w:rsid w:val="00AE6380"/>
    <w:rsid w:val="00AE6C50"/>
    <w:rsid w:val="00AF5656"/>
    <w:rsid w:val="00AF5ABD"/>
    <w:rsid w:val="00B04017"/>
    <w:rsid w:val="00B06B7F"/>
    <w:rsid w:val="00B11522"/>
    <w:rsid w:val="00B11A28"/>
    <w:rsid w:val="00B12375"/>
    <w:rsid w:val="00B17119"/>
    <w:rsid w:val="00B245DC"/>
    <w:rsid w:val="00B25529"/>
    <w:rsid w:val="00B303ED"/>
    <w:rsid w:val="00B32F65"/>
    <w:rsid w:val="00B40100"/>
    <w:rsid w:val="00B42462"/>
    <w:rsid w:val="00B43BC1"/>
    <w:rsid w:val="00B466E4"/>
    <w:rsid w:val="00B529ED"/>
    <w:rsid w:val="00B5462B"/>
    <w:rsid w:val="00B60C4B"/>
    <w:rsid w:val="00B6362B"/>
    <w:rsid w:val="00B67420"/>
    <w:rsid w:val="00B67ACF"/>
    <w:rsid w:val="00B7001B"/>
    <w:rsid w:val="00B72974"/>
    <w:rsid w:val="00B750FA"/>
    <w:rsid w:val="00B819B3"/>
    <w:rsid w:val="00B81B0B"/>
    <w:rsid w:val="00B81F14"/>
    <w:rsid w:val="00B82F9B"/>
    <w:rsid w:val="00B8657D"/>
    <w:rsid w:val="00B86F81"/>
    <w:rsid w:val="00B87A4C"/>
    <w:rsid w:val="00B90E46"/>
    <w:rsid w:val="00B93F99"/>
    <w:rsid w:val="00B944C5"/>
    <w:rsid w:val="00B94EDE"/>
    <w:rsid w:val="00B9602A"/>
    <w:rsid w:val="00BA094B"/>
    <w:rsid w:val="00BA2A7C"/>
    <w:rsid w:val="00BA4F99"/>
    <w:rsid w:val="00BB0494"/>
    <w:rsid w:val="00BB05CD"/>
    <w:rsid w:val="00BB1FF1"/>
    <w:rsid w:val="00BB212A"/>
    <w:rsid w:val="00BB41B6"/>
    <w:rsid w:val="00BB6B7F"/>
    <w:rsid w:val="00BB6BFD"/>
    <w:rsid w:val="00BC092A"/>
    <w:rsid w:val="00BC203E"/>
    <w:rsid w:val="00BC47D0"/>
    <w:rsid w:val="00BC5543"/>
    <w:rsid w:val="00BD5D5C"/>
    <w:rsid w:val="00BE0F63"/>
    <w:rsid w:val="00BE2204"/>
    <w:rsid w:val="00BE2E6B"/>
    <w:rsid w:val="00BE406A"/>
    <w:rsid w:val="00BE47CF"/>
    <w:rsid w:val="00BE667D"/>
    <w:rsid w:val="00BF0863"/>
    <w:rsid w:val="00BF0B17"/>
    <w:rsid w:val="00BF2D26"/>
    <w:rsid w:val="00BF4016"/>
    <w:rsid w:val="00BF41FE"/>
    <w:rsid w:val="00BF5310"/>
    <w:rsid w:val="00BF7214"/>
    <w:rsid w:val="00BF7C6D"/>
    <w:rsid w:val="00C12B68"/>
    <w:rsid w:val="00C13603"/>
    <w:rsid w:val="00C15A9F"/>
    <w:rsid w:val="00C16364"/>
    <w:rsid w:val="00C175E8"/>
    <w:rsid w:val="00C202A2"/>
    <w:rsid w:val="00C23837"/>
    <w:rsid w:val="00C251CD"/>
    <w:rsid w:val="00C261D8"/>
    <w:rsid w:val="00C34995"/>
    <w:rsid w:val="00C35043"/>
    <w:rsid w:val="00C456D1"/>
    <w:rsid w:val="00C517E5"/>
    <w:rsid w:val="00C55686"/>
    <w:rsid w:val="00C55E96"/>
    <w:rsid w:val="00C56F75"/>
    <w:rsid w:val="00C57848"/>
    <w:rsid w:val="00C64F76"/>
    <w:rsid w:val="00C67E15"/>
    <w:rsid w:val="00C72F63"/>
    <w:rsid w:val="00C7466F"/>
    <w:rsid w:val="00C834D6"/>
    <w:rsid w:val="00C84C0B"/>
    <w:rsid w:val="00C85042"/>
    <w:rsid w:val="00C868EB"/>
    <w:rsid w:val="00C903F2"/>
    <w:rsid w:val="00C90497"/>
    <w:rsid w:val="00C94EB2"/>
    <w:rsid w:val="00C94FF8"/>
    <w:rsid w:val="00C95D98"/>
    <w:rsid w:val="00C9710E"/>
    <w:rsid w:val="00CA72DF"/>
    <w:rsid w:val="00CB4EE2"/>
    <w:rsid w:val="00CC134D"/>
    <w:rsid w:val="00CC1A7E"/>
    <w:rsid w:val="00CC3B1C"/>
    <w:rsid w:val="00CC68F4"/>
    <w:rsid w:val="00CD29DB"/>
    <w:rsid w:val="00CD506E"/>
    <w:rsid w:val="00CD5954"/>
    <w:rsid w:val="00CD7FBB"/>
    <w:rsid w:val="00CE39B1"/>
    <w:rsid w:val="00CF105B"/>
    <w:rsid w:val="00CF2AEA"/>
    <w:rsid w:val="00CF3C05"/>
    <w:rsid w:val="00D00F37"/>
    <w:rsid w:val="00D02031"/>
    <w:rsid w:val="00D050E0"/>
    <w:rsid w:val="00D13C55"/>
    <w:rsid w:val="00D15E2E"/>
    <w:rsid w:val="00D17E9B"/>
    <w:rsid w:val="00D2377B"/>
    <w:rsid w:val="00D24D6C"/>
    <w:rsid w:val="00D25F72"/>
    <w:rsid w:val="00D267BC"/>
    <w:rsid w:val="00D26A32"/>
    <w:rsid w:val="00D27C09"/>
    <w:rsid w:val="00D3084B"/>
    <w:rsid w:val="00D32367"/>
    <w:rsid w:val="00D32B83"/>
    <w:rsid w:val="00D33E60"/>
    <w:rsid w:val="00D33E9C"/>
    <w:rsid w:val="00D370B9"/>
    <w:rsid w:val="00D46D6E"/>
    <w:rsid w:val="00D4709F"/>
    <w:rsid w:val="00D554A3"/>
    <w:rsid w:val="00D56558"/>
    <w:rsid w:val="00D66A2B"/>
    <w:rsid w:val="00D66DFD"/>
    <w:rsid w:val="00D730F4"/>
    <w:rsid w:val="00D73483"/>
    <w:rsid w:val="00D77AD0"/>
    <w:rsid w:val="00D77ED3"/>
    <w:rsid w:val="00D8245E"/>
    <w:rsid w:val="00D82FA1"/>
    <w:rsid w:val="00D8638F"/>
    <w:rsid w:val="00D90587"/>
    <w:rsid w:val="00D91B5D"/>
    <w:rsid w:val="00D91DA4"/>
    <w:rsid w:val="00D961C8"/>
    <w:rsid w:val="00D967F4"/>
    <w:rsid w:val="00DA009F"/>
    <w:rsid w:val="00DA3412"/>
    <w:rsid w:val="00DA385A"/>
    <w:rsid w:val="00DA73CD"/>
    <w:rsid w:val="00DB2EF1"/>
    <w:rsid w:val="00DB5F18"/>
    <w:rsid w:val="00DB6FC4"/>
    <w:rsid w:val="00DB799C"/>
    <w:rsid w:val="00DC3A99"/>
    <w:rsid w:val="00DC3ECE"/>
    <w:rsid w:val="00DD14C1"/>
    <w:rsid w:val="00DD3F66"/>
    <w:rsid w:val="00DD4B5E"/>
    <w:rsid w:val="00DD5283"/>
    <w:rsid w:val="00DE0AA0"/>
    <w:rsid w:val="00DE3F65"/>
    <w:rsid w:val="00DF1071"/>
    <w:rsid w:val="00DF2E19"/>
    <w:rsid w:val="00DF746D"/>
    <w:rsid w:val="00DF7C62"/>
    <w:rsid w:val="00E01E1B"/>
    <w:rsid w:val="00E02005"/>
    <w:rsid w:val="00E04382"/>
    <w:rsid w:val="00E13196"/>
    <w:rsid w:val="00E15D8D"/>
    <w:rsid w:val="00E22E88"/>
    <w:rsid w:val="00E242ED"/>
    <w:rsid w:val="00E25DF5"/>
    <w:rsid w:val="00E27A02"/>
    <w:rsid w:val="00E306C4"/>
    <w:rsid w:val="00E41C18"/>
    <w:rsid w:val="00E43B55"/>
    <w:rsid w:val="00E453D5"/>
    <w:rsid w:val="00E4736D"/>
    <w:rsid w:val="00E507F8"/>
    <w:rsid w:val="00E555EE"/>
    <w:rsid w:val="00E55843"/>
    <w:rsid w:val="00E61323"/>
    <w:rsid w:val="00E63378"/>
    <w:rsid w:val="00E66527"/>
    <w:rsid w:val="00E70066"/>
    <w:rsid w:val="00E70E96"/>
    <w:rsid w:val="00E7120D"/>
    <w:rsid w:val="00E73121"/>
    <w:rsid w:val="00E73F7E"/>
    <w:rsid w:val="00E75010"/>
    <w:rsid w:val="00E80A5E"/>
    <w:rsid w:val="00E820D9"/>
    <w:rsid w:val="00E84271"/>
    <w:rsid w:val="00E843B8"/>
    <w:rsid w:val="00E844B6"/>
    <w:rsid w:val="00E8585C"/>
    <w:rsid w:val="00E86997"/>
    <w:rsid w:val="00E86F17"/>
    <w:rsid w:val="00E8727E"/>
    <w:rsid w:val="00E92F98"/>
    <w:rsid w:val="00E95DA3"/>
    <w:rsid w:val="00E96670"/>
    <w:rsid w:val="00EA364E"/>
    <w:rsid w:val="00EB61FA"/>
    <w:rsid w:val="00EB770A"/>
    <w:rsid w:val="00EC0563"/>
    <w:rsid w:val="00EC0809"/>
    <w:rsid w:val="00EC180B"/>
    <w:rsid w:val="00EC3101"/>
    <w:rsid w:val="00EC39FE"/>
    <w:rsid w:val="00EC71BD"/>
    <w:rsid w:val="00ED245B"/>
    <w:rsid w:val="00ED4874"/>
    <w:rsid w:val="00EE1084"/>
    <w:rsid w:val="00EE2393"/>
    <w:rsid w:val="00EE46A9"/>
    <w:rsid w:val="00EE5A8F"/>
    <w:rsid w:val="00EE7547"/>
    <w:rsid w:val="00EE7F04"/>
    <w:rsid w:val="00EF1E10"/>
    <w:rsid w:val="00EF548F"/>
    <w:rsid w:val="00EF5722"/>
    <w:rsid w:val="00EF630D"/>
    <w:rsid w:val="00EF789B"/>
    <w:rsid w:val="00F00144"/>
    <w:rsid w:val="00F01288"/>
    <w:rsid w:val="00F015F7"/>
    <w:rsid w:val="00F06858"/>
    <w:rsid w:val="00F07F97"/>
    <w:rsid w:val="00F116C6"/>
    <w:rsid w:val="00F14225"/>
    <w:rsid w:val="00F22143"/>
    <w:rsid w:val="00F22B2D"/>
    <w:rsid w:val="00F25524"/>
    <w:rsid w:val="00F26BC9"/>
    <w:rsid w:val="00F26FA9"/>
    <w:rsid w:val="00F337BC"/>
    <w:rsid w:val="00F33819"/>
    <w:rsid w:val="00F369D9"/>
    <w:rsid w:val="00F36F50"/>
    <w:rsid w:val="00F45DA7"/>
    <w:rsid w:val="00F477CD"/>
    <w:rsid w:val="00F50E67"/>
    <w:rsid w:val="00F53631"/>
    <w:rsid w:val="00F558DD"/>
    <w:rsid w:val="00F572D1"/>
    <w:rsid w:val="00F61F37"/>
    <w:rsid w:val="00F627E5"/>
    <w:rsid w:val="00F63BA6"/>
    <w:rsid w:val="00F65469"/>
    <w:rsid w:val="00F6698C"/>
    <w:rsid w:val="00F70EF2"/>
    <w:rsid w:val="00F80309"/>
    <w:rsid w:val="00F80BCE"/>
    <w:rsid w:val="00F8120C"/>
    <w:rsid w:val="00F82AAF"/>
    <w:rsid w:val="00F916B4"/>
    <w:rsid w:val="00F91851"/>
    <w:rsid w:val="00F92AA9"/>
    <w:rsid w:val="00F935F2"/>
    <w:rsid w:val="00F93656"/>
    <w:rsid w:val="00FA1012"/>
    <w:rsid w:val="00FA17A1"/>
    <w:rsid w:val="00FA31CC"/>
    <w:rsid w:val="00FA5CF2"/>
    <w:rsid w:val="00FA5EC6"/>
    <w:rsid w:val="00FA6C26"/>
    <w:rsid w:val="00FB186A"/>
    <w:rsid w:val="00FB4F13"/>
    <w:rsid w:val="00FB5BA2"/>
    <w:rsid w:val="00FC0376"/>
    <w:rsid w:val="00FC3349"/>
    <w:rsid w:val="00FC3BBD"/>
    <w:rsid w:val="00FC46A4"/>
    <w:rsid w:val="00FC568C"/>
    <w:rsid w:val="00FC5E66"/>
    <w:rsid w:val="00FC5FF1"/>
    <w:rsid w:val="00FC7ABB"/>
    <w:rsid w:val="00FD01CA"/>
    <w:rsid w:val="00FD0460"/>
    <w:rsid w:val="00FD064F"/>
    <w:rsid w:val="00FD0ACB"/>
    <w:rsid w:val="00FD2FED"/>
    <w:rsid w:val="00FD31FB"/>
    <w:rsid w:val="00FD5A69"/>
    <w:rsid w:val="00FD6BC2"/>
    <w:rsid w:val="00FD7E32"/>
    <w:rsid w:val="00FE01FA"/>
    <w:rsid w:val="00FE4233"/>
    <w:rsid w:val="00FE6B97"/>
    <w:rsid w:val="00FE6F38"/>
    <w:rsid w:val="00FE717C"/>
    <w:rsid w:val="00FF22F3"/>
    <w:rsid w:val="00FF3FB0"/>
    <w:rsid w:val="00FF4030"/>
    <w:rsid w:val="00FF6338"/>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8ACEE"/>
  <w15:chartTrackingRefBased/>
  <w15:docId w15:val="{FAC033CF-65D3-435A-B2A5-B6A372A71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13196"/>
    <w:pPr>
      <w:spacing w:after="0" w:line="312" w:lineRule="auto"/>
      <w:ind w:firstLine="720"/>
      <w:jc w:val="both"/>
    </w:pPr>
    <w:rPr>
      <w:rFonts w:ascii="Times New Roman"/>
    </w:rPr>
  </w:style>
  <w:style w:type="paragraph" w:styleId="berschrift1">
    <w:name w:val="heading 1"/>
    <w:basedOn w:val="Standard"/>
    <w:next w:val="Standard"/>
    <w:link w:val="berschrift1Zchn"/>
    <w:uiPriority w:val="9"/>
    <w:qFormat/>
    <w:rsid w:val="005C5D16"/>
    <w:pPr>
      <w:keepNext/>
      <w:keepLines/>
      <w:numPr>
        <w:numId w:val="3"/>
      </w:numPr>
      <w:spacing w:before="240" w:after="160"/>
      <w:jc w:val="left"/>
      <w:outlineLvl w:val="0"/>
    </w:pPr>
    <w:rPr>
      <w:rFonts w:eastAsiaTheme="majorEastAsia" w:cstheme="majorBidi"/>
      <w:b/>
      <w:sz w:val="26"/>
      <w:szCs w:val="26"/>
    </w:rPr>
  </w:style>
  <w:style w:type="paragraph" w:styleId="berschrift2">
    <w:name w:val="heading 2"/>
    <w:basedOn w:val="Standard"/>
    <w:next w:val="Standard"/>
    <w:link w:val="berschrift2Zchn"/>
    <w:uiPriority w:val="9"/>
    <w:unhideWhenUsed/>
    <w:qFormat/>
    <w:rsid w:val="008675ED"/>
    <w:pPr>
      <w:keepNext/>
      <w:keepLines/>
      <w:numPr>
        <w:ilvl w:val="1"/>
        <w:numId w:val="3"/>
      </w:numPr>
      <w:spacing w:before="240"/>
      <w:ind w:left="578" w:hanging="578"/>
      <w:outlineLvl w:val="1"/>
    </w:pPr>
    <w:rPr>
      <w:rFonts w:eastAsiaTheme="majorEastAsia" w:cstheme="majorBidi"/>
      <w:b/>
      <w:sz w:val="24"/>
      <w:szCs w:val="26"/>
    </w:rPr>
  </w:style>
  <w:style w:type="paragraph" w:styleId="berschrift3">
    <w:name w:val="heading 3"/>
    <w:basedOn w:val="Standard"/>
    <w:next w:val="Standard"/>
    <w:link w:val="berschrift3Zchn"/>
    <w:uiPriority w:val="9"/>
    <w:unhideWhenUsed/>
    <w:qFormat/>
    <w:rsid w:val="00B82F9B"/>
    <w:pPr>
      <w:keepNext/>
      <w:keepLines/>
      <w:numPr>
        <w:ilvl w:val="2"/>
        <w:numId w:val="3"/>
      </w:numPr>
      <w:spacing w:before="160"/>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3327A0"/>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327A0"/>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327A0"/>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327A0"/>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327A0"/>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327A0"/>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blatt">
    <w:name w:val="Titelblatt"/>
    <w:basedOn w:val="Standard"/>
    <w:link w:val="TitelblattZchn"/>
    <w:qFormat/>
    <w:rsid w:val="00D26A32"/>
    <w:pPr>
      <w:jc w:val="center"/>
    </w:pPr>
  </w:style>
  <w:style w:type="paragraph" w:styleId="Kopfzeile">
    <w:name w:val="header"/>
    <w:basedOn w:val="Standard"/>
    <w:link w:val="KopfzeileZchn"/>
    <w:uiPriority w:val="99"/>
    <w:unhideWhenUsed/>
    <w:rsid w:val="00D26A32"/>
    <w:pPr>
      <w:tabs>
        <w:tab w:val="center" w:pos="4536"/>
        <w:tab w:val="right" w:pos="9072"/>
      </w:tabs>
      <w:spacing w:line="240" w:lineRule="auto"/>
    </w:pPr>
  </w:style>
  <w:style w:type="character" w:customStyle="1" w:styleId="TitelblattZchn">
    <w:name w:val="Titelblatt Zchn"/>
    <w:basedOn w:val="Absatz-Standardschriftart"/>
    <w:link w:val="Titelblatt"/>
    <w:rsid w:val="00D26A32"/>
    <w:rPr>
      <w:rFonts w:ascii="Times New Roman"/>
    </w:rPr>
  </w:style>
  <w:style w:type="character" w:customStyle="1" w:styleId="KopfzeileZchn">
    <w:name w:val="Kopfzeile Zchn"/>
    <w:basedOn w:val="Absatz-Standardschriftart"/>
    <w:link w:val="Kopfzeile"/>
    <w:uiPriority w:val="99"/>
    <w:rsid w:val="00D26A32"/>
    <w:rPr>
      <w:rFonts w:ascii="Times New Roman"/>
    </w:rPr>
  </w:style>
  <w:style w:type="paragraph" w:styleId="Fuzeile">
    <w:name w:val="footer"/>
    <w:basedOn w:val="Standard"/>
    <w:link w:val="FuzeileZchn"/>
    <w:uiPriority w:val="99"/>
    <w:unhideWhenUsed/>
    <w:rsid w:val="00D26A3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D26A32"/>
    <w:rPr>
      <w:rFonts w:ascii="Times New Roman"/>
    </w:rPr>
  </w:style>
  <w:style w:type="character" w:customStyle="1" w:styleId="berschrift1Zchn">
    <w:name w:val="Überschrift 1 Zchn"/>
    <w:basedOn w:val="Absatz-Standardschriftart"/>
    <w:link w:val="berschrift1"/>
    <w:uiPriority w:val="9"/>
    <w:rsid w:val="00842E2E"/>
    <w:rPr>
      <w:rFonts w:ascii="Times New Roman" w:eastAsiaTheme="majorEastAsia" w:cstheme="majorBidi"/>
      <w:b/>
      <w:sz w:val="26"/>
      <w:szCs w:val="26"/>
    </w:rPr>
  </w:style>
  <w:style w:type="paragraph" w:styleId="Inhaltsverzeichnisberschrift">
    <w:name w:val="TOC Heading"/>
    <w:basedOn w:val="berschrift1"/>
    <w:next w:val="Standard"/>
    <w:uiPriority w:val="39"/>
    <w:unhideWhenUsed/>
    <w:qFormat/>
    <w:rsid w:val="008E3835"/>
    <w:pPr>
      <w:outlineLvl w:val="9"/>
    </w:pPr>
    <w:rPr>
      <w:b w:val="0"/>
      <w:sz w:val="32"/>
    </w:rPr>
  </w:style>
  <w:style w:type="paragraph" w:styleId="Verzeichnis1">
    <w:name w:val="toc 1"/>
    <w:basedOn w:val="Standard"/>
    <w:next w:val="Standard"/>
    <w:autoRedefine/>
    <w:uiPriority w:val="39"/>
    <w:unhideWhenUsed/>
    <w:rsid w:val="00A70786"/>
    <w:pPr>
      <w:tabs>
        <w:tab w:val="left" w:pos="1100"/>
        <w:tab w:val="right" w:leader="dot" w:pos="9396"/>
      </w:tabs>
      <w:spacing w:after="100"/>
      <w:ind w:firstLine="0"/>
    </w:pPr>
  </w:style>
  <w:style w:type="character" w:styleId="Hyperlink">
    <w:name w:val="Hyperlink"/>
    <w:basedOn w:val="Absatz-Standardschriftart"/>
    <w:uiPriority w:val="99"/>
    <w:unhideWhenUsed/>
    <w:rsid w:val="008E3835"/>
    <w:rPr>
      <w:color w:val="0563C1" w:themeColor="hyperlink"/>
      <w:u w:val="single"/>
    </w:rPr>
  </w:style>
  <w:style w:type="character" w:customStyle="1" w:styleId="berschrift2Zchn">
    <w:name w:val="Überschrift 2 Zchn"/>
    <w:basedOn w:val="Absatz-Standardschriftart"/>
    <w:link w:val="berschrift2"/>
    <w:uiPriority w:val="9"/>
    <w:rsid w:val="008675ED"/>
    <w:rPr>
      <w:rFonts w:ascii="Times New Roman" w:eastAsiaTheme="majorEastAsia" w:cstheme="majorBidi"/>
      <w:b/>
      <w:sz w:val="24"/>
      <w:szCs w:val="26"/>
    </w:rPr>
  </w:style>
  <w:style w:type="character" w:customStyle="1" w:styleId="berschrift3Zchn">
    <w:name w:val="Überschrift 3 Zchn"/>
    <w:basedOn w:val="Absatz-Standardschriftart"/>
    <w:link w:val="berschrift3"/>
    <w:uiPriority w:val="9"/>
    <w:rsid w:val="00B82F9B"/>
    <w:rPr>
      <w:rFonts w:ascii="Times New Roman" w:eastAsiaTheme="majorEastAsia" w:cstheme="majorBidi"/>
      <w:sz w:val="24"/>
      <w:szCs w:val="24"/>
    </w:rPr>
  </w:style>
  <w:style w:type="character" w:customStyle="1" w:styleId="berschrift4Zchn">
    <w:name w:val="Überschrift 4 Zchn"/>
    <w:basedOn w:val="Absatz-Standardschriftart"/>
    <w:link w:val="berschrift4"/>
    <w:uiPriority w:val="9"/>
    <w:rsid w:val="003327A0"/>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327A0"/>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327A0"/>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327A0"/>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327A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327A0"/>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A70786"/>
    <w:pPr>
      <w:tabs>
        <w:tab w:val="right" w:leader="dot" w:pos="9396"/>
      </w:tabs>
      <w:spacing w:after="100"/>
      <w:ind w:left="221"/>
    </w:pPr>
  </w:style>
  <w:style w:type="paragraph" w:customStyle="1" w:styleId="berschrift0">
    <w:name w:val="Überschrift0"/>
    <w:basedOn w:val="Standard"/>
    <w:link w:val="berschrift0Zchn"/>
    <w:qFormat/>
    <w:rsid w:val="00A70786"/>
    <w:pPr>
      <w:ind w:firstLine="0"/>
    </w:pPr>
    <w:rPr>
      <w:b/>
      <w:sz w:val="26"/>
    </w:rPr>
  </w:style>
  <w:style w:type="character" w:customStyle="1" w:styleId="berschrift0Zchn">
    <w:name w:val="Überschrift0 Zchn"/>
    <w:basedOn w:val="Absatz-Standardschriftart"/>
    <w:link w:val="berschrift0"/>
    <w:rsid w:val="00A70786"/>
    <w:rPr>
      <w:rFonts w:ascii="Times New Roman"/>
      <w:b/>
      <w:sz w:val="26"/>
    </w:rPr>
  </w:style>
  <w:style w:type="paragraph" w:styleId="Listenabsatz">
    <w:name w:val="List Paragraph"/>
    <w:basedOn w:val="Standard"/>
    <w:uiPriority w:val="34"/>
    <w:qFormat/>
    <w:rsid w:val="0037560A"/>
    <w:pPr>
      <w:ind w:left="720"/>
      <w:contextualSpacing/>
    </w:pPr>
  </w:style>
  <w:style w:type="character" w:styleId="NichtaufgelsteErwhnung">
    <w:name w:val="Unresolved Mention"/>
    <w:basedOn w:val="Absatz-Standardschriftart"/>
    <w:uiPriority w:val="99"/>
    <w:semiHidden/>
    <w:unhideWhenUsed/>
    <w:rsid w:val="00FF4030"/>
    <w:rPr>
      <w:color w:val="605E5C"/>
      <w:shd w:val="clear" w:color="auto" w:fill="E1DFDD"/>
    </w:rPr>
  </w:style>
  <w:style w:type="character" w:styleId="Platzhaltertext">
    <w:name w:val="Placeholder Text"/>
    <w:basedOn w:val="Absatz-Standardschriftart"/>
    <w:uiPriority w:val="99"/>
    <w:semiHidden/>
    <w:rsid w:val="004E6AE3"/>
    <w:rPr>
      <w:color w:val="808080"/>
    </w:rPr>
  </w:style>
  <w:style w:type="paragraph" w:styleId="Beschriftung">
    <w:name w:val="caption"/>
    <w:basedOn w:val="Standard"/>
    <w:next w:val="Standard"/>
    <w:uiPriority w:val="35"/>
    <w:unhideWhenUsed/>
    <w:qFormat/>
    <w:rsid w:val="005A0891"/>
    <w:pPr>
      <w:spacing w:after="200" w:line="240" w:lineRule="auto"/>
      <w:ind w:firstLine="0"/>
      <w:jc w:val="center"/>
    </w:pPr>
    <w:rPr>
      <w:i/>
      <w:iCs/>
      <w:sz w:val="20"/>
      <w:szCs w:val="18"/>
    </w:rPr>
  </w:style>
  <w:style w:type="table" w:styleId="Tabellenraster">
    <w:name w:val="Table Grid"/>
    <w:basedOn w:val="NormaleTabelle"/>
    <w:uiPriority w:val="39"/>
    <w:rsid w:val="00043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C72F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mithellemGitternetz">
    <w:name w:val="Grid Table Light"/>
    <w:basedOn w:val="NormaleTabelle"/>
    <w:uiPriority w:val="40"/>
    <w:rsid w:val="003168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
    <w:name w:val="Grid Table 1 Light"/>
    <w:basedOn w:val="NormaleTabelle"/>
    <w:uiPriority w:val="46"/>
    <w:rsid w:val="0031685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3">
    <w:name w:val="toc 3"/>
    <w:basedOn w:val="Standard"/>
    <w:next w:val="Standard"/>
    <w:autoRedefine/>
    <w:uiPriority w:val="39"/>
    <w:unhideWhenUsed/>
    <w:rsid w:val="00182F6A"/>
    <w:pPr>
      <w:spacing w:after="100"/>
      <w:ind w:left="440"/>
    </w:pPr>
  </w:style>
  <w:style w:type="paragraph" w:styleId="Sprechblasentext">
    <w:name w:val="Balloon Text"/>
    <w:basedOn w:val="Standard"/>
    <w:link w:val="SprechblasentextZchn"/>
    <w:uiPriority w:val="99"/>
    <w:semiHidden/>
    <w:unhideWhenUsed/>
    <w:rsid w:val="006C10D9"/>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C10D9"/>
    <w:rPr>
      <w:rFonts w:ascii="Segoe UI" w:hAnsi="Segoe UI" w:cs="Segoe UI"/>
      <w:sz w:val="18"/>
      <w:szCs w:val="18"/>
    </w:rPr>
  </w:style>
  <w:style w:type="paragraph" w:customStyle="1" w:styleId="References">
    <w:name w:val="References"/>
    <w:basedOn w:val="Standard"/>
    <w:link w:val="ReferencesZchn"/>
    <w:qFormat/>
    <w:rsid w:val="006E08E9"/>
    <w:pPr>
      <w:widowControl w:val="0"/>
      <w:autoSpaceDE w:val="0"/>
      <w:autoSpaceDN w:val="0"/>
      <w:adjustRightInd w:val="0"/>
      <w:spacing w:after="120" w:line="240" w:lineRule="auto"/>
      <w:ind w:left="340" w:hanging="340"/>
    </w:pPr>
    <w:rPr>
      <w:sz w:val="18"/>
    </w:rPr>
  </w:style>
  <w:style w:type="character" w:customStyle="1" w:styleId="ReferencesZchn">
    <w:name w:val="References Zchn"/>
    <w:basedOn w:val="Absatz-Standardschriftart"/>
    <w:link w:val="References"/>
    <w:rsid w:val="006E08E9"/>
    <w:rPr>
      <w:rFonts w:ascii="Times New Roman"/>
      <w:sz w:val="18"/>
    </w:rPr>
  </w:style>
  <w:style w:type="character" w:customStyle="1" w:styleId="InternetLink">
    <w:name w:val="Internet Link"/>
    <w:basedOn w:val="Absatz-Standardschriftart"/>
    <w:uiPriority w:val="99"/>
    <w:unhideWhenUsed/>
    <w:rsid w:val="00F92AA9"/>
    <w:rPr>
      <w:color w:val="0563C1" w:themeColor="hyperlink"/>
      <w:u w:val="single"/>
    </w:rPr>
  </w:style>
  <w:style w:type="character" w:styleId="BesuchterLink">
    <w:name w:val="FollowedHyperlink"/>
    <w:basedOn w:val="Absatz-Standardschriftart"/>
    <w:uiPriority w:val="99"/>
    <w:semiHidden/>
    <w:unhideWhenUsed/>
    <w:rsid w:val="003211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12657">
      <w:bodyDiv w:val="1"/>
      <w:marLeft w:val="0"/>
      <w:marRight w:val="0"/>
      <w:marTop w:val="0"/>
      <w:marBottom w:val="0"/>
      <w:divBdr>
        <w:top w:val="none" w:sz="0" w:space="0" w:color="auto"/>
        <w:left w:val="none" w:sz="0" w:space="0" w:color="auto"/>
        <w:bottom w:val="none" w:sz="0" w:space="0" w:color="auto"/>
        <w:right w:val="none" w:sz="0" w:space="0" w:color="auto"/>
      </w:divBdr>
    </w:div>
    <w:div w:id="361249929">
      <w:bodyDiv w:val="1"/>
      <w:marLeft w:val="0"/>
      <w:marRight w:val="0"/>
      <w:marTop w:val="0"/>
      <w:marBottom w:val="0"/>
      <w:divBdr>
        <w:top w:val="none" w:sz="0" w:space="0" w:color="auto"/>
        <w:left w:val="none" w:sz="0" w:space="0" w:color="auto"/>
        <w:bottom w:val="none" w:sz="0" w:space="0" w:color="auto"/>
        <w:right w:val="none" w:sz="0" w:space="0" w:color="auto"/>
      </w:divBdr>
    </w:div>
    <w:div w:id="431509128">
      <w:bodyDiv w:val="1"/>
      <w:marLeft w:val="0"/>
      <w:marRight w:val="0"/>
      <w:marTop w:val="0"/>
      <w:marBottom w:val="0"/>
      <w:divBdr>
        <w:top w:val="none" w:sz="0" w:space="0" w:color="auto"/>
        <w:left w:val="none" w:sz="0" w:space="0" w:color="auto"/>
        <w:bottom w:val="none" w:sz="0" w:space="0" w:color="auto"/>
        <w:right w:val="none" w:sz="0" w:space="0" w:color="auto"/>
      </w:divBdr>
    </w:div>
    <w:div w:id="441153648">
      <w:bodyDiv w:val="1"/>
      <w:marLeft w:val="0"/>
      <w:marRight w:val="0"/>
      <w:marTop w:val="0"/>
      <w:marBottom w:val="0"/>
      <w:divBdr>
        <w:top w:val="none" w:sz="0" w:space="0" w:color="auto"/>
        <w:left w:val="none" w:sz="0" w:space="0" w:color="auto"/>
        <w:bottom w:val="none" w:sz="0" w:space="0" w:color="auto"/>
        <w:right w:val="none" w:sz="0" w:space="0" w:color="auto"/>
      </w:divBdr>
    </w:div>
    <w:div w:id="885796210">
      <w:bodyDiv w:val="1"/>
      <w:marLeft w:val="0"/>
      <w:marRight w:val="0"/>
      <w:marTop w:val="0"/>
      <w:marBottom w:val="0"/>
      <w:divBdr>
        <w:top w:val="none" w:sz="0" w:space="0" w:color="auto"/>
        <w:left w:val="none" w:sz="0" w:space="0" w:color="auto"/>
        <w:bottom w:val="none" w:sz="0" w:space="0" w:color="auto"/>
        <w:right w:val="none" w:sz="0" w:space="0" w:color="auto"/>
      </w:divBdr>
    </w:div>
    <w:div w:id="1297875217">
      <w:bodyDiv w:val="1"/>
      <w:marLeft w:val="0"/>
      <w:marRight w:val="0"/>
      <w:marTop w:val="0"/>
      <w:marBottom w:val="0"/>
      <w:divBdr>
        <w:top w:val="none" w:sz="0" w:space="0" w:color="auto"/>
        <w:left w:val="none" w:sz="0" w:space="0" w:color="auto"/>
        <w:bottom w:val="none" w:sz="0" w:space="0" w:color="auto"/>
        <w:right w:val="none" w:sz="0" w:space="0" w:color="auto"/>
      </w:divBdr>
    </w:div>
    <w:div w:id="1808159817">
      <w:bodyDiv w:val="1"/>
      <w:marLeft w:val="0"/>
      <w:marRight w:val="0"/>
      <w:marTop w:val="0"/>
      <w:marBottom w:val="0"/>
      <w:divBdr>
        <w:top w:val="none" w:sz="0" w:space="0" w:color="auto"/>
        <w:left w:val="none" w:sz="0" w:space="0" w:color="auto"/>
        <w:bottom w:val="none" w:sz="0" w:space="0" w:color="auto"/>
        <w:right w:val="none" w:sz="0" w:space="0" w:color="auto"/>
      </w:divBdr>
    </w:div>
    <w:div w:id="2019581562">
      <w:bodyDiv w:val="1"/>
      <w:marLeft w:val="0"/>
      <w:marRight w:val="0"/>
      <w:marTop w:val="0"/>
      <w:marBottom w:val="0"/>
      <w:divBdr>
        <w:top w:val="none" w:sz="0" w:space="0" w:color="auto"/>
        <w:left w:val="none" w:sz="0" w:space="0" w:color="auto"/>
        <w:bottom w:val="none" w:sz="0" w:space="0" w:color="auto"/>
        <w:right w:val="none" w:sz="0" w:space="0" w:color="auto"/>
      </w:divBdr>
    </w:div>
    <w:div w:id="214330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newables.ninja/"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renewables-ninja/gsee"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766C4B6-BDDA-4883-9121-4710F24CA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20031</Words>
  <Characters>126197</Characters>
  <Application>Microsoft Office Word</Application>
  <DocSecurity>0</DocSecurity>
  <Lines>1051</Lines>
  <Paragraphs>291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Mühlemann</dc:creator>
  <cp:keywords/>
  <dc:description/>
  <cp:lastModifiedBy>Dirk Mühlemann</cp:lastModifiedBy>
  <cp:revision>41</cp:revision>
  <cp:lastPrinted>2020-05-31T14:33:00Z</cp:lastPrinted>
  <dcterms:created xsi:type="dcterms:W3CDTF">2020-08-11T06:55:00Z</dcterms:created>
  <dcterms:modified xsi:type="dcterms:W3CDTF">2020-11-10T14:16:00Z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http://csl.mendeley.com/styles/458695441/harvard-cite-them-right</vt:lpwstr>
  </property>
  <property fmtid="{D5CDD505-2E9C-101B-9397-08002B2CF9AE}" pid="13" name="Mendeley Recent Style Name 5_1">
    <vt:lpwstr>Cite Them Right 10th edition - Harvard - Dirk Mühlemann</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3d420cff-4538-336d-9c70-53930f83f36f</vt:lpwstr>
  </property>
  <property fmtid="{D5CDD505-2E9C-101B-9397-08002B2CF9AE}" pid="24" name="Mendeley Citation Style_1">
    <vt:lpwstr>http://csl.mendeley.com/styles/458695441/harvard-cite-them-right</vt:lpwstr>
  </property>
</Properties>
</file>