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0BFC41D4" w:rsidR="00194D2A" w:rsidRDefault="00194D2A" w:rsidP="00E23257">
      <w:pPr>
        <w:spacing w:after="0"/>
        <w:jc w:val="center"/>
        <w:rPr>
          <w:sz w:val="44"/>
          <w:szCs w:val="44"/>
        </w:rPr>
      </w:pPr>
      <w:r>
        <w:rPr>
          <w:sz w:val="44"/>
          <w:szCs w:val="44"/>
        </w:rPr>
        <w:t>Version 3.</w:t>
      </w:r>
      <w:r w:rsidR="00C45A46">
        <w:rPr>
          <w:sz w:val="44"/>
          <w:szCs w:val="44"/>
        </w:rPr>
        <w:t>1</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7CC9C17D"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w:t>
      </w:r>
      <w:r w:rsidR="007D6928">
        <w:t>,</w:t>
      </w:r>
      <w:r w:rsidR="006A30C0">
        <w:t xml:space="preserve"> as typically used in government regulatory work. PWC3 is a major upgrade from </w:t>
      </w:r>
      <w:r w:rsidR="00E36659">
        <w:t>earlier</w:t>
      </w:r>
      <w:r w:rsidR="00C45A46">
        <w:t xml:space="preserve"> the</w:t>
      </w:r>
      <w:r w:rsidR="006A30C0">
        <w:t xml:space="preserve"> PWC</w:t>
      </w:r>
      <w:r w:rsidR="00C45A46">
        <w:t>2</w:t>
      </w:r>
      <w:r w:rsidR="006A30C0">
        <w:t xml:space="preserve"> version</w:t>
      </w:r>
      <w:r w:rsidR="00C45A46">
        <w:t xml:space="preserve">, </w:t>
      </w:r>
      <w:r w:rsidR="00E23257">
        <w:t>offer</w:t>
      </w:r>
      <w:r w:rsidR="00C45A46">
        <w:t>ing</w:t>
      </w:r>
      <w:r w:rsidR="00E23257">
        <w:t xml:space="preserve">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 xml:space="preserve">user interface </w:t>
      </w:r>
      <w:r w:rsidR="00C45A46">
        <w:t>displays only</w:t>
      </w:r>
      <w:r w:rsidR="006A30C0">
        <w:t xml:space="preserve"> the most necessary inputs for user interactions. Parameters that are seldomly altered</w:t>
      </w:r>
      <w:r w:rsidR="005807C6">
        <w:t xml:space="preserve"> and t</w:t>
      </w:r>
      <w:r w:rsidR="006A30C0">
        <w:t xml:space="preserve">hose that should not be altered for standard risk assessments </w:t>
      </w:r>
      <w:r w:rsidR="00C45A46">
        <w:t>reside</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 xml:space="preserve">that the regulatory community </w:t>
      </w:r>
      <w:r w:rsidR="00C45A46">
        <w:t>has been</w:t>
      </w:r>
      <w:r>
        <w:t xml:space="preserve">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6C116F06" w:rsidR="00043B17" w:rsidRDefault="00043B17" w:rsidP="00043B17">
      <w:pPr>
        <w:pStyle w:val="Heading2"/>
        <w:numPr>
          <w:ilvl w:val="1"/>
          <w:numId w:val="6"/>
        </w:numPr>
        <w:spacing w:line="256" w:lineRule="auto"/>
      </w:pPr>
      <w:r>
        <w:t>Interface Changes Version 0.003 to 0.0</w:t>
      </w:r>
      <w:r w:rsidR="00C45A46">
        <w:t>10</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01D7EE04"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56A4209C" w14:textId="5B6AFAE2" w:rsidR="00C45A46" w:rsidRDefault="00C45A46" w:rsidP="00043B17">
      <w:r>
        <w:t>Removed nonfunctioning irrigation check box to specify off-season irrigation.</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7863AD2F" w:rsidR="00281599" w:rsidRDefault="00281599" w:rsidP="00281599">
      <w:r>
        <w:t>The</w:t>
      </w:r>
      <w:r w:rsidR="00C45A46">
        <w:t xml:space="preserve"> </w:t>
      </w:r>
      <w:r>
        <w:t>USEPA</w:t>
      </w:r>
      <w:r w:rsidR="00C45A46">
        <w:t>’s</w:t>
      </w:r>
      <w:r>
        <w:t xml:space="preserve"> </w:t>
      </w:r>
      <w:r w:rsidR="00C45A46">
        <w:t>conceptual model for pesticide exposure assessments</w:t>
      </w:r>
      <w:r>
        <w:t xml:space="preserve"> is shown in Figure 1.</w:t>
      </w:r>
      <w:r w:rsidR="004A4B03">
        <w:t xml:space="preserve"> </w:t>
      </w:r>
      <w:r>
        <w:t>A detailed description of the mechanics of the model can be found in Young (</w:t>
      </w:r>
      <w:r w:rsidR="002C27B5">
        <w:t>2024</w:t>
      </w:r>
      <w:r>
        <w:t>)</w:t>
      </w:r>
      <w:r w:rsidR="00C45A46">
        <w:t>,</w:t>
      </w:r>
      <w:r>
        <w:t xml:space="preserve"> and a high-level overview</w:t>
      </w:r>
      <w:r w:rsidR="00571C73">
        <w:t xml:space="preserve"> </w:t>
      </w:r>
      <w:r w:rsidR="00C45A46">
        <w:lastRenderedPageBreak/>
        <w:t xml:space="preserve">appears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155ADFCB">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AF99B92" w:rsidR="009A5D90" w:rsidRDefault="009A5D90" w:rsidP="001058F1">
      <w:pPr>
        <w:pStyle w:val="Caption"/>
      </w:pPr>
      <w:r w:rsidRPr="001058F1">
        <w:t xml:space="preserve">Figure </w:t>
      </w:r>
      <w:r>
        <w:fldChar w:fldCharType="begin"/>
      </w:r>
      <w:r>
        <w:instrText xml:space="preserve"> SEQ Figure \* ARABIC </w:instrText>
      </w:r>
      <w:r>
        <w:fldChar w:fldCharType="separate"/>
      </w:r>
      <w:r w:rsidR="005549B9">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256A0868"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5549B9">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562F76FA" w:rsidR="00E87C1D" w:rsidRDefault="00FF1F1F" w:rsidP="00763DC9">
      <w:r>
        <w:t xml:space="preserve">The </w:t>
      </w:r>
      <w:r w:rsidRPr="00B81E30">
        <w:rPr>
          <w:b/>
          <w:bCs/>
          <w:i/>
          <w:iCs/>
        </w:rPr>
        <w:t>File</w:t>
      </w:r>
      <w:r>
        <w:t xml:space="preserve"> menu</w:t>
      </w:r>
      <w:r w:rsidR="007F4F90">
        <w:t xml:space="preserve"> (Figure 3)</w:t>
      </w:r>
      <w:r>
        <w:t xml:space="preserve"> item has</w:t>
      </w:r>
      <w:r w:rsidR="007F4F90">
        <w:t xml:space="preserve"> the</w:t>
      </w:r>
      <w:r>
        <w:t xml:space="preserve">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w:t>
      </w:r>
      <w:r w:rsidR="007F4F90">
        <w:t xml:space="preserve">also </w:t>
      </w:r>
      <w:r w:rsidR="0027789D">
        <w:t>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w:t>
      </w:r>
      <w:r w:rsidR="00ED27ED">
        <w:lastRenderedPageBreak/>
        <w:t xml:space="preserve">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FDFCC95" w14:textId="77777777" w:rsidR="00443B6C" w:rsidRDefault="00443B6C" w:rsidP="00443B6C"/>
    <w:p w14:paraId="12037767" w14:textId="77777777" w:rsidR="00443B6C" w:rsidRDefault="00443B6C" w:rsidP="00443B6C"/>
    <w:p w14:paraId="4EBD2EDA" w14:textId="77777777" w:rsidR="005549B9" w:rsidRDefault="005549B9" w:rsidP="005549B9">
      <w:pPr>
        <w:keepNext/>
      </w:pPr>
      <w:r>
        <w:rPr>
          <w:noProof/>
        </w:rPr>
        <w:lastRenderedPageBreak/>
        <w:drawing>
          <wp:inline distT="0" distB="0" distL="0" distR="0" wp14:anchorId="0FD784E7" wp14:editId="70D07206">
            <wp:extent cx="4535905" cy="3756660"/>
            <wp:effectExtent l="0" t="0" r="0" b="0"/>
            <wp:docPr id="104440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364" cy="3760353"/>
                    </a:xfrm>
                    <a:prstGeom prst="rect">
                      <a:avLst/>
                    </a:prstGeom>
                    <a:noFill/>
                    <a:ln>
                      <a:noFill/>
                    </a:ln>
                  </pic:spPr>
                </pic:pic>
              </a:graphicData>
            </a:graphic>
          </wp:inline>
        </w:drawing>
      </w:r>
    </w:p>
    <w:p w14:paraId="1CCD99F6" w14:textId="2A8A729B" w:rsidR="00443B6C" w:rsidRDefault="005549B9" w:rsidP="005549B9">
      <w:pPr>
        <w:pStyle w:val="Caption"/>
      </w:pPr>
      <w:r>
        <w:t xml:space="preserve">Figure </w:t>
      </w:r>
      <w:r>
        <w:fldChar w:fldCharType="begin"/>
      </w:r>
      <w:r>
        <w:instrText xml:space="preserve"> SEQ Figure \* ARABIC </w:instrText>
      </w:r>
      <w:r>
        <w:fldChar w:fldCharType="separate"/>
      </w:r>
      <w:r>
        <w:rPr>
          <w:noProof/>
        </w:rPr>
        <w:t>3</w:t>
      </w:r>
      <w:r>
        <w:fldChar w:fldCharType="end"/>
      </w:r>
      <w:r w:rsidR="007F4F90">
        <w:t>. Options available under the file menu item.</w:t>
      </w:r>
    </w:p>
    <w:p w14:paraId="69F2D2F8" w14:textId="77777777" w:rsidR="00443B6C" w:rsidRDefault="00443B6C" w:rsidP="00443B6C"/>
    <w:p w14:paraId="0F2A9136" w14:textId="77777777" w:rsidR="00443B6C" w:rsidRPr="00443B6C" w:rsidRDefault="00443B6C" w:rsidP="00443B6C"/>
    <w:p w14:paraId="6EE83735" w14:textId="6E95ECC6" w:rsidR="0057508E" w:rsidRDefault="0057508E" w:rsidP="0057508E">
      <w:pPr>
        <w:pStyle w:val="Heading2"/>
      </w:pPr>
      <w:r>
        <w:t>Saving and Loading Schemes</w:t>
      </w:r>
    </w:p>
    <w:p w14:paraId="614D41CA" w14:textId="6E7CFA60" w:rsidR="0057508E" w:rsidRDefault="0057508E" w:rsidP="0057508E">
      <w:r>
        <w:t>The File menu also includes items to save and load schemes. Schemes a</w:t>
      </w:r>
      <w:r w:rsidR="00443B6C">
        <w:t>r</w:t>
      </w:r>
      <w:r>
        <w:t xml:space="preserve">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107F76C4" w:rsidR="00E87C1D" w:rsidRDefault="00E87C1D" w:rsidP="00E87C1D">
      <w:pPr>
        <w:pStyle w:val="Caption"/>
      </w:pPr>
      <w:r>
        <w:t xml:space="preserve">Figure </w:t>
      </w:r>
      <w:r>
        <w:fldChar w:fldCharType="begin"/>
      </w:r>
      <w:r>
        <w:instrText xml:space="preserve"> SEQ Figure \* ARABIC </w:instrText>
      </w:r>
      <w:r>
        <w:fldChar w:fldCharType="separate"/>
      </w:r>
      <w:r w:rsidR="005549B9">
        <w:rPr>
          <w:noProof/>
        </w:rPr>
        <w:t>4</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0C2F8580" w:rsidR="004C0E93" w:rsidRDefault="004C0E93" w:rsidP="004C0E93">
      <w:r>
        <w:t xml:space="preserve">Chemical Inputs appear on the first tab page upon starting PWC3 (Fig </w:t>
      </w:r>
      <w:r w:rsidR="007F4F90">
        <w:t>4</w:t>
      </w:r>
      <w:r>
        <w:t xml:space="preserve">) </w:t>
      </w:r>
      <w:r w:rsidR="00667926">
        <w:t xml:space="preserve">These inputs are for the primary (or </w:t>
      </w:r>
      <w:r w:rsidR="007161E9">
        <w:rPr>
          <w:b/>
          <w:bCs/>
          <w:i/>
          <w:iCs/>
        </w:rPr>
        <w:t>P</w:t>
      </w:r>
      <w:r w:rsidR="007161E9" w:rsidRPr="00B81E30">
        <w:rPr>
          <w:b/>
          <w:bCs/>
          <w:i/>
          <w:iCs/>
        </w:rPr>
        <w:t>arent</w:t>
      </w:r>
      <w:r w:rsidR="00667926">
        <w:t>) compoun</w:t>
      </w:r>
      <w:r w:rsidR="007F4F90">
        <w:t>d (i.e.,</w:t>
      </w:r>
      <w:r w:rsidR="00667926">
        <w:t xml:space="preserve"> the chemical directly applied to the field</w:t>
      </w:r>
      <w:r w:rsidR="007F4F90">
        <w:t>)</w:t>
      </w:r>
      <w:r w:rsidR="00667926">
        <w:t>. Degradate properties</w:t>
      </w:r>
      <w:r w:rsidR="007F4F90">
        <w:t xml:space="preserve"> (secondary compounds formed by the degradation on the parent)</w:t>
      </w:r>
      <w:r w:rsidR="00667926">
        <w:t xml:space="preserve">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w:t>
      </w:r>
      <w:r w:rsidR="007F4F90">
        <w:t xml:space="preserve"> if it is missing</w:t>
      </w:r>
      <w:r w:rsidR="00667926">
        <w:t xml:space="preserv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5A13584F"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7F4F90">
        <w:t>5.</w:t>
      </w:r>
      <w:r w:rsidR="006D0CE1">
        <w:t xml:space="preserve"> </w:t>
      </w:r>
      <w:r>
        <w:t xml:space="preserve">Definitions of inputs are the same as for the </w:t>
      </w:r>
      <w:r>
        <w:lastRenderedPageBreak/>
        <w:t>parent</w:t>
      </w:r>
      <w:r w:rsidR="00832C49">
        <w:t xml:space="preserve"> chemical</w:t>
      </w:r>
      <w:r>
        <w:t>. For each degradation process</w:t>
      </w:r>
      <w:r w:rsidR="007F4F90">
        <w:t>,</w:t>
      </w:r>
      <w:r>
        <w:t xml:space="preserve">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0"/>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2FBA9400" w:rsidR="000B2827" w:rsidRDefault="000B2827" w:rsidP="00E8722E">
      <w:r>
        <w:t>In addition, PWC3 offers output that mimics the USEPA’s Plant Assessment Tool (USEPA 2024)</w:t>
      </w:r>
      <w:r w:rsidR="0063536C">
        <w:t xml:space="preserve"> as well as output for edge of field concentrations (EoF)</w:t>
      </w:r>
      <w:r>
        <w:t xml:space="preserve">. The WPEZ is a variation of the USEPA standard Pond with a </w:t>
      </w:r>
      <w:r>
        <w:lastRenderedPageBreak/>
        <w:t>shallower depth and the allowance of flow through. The TPEZ is a terrestrial receiving area.</w:t>
      </w:r>
      <w:r w:rsidR="004A4B03">
        <w:t xml:space="preserve"> </w:t>
      </w:r>
      <w:r w:rsidR="0063536C">
        <w:t xml:space="preserve">The EoF is the concentration in the runoff water leaving the field.  </w:t>
      </w:r>
      <w:r>
        <w:t xml:space="preserve">Checking the </w:t>
      </w:r>
      <w:r w:rsidRPr="00B81E30">
        <w:rPr>
          <w:b/>
          <w:bCs/>
          <w:i/>
          <w:iCs/>
        </w:rPr>
        <w:t>USEPA TPEZ</w:t>
      </w:r>
      <w:r w:rsidR="0063536C">
        <w:rPr>
          <w:b/>
          <w:bCs/>
          <w:i/>
          <w:iCs/>
        </w:rPr>
        <w:t>,</w:t>
      </w:r>
      <w:r w:rsidRPr="00B81E30">
        <w:rPr>
          <w:b/>
          <w:bCs/>
          <w:i/>
          <w:iCs/>
        </w:rPr>
        <w:t xml:space="preserve"> WPEZ</w:t>
      </w:r>
      <w:r w:rsidR="0063536C">
        <w:rPr>
          <w:b/>
          <w:bCs/>
          <w:i/>
          <w:iCs/>
        </w:rPr>
        <w:t xml:space="preserve"> &amp; EoF</w:t>
      </w:r>
      <w:r>
        <w:t xml:space="preserve"> b</w:t>
      </w:r>
      <w:r w:rsidR="0063536C">
        <w:t>ox</w:t>
      </w:r>
      <w:r>
        <w:t xml:space="preserve"> will produce output for these additional receiving areas.</w:t>
      </w:r>
      <w:r w:rsidR="004A4B03">
        <w:t xml:space="preserve"> </w:t>
      </w:r>
      <w:r>
        <w:t xml:space="preserve">The USEPA Pond simulation must always be run simultaneously </w:t>
      </w:r>
      <w:r w:rsidR="0063536C">
        <w:t xml:space="preserve">with </w:t>
      </w:r>
      <w:r>
        <w:t>these runs</w:t>
      </w:r>
      <w:r w:rsidR="00D60866">
        <w:t xml:space="preserve"> since the TPEZ</w:t>
      </w:r>
      <w:r w:rsidR="0063536C">
        <w:t xml:space="preserve">, </w:t>
      </w:r>
      <w:r w:rsidR="00D60866">
        <w:t>WPEZ</w:t>
      </w:r>
      <w:r w:rsidR="0063536C">
        <w:t>, &amp; EoF</w:t>
      </w:r>
      <w:r w:rsidR="00D60866">
        <w:t xml:space="preserve"> use the </w:t>
      </w:r>
      <w:r w:rsidR="0063536C">
        <w:t>field output from</w:t>
      </w:r>
      <w:r w:rsidR="00D60866">
        <w:t xml:space="preserve"> the USEPA pond simulation (i.e, the TPEZ/WPEZ</w:t>
      </w:r>
      <w:r w:rsidR="0063536C">
        <w:t xml:space="preserve">/EoF </w:t>
      </w:r>
      <w:r w:rsidR="00D60866">
        <w:t>check box is enabled only if USEPA pond box is checked)</w:t>
      </w:r>
      <w:r>
        <w:t xml:space="preserve">. </w:t>
      </w:r>
      <w:r w:rsidR="00D60866">
        <w:t>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r w:rsidR="00AB3598">
        <w:t>required,</w:t>
      </w:r>
      <w:r w:rsidR="00D60866">
        <w:t xml:space="preserve"> and this box would not be checked</w:t>
      </w:r>
      <w:r w:rsidR="00AB3598">
        <w:t xml:space="preserve"> in that case</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0B4AAD6"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71FB5285"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AB3598">
        <w:t xml:space="preserve">two </w:t>
      </w:r>
      <w:r w:rsidR="007C5D47">
        <w:t>following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5BD36F84" w:rsidR="006D137E" w:rsidRDefault="006D137E" w:rsidP="00282438"/>
    <w:p w14:paraId="12532A1D" w14:textId="733C55F0" w:rsidR="00F8442B" w:rsidRDefault="003E4E50" w:rsidP="000574E4">
      <w:r w:rsidRPr="003E4E50">
        <w:lastRenderedPageBreak/>
        <w:drawing>
          <wp:inline distT="0" distB="0" distL="0" distR="0" wp14:anchorId="6CB9D3E4" wp14:editId="5D27D2EB">
            <wp:extent cx="5273040" cy="4333921"/>
            <wp:effectExtent l="0" t="0" r="0" b="0"/>
            <wp:docPr id="955180318"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0318" name="Picture 1" descr="Graphical user interface&#10;&#10;AI-generated content may be incorrect."/>
                    <pic:cNvPicPr/>
                  </pic:nvPicPr>
                  <pic:blipFill>
                    <a:blip r:embed="rId12"/>
                    <a:stretch>
                      <a:fillRect/>
                    </a:stretch>
                  </pic:blipFill>
                  <pic:spPr>
                    <a:xfrm>
                      <a:off x="0" y="0"/>
                      <a:ext cx="5277179" cy="4337323"/>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date can be optionally specified with a year as for example 3/23/1991. In this case, the </w:t>
      </w:r>
      <w:r w:rsidR="00C6286C">
        <w:lastRenderedPageBreak/>
        <w:t>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435531A6"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The drop-down menu lists the most typical aerial applications for regulatory work</w:t>
      </w:r>
      <w:r w:rsidR="004357EB">
        <w:t>. The program will automatically determine the proper spray drift according to USEPA standard spray curves, the buffer distance, and the waterbody</w:t>
      </w:r>
      <w:r>
        <w:t>.</w:t>
      </w:r>
    </w:p>
    <w:p w14:paraId="6E840EDE" w14:textId="1C779C07"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xml:space="preserve">. </w:t>
      </w:r>
      <w:r w:rsidR="004357EB">
        <w:t xml:space="preserve"> PWC automatically calculates the b</w:t>
      </w:r>
      <w:r w:rsidR="00EC449A">
        <w:t xml:space="preserve">uffer </w:t>
      </w:r>
      <w:r w:rsidR="004357EB">
        <w:t>impact on spray drift (see PRZM-VVWM technical manual)</w:t>
      </w:r>
      <w:r w:rsidR="00EC449A">
        <w:t xml:space="preserve">.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lastRenderedPageBreak/>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1985FB48" w:rsidR="006C7119" w:rsidRDefault="009013A8" w:rsidP="00630FEB">
      <w:pPr>
        <w:pStyle w:val="ListParagraph"/>
        <w:numPr>
          <w:ilvl w:val="0"/>
          <w:numId w:val="3"/>
        </w:numPr>
      </w:pPr>
      <w:r w:rsidRPr="009013A8">
        <w:rPr>
          <w:b/>
          <w:bCs/>
        </w:rPr>
        <w:t xml:space="preserve">Pesticide Mass </w:t>
      </w:r>
      <w:r w:rsidR="005A1826" w:rsidRPr="009013A8">
        <w:rPr>
          <w:b/>
          <w:bCs/>
        </w:rPr>
        <w:t>Mitigation</w:t>
      </w:r>
      <w:r w:rsidRPr="009013A8">
        <w:rPr>
          <w:b/>
          <w:bCs/>
        </w:rPr>
        <w:t xml:space="preserve"> Factors</w:t>
      </w:r>
      <w:r>
        <w:t xml:space="preserve"> </w:t>
      </w:r>
      <w:r w:rsidR="00B2132F">
        <w:t xml:space="preserve">adjust the mass of pesticide entering the water body.  </w:t>
      </w:r>
      <w:r w:rsidR="00AD7F91">
        <w:t>These adjustments</w:t>
      </w:r>
      <w:r w:rsidR="00DB11C6">
        <w:t xml:space="preserve"> </w:t>
      </w:r>
      <w:r w:rsidR="00B2132F">
        <w:t>remove</w:t>
      </w:r>
      <w:r w:rsidR="00DB11C6">
        <w:t xml:space="preserve"> pesticide</w:t>
      </w:r>
      <w:r w:rsidR="00B2132F">
        <w:t xml:space="preserve"> from the transport media </w:t>
      </w:r>
      <w:r w:rsidR="00DB11C6">
        <w:t xml:space="preserve">(runoff water, eroded soil, or air) </w:t>
      </w:r>
      <w:r w:rsidR="00B2132F">
        <w:t xml:space="preserve">after leaving the field. </w:t>
      </w:r>
      <w:r>
        <w:t>T</w:t>
      </w:r>
      <w:r w:rsidR="00B2132F">
        <w:t>hese factors do not influence any on-field calculations</w:t>
      </w:r>
      <w:r w:rsidR="00DB11C6">
        <w:t>, or field output values</w:t>
      </w:r>
      <w:r w:rsidR="00B2132F">
        <w:t xml:space="preserve">.  These </w:t>
      </w:r>
      <w:r w:rsidR="00DB11C6">
        <w:t xml:space="preserve">mitigation factors </w:t>
      </w:r>
      <w:r w:rsidR="00B2132F">
        <w:t>can be thought of as</w:t>
      </w:r>
      <w:r w:rsidR="00DB11C6">
        <w:t xml:space="preserve"> simulating a</w:t>
      </w:r>
      <w:r w:rsidR="00B2132F">
        <w:t xml:space="preserve"> filtering processes </w:t>
      </w:r>
      <w:r w:rsidR="00DB11C6">
        <w:t>where</w:t>
      </w:r>
      <w:r w:rsidR="00B2132F">
        <w:t xml:space="preserve">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w:t>
      </w:r>
      <w:r>
        <w:t>dium</w:t>
      </w:r>
      <w:r w:rsidR="00B2132F">
        <w:t xml:space="preserve">.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w:t>
      </w:r>
      <w:r w:rsidR="00DB11C6">
        <w:t>, or even less than 0</w:t>
      </w:r>
      <w:r w:rsidR="006C7119">
        <w:t xml:space="preserve">. </w:t>
      </w:r>
      <w:r w:rsidR="00DB11C6">
        <w:t xml:space="preserve">(This flexibility is intentional and can be useful for advanced sensitivity analyses).  </w:t>
      </w:r>
      <w:r w:rsidR="004C25C9">
        <w:t>The</w:t>
      </w:r>
      <w:r w:rsidR="00DB11C6">
        <w:t xml:space="preserve">se </w:t>
      </w:r>
      <w:r w:rsidR="004C25C9">
        <w:t>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546B4884" w:rsidR="005A1826" w:rsidRDefault="005A1826" w:rsidP="005A1826"/>
    <w:p w14:paraId="16D9BA92" w14:textId="1D6FA322" w:rsidR="00D07E8C" w:rsidRDefault="003E4E50" w:rsidP="00282438">
      <w:pPr>
        <w:keepNext/>
        <w:keepLines/>
      </w:pPr>
      <w:r>
        <w:rPr>
          <w:noProof/>
        </w:rPr>
        <w:drawing>
          <wp:inline distT="0" distB="0" distL="0" distR="0" wp14:anchorId="0BDCB7B3" wp14:editId="4405B88C">
            <wp:extent cx="5552394" cy="2771353"/>
            <wp:effectExtent l="0" t="0" r="0" b="0"/>
            <wp:docPr id="1258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7059" cy="2788655"/>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2D3E4BCA"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w:t>
      </w:r>
      <w:r>
        <w:t xml:space="preserve">. </w:t>
      </w:r>
      <w:r w:rsidR="00345F28">
        <w:t>Thus,</w:t>
      </w:r>
      <w:r>
        <w:t xml:space="preserve"> this feature </w:t>
      </w:r>
      <w:r w:rsidR="00345F28">
        <w:t>is</w:t>
      </w:r>
      <w:r>
        <w:t xml:space="preserve"> most appropriate for groundwater </w:t>
      </w:r>
      <w:r w:rsidR="00345F28">
        <w:t>simulations</w:t>
      </w:r>
      <w:r>
        <w:t>.</w:t>
      </w:r>
    </w:p>
    <w:bookmarkEnd w:id="7"/>
    <w:p w14:paraId="0B430DA2" w14:textId="592EC884"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r w:rsidR="00345F28">
        <w:t xml:space="preserve">portion </w:t>
      </w:r>
      <w:r w:rsidR="00853787">
        <w:t xml:space="preserve">of the program </w:t>
      </w:r>
      <w:r>
        <w:t>and requires population of the nonequilibrium parameters on this same tab page. Refer to the PRZM</w:t>
      </w:r>
      <w:r w:rsidR="00853787">
        <w:t>-</w:t>
      </w:r>
      <w:r>
        <w:t xml:space="preserve">VVWM theoretical documentation for use of this advanced feature. Nonequilibrium sorption </w:t>
      </w:r>
      <w:r>
        <w:lastRenderedPageBreak/>
        <w:t>is not simulated in</w:t>
      </w:r>
      <w:r w:rsidR="00853787">
        <w:t xml:space="preserve"> the waterbod</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7"/>
                    <a:stretch>
                      <a:fillRect/>
                    </a:stretch>
                  </pic:blipFill>
                  <pic:spPr>
                    <a:xfrm>
                      <a:off x="0" y="0"/>
                      <a:ext cx="5943600" cy="4768215"/>
                    </a:xfrm>
                    <a:prstGeom prst="rect">
                      <a:avLst/>
                    </a:prstGeom>
                  </pic:spPr>
                </pic:pic>
              </a:graphicData>
            </a:graphic>
          </wp:inline>
        </w:drawing>
      </w:r>
    </w:p>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lastRenderedPageBreak/>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w:t>
      </w:r>
      <w:r>
        <w:lastRenderedPageBreak/>
        <w:t xml:space="preserve">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8"/>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area coverage of the canopy</w:t>
      </w:r>
      <w:r w:rsidR="00A864CF">
        <w:t xml:space="preserve"> in percent</w:t>
      </w:r>
      <w:r w:rsidR="00E92374">
        <w:t>.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9"/>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lastRenderedPageBreak/>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lastRenderedPageBreak/>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3A4CD246"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r w:rsidR="00BE04FD">
        <w:t xml:space="preserve">is too </w:t>
      </w:r>
      <w:r>
        <w:t>low t</w:t>
      </w:r>
      <w:r w:rsidR="00BE04FD">
        <w:t xml:space="preserve">o </w:t>
      </w:r>
      <w:r>
        <w:t xml:space="preserve">support </w:t>
      </w:r>
      <w:r w:rsidR="00BE04FD">
        <w:t>the relevant ecology</w:t>
      </w:r>
      <w:r>
        <w:t>.</w:t>
      </w:r>
      <w:r w:rsidR="004A4B03">
        <w:t xml:space="preserve"> </w:t>
      </w:r>
      <w:r>
        <w:t>Concentrations in such cases may be very high, but only microscopic amounts of water exist.</w:t>
      </w:r>
      <w:r w:rsidR="004A4B03">
        <w:t xml:space="preserve"> </w:t>
      </w:r>
      <w:r>
        <w:t xml:space="preserve">In this case, calculations for risk assessments in water may be of more practical use if these concentrations were ignored. Checking this box allows </w:t>
      </w:r>
      <w:r w:rsidR="00BE04FD">
        <w:t xml:space="preserve">the </w:t>
      </w:r>
      <w:r>
        <w:t xml:space="preserve">user to specify a depth below which concentrations are ignored only for the sake of output processing and display. Mass balance throughout the simulation is </w:t>
      </w:r>
      <w:r w:rsidR="00BE04FD">
        <w:t xml:space="preserve">always </w:t>
      </w:r>
      <w:r>
        <w:t>maintained.</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35C627F1" w:rsidR="0000586A" w:rsidRDefault="00BE04FD" w:rsidP="00D94580">
      <w:r>
        <w:rPr>
          <w:noProof/>
        </w:rPr>
        <w:lastRenderedPageBreak/>
        <w:drawing>
          <wp:inline distT="0" distB="0" distL="0" distR="0" wp14:anchorId="0DF70E8A" wp14:editId="3699F5A3">
            <wp:extent cx="5943600" cy="4885055"/>
            <wp:effectExtent l="0" t="0" r="0" b="0"/>
            <wp:docPr id="1973273447"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3447" name="Picture 1" descr="Graphical user interface&#10;&#10;AI-generated content may be incorrect."/>
                    <pic:cNvPicPr/>
                  </pic:nvPicPr>
                  <pic:blipFill>
                    <a:blip r:embed="rId20"/>
                    <a:stretch>
                      <a:fillRect/>
                    </a:stretch>
                  </pic:blipFill>
                  <pic:spPr>
                    <a:xfrm>
                      <a:off x="0" y="0"/>
                      <a:ext cx="5943600" cy="4885055"/>
                    </a:xfrm>
                    <a:prstGeom prst="rect">
                      <a:avLst/>
                    </a:prstGeom>
                  </pic:spPr>
                </pic:pic>
              </a:graphicData>
            </a:graphic>
          </wp:inline>
        </w:drawing>
      </w:r>
    </w:p>
    <w:p w14:paraId="0F5FA031" w14:textId="4B2B16E8" w:rsidR="00FB6840" w:rsidRDefault="002A0D9E" w:rsidP="00194D2A">
      <w:pPr>
        <w:pStyle w:val="Caption"/>
      </w:pPr>
      <w:r>
        <w:t xml:space="preserve">Figure </w:t>
      </w:r>
      <w:r>
        <w:fldChar w:fldCharType="begin"/>
      </w:r>
      <w:r>
        <w:instrText xml:space="preserve"> SEQ Figure \* ARABIC </w:instrText>
      </w:r>
      <w:r>
        <w:fldChar w:fldCharType="separate"/>
      </w:r>
      <w:r w:rsidR="005549B9">
        <w:rPr>
          <w:noProof/>
        </w:rPr>
        <w:t>5</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1"/>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7E9D425A" w14:textId="12BE855A"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However, it may be useful to know that it is exactly the same internally as the *.PW</w:t>
      </w:r>
      <w:r w:rsidR="004357EB">
        <w:t>4</w:t>
      </w:r>
      <w:r>
        <w:t xml:space="preserve"> input file, so it may come in handy if the *.PW</w:t>
      </w:r>
      <w:r w:rsidR="004357EB">
        <w:t>4</w:t>
      </w:r>
      <w:r>
        <w:t xml:space="preserve"> is ever accidently lost or altered and this file could provide backup. </w:t>
      </w:r>
    </w:p>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2D7C2E8" w:rsidR="000372BA" w:rsidRPr="00B00152" w:rsidRDefault="000372BA">
      <w:pPr>
        <w:rPr>
          <w:vanish/>
        </w:rPr>
      </w:pPr>
      <w:r>
        <w:lastRenderedPageBreak/>
        <w:t>Appendix A Scheme Tabl</w:t>
      </w:r>
      <w:r w:rsidR="008717E1">
        <w:t xml:space="preserve">e </w:t>
      </w:r>
      <w:r w:rsidR="000C0E96">
        <w:t>.</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1D367F92" w:rsidR="008717E1" w:rsidRPr="008717E1" w:rsidRDefault="000C0E96" w:rsidP="00A948D7">
            <w:r>
              <w:t>Spray drift buffer</w:t>
            </w:r>
          </w:p>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0E8EAA4B" w:rsidR="008717E1" w:rsidRPr="008717E1" w:rsidRDefault="000C0E96" w:rsidP="00A948D7">
            <w:r>
              <w:t>Gap between annual applications (every year = 1, every other year = 2)</w:t>
            </w:r>
          </w:p>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15D30B40" w:rsidR="008717E1" w:rsidRPr="008717E1" w:rsidRDefault="000C0E96" w:rsidP="00A948D7">
            <w:r>
              <w:t>Lag in years before first application (no lag = 0)</w:t>
            </w:r>
          </w:p>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3389674B" w:rsidR="008717E1" w:rsidRPr="008717E1" w:rsidRDefault="000C0E96" w:rsidP="00A948D7">
            <w:r>
              <w:t>Repeat as above for subsequent applications (columns N to CP)</w:t>
            </w:r>
          </w:p>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1DD4F916" w:rsidR="002845CE" w:rsidRPr="008717E1" w:rsidRDefault="006F7B1B" w:rsidP="002845CE">
            <w:r>
              <w:t>Use application window (T of F)</w:t>
            </w:r>
          </w:p>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387BC6F6" w:rsidR="002845CE" w:rsidRPr="008717E1" w:rsidRDefault="006F7B1B" w:rsidP="002845CE">
            <w:r>
              <w:t>Span of application window</w:t>
            </w:r>
          </w:p>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E0DDA93" w:rsidR="002845CE" w:rsidRPr="008717E1" w:rsidRDefault="006F7B1B" w:rsidP="002845CE">
            <w:r>
              <w:t>Step of application window</w:t>
            </w:r>
          </w:p>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512C1FA2" w:rsidR="002845CE" w:rsidRPr="008717E1" w:rsidRDefault="006F7B1B" w:rsidP="002845CE">
            <w:r>
              <w:t>Use rain restriction (T of F)</w:t>
            </w:r>
          </w:p>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66342B70" w:rsidR="002845CE" w:rsidRPr="008717E1" w:rsidRDefault="006F7B1B" w:rsidP="002845CE">
            <w:r>
              <w:t>Rain limit</w:t>
            </w:r>
          </w:p>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43602971" w:rsidR="002845CE" w:rsidRPr="008717E1" w:rsidRDefault="006F7B1B" w:rsidP="002845CE">
            <w:r>
              <w:t>Intolerable window</w:t>
            </w:r>
          </w:p>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3750171F" w:rsidR="002845CE" w:rsidRPr="008717E1" w:rsidRDefault="006F7B1B" w:rsidP="002845CE">
            <w:r>
              <w:t>Optimum window</w:t>
            </w:r>
          </w:p>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0E6CDBBC" w:rsidR="002845CE" w:rsidRPr="008717E1" w:rsidRDefault="006F7B1B" w:rsidP="002845CE">
            <w:r>
              <w:t>Minimum days between applications</w:t>
            </w:r>
          </w:p>
        </w:tc>
      </w:tr>
      <w:tr w:rsidR="000C0E96" w:rsidRPr="008717E1" w14:paraId="4064AF80" w14:textId="77777777" w:rsidTr="002845CE">
        <w:tc>
          <w:tcPr>
            <w:tcW w:w="1098" w:type="dxa"/>
          </w:tcPr>
          <w:p w14:paraId="0AD3BE78" w14:textId="643AD5D9" w:rsidR="000C0E96" w:rsidRDefault="000C0E96" w:rsidP="002845CE">
            <w:r>
              <w:t>CY</w:t>
            </w:r>
          </w:p>
        </w:tc>
        <w:tc>
          <w:tcPr>
            <w:tcW w:w="1800" w:type="dxa"/>
          </w:tcPr>
          <w:p w14:paraId="783EAA80" w14:textId="7AB323EC" w:rsidR="000C0E96" w:rsidRPr="008717E1" w:rsidRDefault="000C0E96" w:rsidP="002845CE">
            <w:r>
              <w:t>RunoffMit</w:t>
            </w:r>
          </w:p>
        </w:tc>
        <w:tc>
          <w:tcPr>
            <w:tcW w:w="6678" w:type="dxa"/>
          </w:tcPr>
          <w:p w14:paraId="171FF773" w14:textId="33155DF1" w:rsidR="000C0E96" w:rsidRPr="008717E1" w:rsidRDefault="00BE7E08" w:rsidP="002845CE">
            <w:r>
              <w:t>Runoff mitigation factor</w:t>
            </w:r>
          </w:p>
        </w:tc>
      </w:tr>
      <w:tr w:rsidR="000C0E96" w:rsidRPr="008717E1" w14:paraId="03A13878" w14:textId="77777777" w:rsidTr="002845CE">
        <w:tc>
          <w:tcPr>
            <w:tcW w:w="1098" w:type="dxa"/>
          </w:tcPr>
          <w:p w14:paraId="71AD883B" w14:textId="460A587F" w:rsidR="000C0E96" w:rsidRDefault="000C0E96" w:rsidP="002845CE">
            <w:r>
              <w:t>CZ</w:t>
            </w:r>
          </w:p>
        </w:tc>
        <w:tc>
          <w:tcPr>
            <w:tcW w:w="1800" w:type="dxa"/>
          </w:tcPr>
          <w:p w14:paraId="29502B42" w14:textId="13C5BB9A" w:rsidR="000C0E96" w:rsidRPr="008717E1" w:rsidRDefault="000C0E96" w:rsidP="002845CE">
            <w:r>
              <w:t>ErosionMit</w:t>
            </w:r>
          </w:p>
        </w:tc>
        <w:tc>
          <w:tcPr>
            <w:tcW w:w="6678" w:type="dxa"/>
          </w:tcPr>
          <w:p w14:paraId="03984524" w14:textId="2BA7D825" w:rsidR="000C0E96" w:rsidRPr="008717E1" w:rsidRDefault="00BE7E08" w:rsidP="002845CE">
            <w:r>
              <w:t>Erosion mitigation factor</w:t>
            </w:r>
          </w:p>
        </w:tc>
      </w:tr>
      <w:tr w:rsidR="000C0E96" w:rsidRPr="008717E1" w14:paraId="5E66C80E" w14:textId="77777777" w:rsidTr="002845CE">
        <w:tc>
          <w:tcPr>
            <w:tcW w:w="1098" w:type="dxa"/>
          </w:tcPr>
          <w:p w14:paraId="5B000485" w14:textId="7B69504C" w:rsidR="000C0E96" w:rsidRDefault="000C0E96" w:rsidP="002845CE">
            <w:r>
              <w:t>DA</w:t>
            </w:r>
          </w:p>
        </w:tc>
        <w:tc>
          <w:tcPr>
            <w:tcW w:w="1800" w:type="dxa"/>
          </w:tcPr>
          <w:p w14:paraId="2ABA539C" w14:textId="01E07F65" w:rsidR="000C0E96" w:rsidRPr="008717E1" w:rsidRDefault="000C0E96" w:rsidP="002845CE">
            <w:r>
              <w:t>DriftMit</w:t>
            </w:r>
          </w:p>
        </w:tc>
        <w:tc>
          <w:tcPr>
            <w:tcW w:w="6678" w:type="dxa"/>
          </w:tcPr>
          <w:p w14:paraId="492653B9" w14:textId="5E9555DD" w:rsidR="000C0E96" w:rsidRPr="008717E1" w:rsidRDefault="00BE7E08" w:rsidP="002845CE">
            <w:r>
              <w:t>Drift mitigation factor</w:t>
            </w:r>
          </w:p>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458BD3A6" w:rsidR="002845CE" w:rsidRPr="008717E1" w:rsidRDefault="00BE7E08" w:rsidP="002845CE">
            <w:r>
              <w:t>Number of scenarios to be read in</w:t>
            </w:r>
          </w:p>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C008884" w:rsidR="002845CE" w:rsidRPr="008717E1" w:rsidRDefault="00BE7E08" w:rsidP="002845CE">
            <w:r>
              <w:t>Directory for scenarios</w:t>
            </w:r>
          </w:p>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62668969" w:rsidR="002845CE" w:rsidRDefault="00BE7E08" w:rsidP="002845CE">
            <w:r>
              <w:t>S</w:t>
            </w:r>
            <w:r w:rsidR="002845CE">
              <w:t>cenarios</w:t>
            </w:r>
            <w:r>
              <w:t xml:space="preserve"> (blank)</w:t>
            </w:r>
          </w:p>
        </w:tc>
        <w:tc>
          <w:tcPr>
            <w:tcW w:w="6678" w:type="dxa"/>
          </w:tcPr>
          <w:p w14:paraId="580EB767" w14:textId="2299B38B" w:rsidR="002845CE" w:rsidRDefault="00BE7E08" w:rsidP="002845CE">
            <w:r>
              <w:t>One scenario per column</w:t>
            </w:r>
          </w:p>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0E96"/>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55A3"/>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45F28"/>
    <w:rsid w:val="003752AF"/>
    <w:rsid w:val="00385CAF"/>
    <w:rsid w:val="003A608B"/>
    <w:rsid w:val="003A7247"/>
    <w:rsid w:val="003C0F3E"/>
    <w:rsid w:val="003C2F3A"/>
    <w:rsid w:val="003D4558"/>
    <w:rsid w:val="003E4E50"/>
    <w:rsid w:val="003E65F5"/>
    <w:rsid w:val="003F1069"/>
    <w:rsid w:val="003F32C5"/>
    <w:rsid w:val="003F6F6D"/>
    <w:rsid w:val="0040284D"/>
    <w:rsid w:val="00406745"/>
    <w:rsid w:val="004069F0"/>
    <w:rsid w:val="00423CC9"/>
    <w:rsid w:val="0042613E"/>
    <w:rsid w:val="004357EB"/>
    <w:rsid w:val="00441A20"/>
    <w:rsid w:val="00443B6C"/>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30C58"/>
    <w:rsid w:val="00537A20"/>
    <w:rsid w:val="00541C83"/>
    <w:rsid w:val="00553714"/>
    <w:rsid w:val="005549B9"/>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536C"/>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6F7B1B"/>
    <w:rsid w:val="007161E9"/>
    <w:rsid w:val="0071697D"/>
    <w:rsid w:val="00717592"/>
    <w:rsid w:val="007230B3"/>
    <w:rsid w:val="00750800"/>
    <w:rsid w:val="0075510F"/>
    <w:rsid w:val="00761C3C"/>
    <w:rsid w:val="00763DC9"/>
    <w:rsid w:val="007A5009"/>
    <w:rsid w:val="007B6DDB"/>
    <w:rsid w:val="007B7F31"/>
    <w:rsid w:val="007C5D47"/>
    <w:rsid w:val="007D25D1"/>
    <w:rsid w:val="007D6928"/>
    <w:rsid w:val="007E6CC6"/>
    <w:rsid w:val="007F27FD"/>
    <w:rsid w:val="007F4F90"/>
    <w:rsid w:val="007F6AFB"/>
    <w:rsid w:val="00801FEE"/>
    <w:rsid w:val="00820959"/>
    <w:rsid w:val="0083102C"/>
    <w:rsid w:val="00832C49"/>
    <w:rsid w:val="00836460"/>
    <w:rsid w:val="00841632"/>
    <w:rsid w:val="00853787"/>
    <w:rsid w:val="00860393"/>
    <w:rsid w:val="00863614"/>
    <w:rsid w:val="008676AC"/>
    <w:rsid w:val="008717E1"/>
    <w:rsid w:val="00885ADC"/>
    <w:rsid w:val="00890501"/>
    <w:rsid w:val="00891AD4"/>
    <w:rsid w:val="00897CCA"/>
    <w:rsid w:val="008A6030"/>
    <w:rsid w:val="008B68F9"/>
    <w:rsid w:val="008B7843"/>
    <w:rsid w:val="008C6ABA"/>
    <w:rsid w:val="008D7638"/>
    <w:rsid w:val="008F6569"/>
    <w:rsid w:val="008F6FE9"/>
    <w:rsid w:val="008F76F6"/>
    <w:rsid w:val="009013A8"/>
    <w:rsid w:val="00904B74"/>
    <w:rsid w:val="009271EE"/>
    <w:rsid w:val="00927AD7"/>
    <w:rsid w:val="0093014D"/>
    <w:rsid w:val="0093465B"/>
    <w:rsid w:val="00936218"/>
    <w:rsid w:val="009402D8"/>
    <w:rsid w:val="0094098E"/>
    <w:rsid w:val="00944381"/>
    <w:rsid w:val="00960783"/>
    <w:rsid w:val="00962E1C"/>
    <w:rsid w:val="0096446E"/>
    <w:rsid w:val="009732D1"/>
    <w:rsid w:val="009746C6"/>
    <w:rsid w:val="0098563B"/>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B3598"/>
    <w:rsid w:val="00AC3278"/>
    <w:rsid w:val="00AC649A"/>
    <w:rsid w:val="00AD17E0"/>
    <w:rsid w:val="00AD31A1"/>
    <w:rsid w:val="00AD6A99"/>
    <w:rsid w:val="00AD7F91"/>
    <w:rsid w:val="00AE2193"/>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BE04FD"/>
    <w:rsid w:val="00BE7E08"/>
    <w:rsid w:val="00C20829"/>
    <w:rsid w:val="00C24438"/>
    <w:rsid w:val="00C45A46"/>
    <w:rsid w:val="00C6286C"/>
    <w:rsid w:val="00C62F65"/>
    <w:rsid w:val="00C6415F"/>
    <w:rsid w:val="00C802E3"/>
    <w:rsid w:val="00C86424"/>
    <w:rsid w:val="00C93198"/>
    <w:rsid w:val="00C937A0"/>
    <w:rsid w:val="00CC5714"/>
    <w:rsid w:val="00CC77DF"/>
    <w:rsid w:val="00CD474E"/>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B11C6"/>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28</Pages>
  <Words>6917</Words>
  <Characters>39431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31</cp:revision>
  <dcterms:created xsi:type="dcterms:W3CDTF">2024-04-10T16:13:00Z</dcterms:created>
  <dcterms:modified xsi:type="dcterms:W3CDTF">2025-10-01T15:53:00Z</dcterms:modified>
</cp:coreProperties>
</file>