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2E477298" w:rsidR="00194D2A" w:rsidRDefault="00194D2A" w:rsidP="00E23257">
      <w:pPr>
        <w:spacing w:after="0"/>
        <w:jc w:val="center"/>
        <w:rPr>
          <w:sz w:val="44"/>
          <w:szCs w:val="44"/>
        </w:rPr>
      </w:pPr>
      <w:r>
        <w:rPr>
          <w:sz w:val="44"/>
          <w:szCs w:val="44"/>
        </w:rPr>
        <w:t>Version 3.004</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4A9CFCF3"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77777777" w:rsidR="00043B17" w:rsidRDefault="00043B17" w:rsidP="00043B17">
      <w:pPr>
        <w:pStyle w:val="Heading2"/>
        <w:numPr>
          <w:ilvl w:val="1"/>
          <w:numId w:val="6"/>
        </w:numPr>
        <w:spacing w:line="256" w:lineRule="auto"/>
      </w:pPr>
      <w:r>
        <w:t>Interface Changes Version 0.003 to 0.004</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77777777"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68FF6D3C" w:rsidR="00281599" w:rsidRDefault="00281599" w:rsidP="00281599">
      <w:r>
        <w:t>The conceptual model that USEPA uses is shown in Figure 1.</w:t>
      </w:r>
      <w:r w:rsidR="004A4B03">
        <w:t xml:space="preserve"> </w:t>
      </w:r>
      <w:r>
        <w:t>A detailed description of the mechanics of the model can be found in Young (</w:t>
      </w:r>
      <w:r w:rsidR="002C27B5">
        <w:t>2024</w:t>
      </w:r>
      <w:r>
        <w:t>)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lastRenderedPageBreak/>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7640AD9D">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1F62EC3" w:rsidR="009A5D90" w:rsidRDefault="009A5D90" w:rsidP="001058F1">
      <w:pPr>
        <w:pStyle w:val="Caption"/>
      </w:pPr>
      <w:r w:rsidRPr="001058F1">
        <w:t xml:space="preserve">Figure </w:t>
      </w:r>
      <w:r>
        <w:fldChar w:fldCharType="begin"/>
      </w:r>
      <w:r>
        <w:instrText xml:space="preserve"> SEQ Figure \* ARABIC </w:instrText>
      </w:r>
      <w:r>
        <w:fldChar w:fldCharType="separate"/>
      </w:r>
      <w:r w:rsidR="00E87C1D">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077F8954"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E87C1D">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741B9A1C" w:rsidR="00E87C1D" w:rsidRDefault="00FF1F1F" w:rsidP="00763DC9">
      <w:r>
        <w:t xml:space="preserve">The </w:t>
      </w:r>
      <w:r w:rsidRPr="00B81E30">
        <w:rPr>
          <w:b/>
          <w:bCs/>
          <w:i/>
          <w:iCs/>
        </w:rPr>
        <w:t>File</w:t>
      </w:r>
      <w:r>
        <w:t xml:space="preserve"> menu item has two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r w:rsidR="003752AF">
        <w:t>s</w:t>
      </w:r>
      <w:r w:rsidR="004613A7">
        <w:t xml:space="preserve">ave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w:t>
      </w:r>
      <w:r w:rsidR="00ED27ED">
        <w:lastRenderedPageBreak/>
        <w:t xml:space="preserve">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7B17B51" w14:textId="3ED4884D" w:rsidR="009D6A77" w:rsidRDefault="009D6A77"/>
    <w:p w14:paraId="6EE83735" w14:textId="6E95ECC6" w:rsidR="0057508E" w:rsidRDefault="0057508E" w:rsidP="0057508E">
      <w:pPr>
        <w:pStyle w:val="Heading2"/>
      </w:pPr>
      <w:r>
        <w:t>Saving and Loading Schemes</w:t>
      </w:r>
    </w:p>
    <w:p w14:paraId="614D41CA" w14:textId="53387922" w:rsidR="0057508E" w:rsidRDefault="0057508E" w:rsidP="0057508E">
      <w:r>
        <w:t xml:space="preserve">The File menu also includes items to save and load schemes. Schemes ae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4EDEDE4A" w14:textId="77777777" w:rsidR="0057508E" w:rsidRDefault="0057508E" w:rsidP="0057508E"/>
    <w:p w14:paraId="1CDDE088" w14:textId="77777777" w:rsidR="0057508E" w:rsidRDefault="0057508E" w:rsidP="0057508E"/>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72AFFB88" w:rsidR="00E87C1D" w:rsidRDefault="00E87C1D" w:rsidP="00E87C1D">
      <w:pPr>
        <w:pStyle w:val="Caption"/>
      </w:pPr>
      <w:r>
        <w:t xml:space="preserve">Figure </w:t>
      </w:r>
      <w:r>
        <w:fldChar w:fldCharType="begin"/>
      </w:r>
      <w:r>
        <w:instrText xml:space="preserve"> SEQ Figure \* ARABIC </w:instrText>
      </w:r>
      <w:r>
        <w:fldChar w:fldCharType="separate"/>
      </w:r>
      <w:r>
        <w:rPr>
          <w:noProof/>
        </w:rPr>
        <w:t>3</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3992D569" w:rsidR="004C0E93" w:rsidRDefault="004C0E93" w:rsidP="004C0E93">
      <w:r>
        <w:t xml:space="preserve">Chemical Inputs appear on the first tab page upon starting PWC3 (Fig 2 and 3) </w:t>
      </w:r>
      <w:r w:rsidR="00667926">
        <w:t xml:space="preserve">These inputs are for the primary (or </w:t>
      </w:r>
      <w:r w:rsidR="007161E9">
        <w:rPr>
          <w:b/>
          <w:bCs/>
          <w:i/>
          <w:iCs/>
        </w:rPr>
        <w:t>P</w:t>
      </w:r>
      <w:r w:rsidR="007161E9" w:rsidRPr="00B81E30">
        <w:rPr>
          <w:b/>
          <w:bCs/>
          <w:i/>
          <w:iCs/>
        </w:rPr>
        <w:t>arent</w:t>
      </w:r>
      <w:r w:rsidR="00667926">
        <w:t xml:space="preserve">) compound, that is it is for the chemical that will be directly applied to the field. Degradate properties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lastRenderedPageBreak/>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lastRenderedPageBreak/>
        <w:t>Daughter and Granddaughter</w:t>
      </w:r>
    </w:p>
    <w:p w14:paraId="2AC1C362" w14:textId="62C49122" w:rsidR="003A608B" w:rsidRPr="003A608B" w:rsidRDefault="003A608B" w:rsidP="003A608B">
      <w:r>
        <w:t xml:space="preserve">Checking the </w:t>
      </w:r>
      <w:r w:rsidR="00D84E2A" w:rsidRPr="00B81E30">
        <w:rPr>
          <w:b/>
          <w:bCs/>
          <w:i/>
          <w:iCs/>
        </w:rPr>
        <w:t>Daughter</w:t>
      </w:r>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6D0CE1">
        <w:t xml:space="preserve">4 </w:t>
      </w:r>
      <w:r>
        <w:t>Definitions of inputs are the same as for the parent</w:t>
      </w:r>
      <w:r w:rsidR="00832C49">
        <w:t xml:space="preserve"> chemical</w:t>
      </w:r>
      <w:r>
        <w:t xml:space="preserve">. For each degradation process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9"/>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B81E30">
        <w:rPr>
          <w:b/>
          <w:bCs/>
          <w:i/>
          <w:iCs/>
        </w:rPr>
        <w:t>Others</w:t>
      </w:r>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lastRenderedPageBreak/>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4CD471CA" w:rsidR="000B2827" w:rsidRDefault="000B2827" w:rsidP="00E8722E">
      <w:r>
        <w:t>In addition, PWC3 offers output that mimics the USEPA’s Plant Assessment Tool (USEPA 2024). These additional receiving areas are known as the WPEZ and the TPEZ</w:t>
      </w:r>
      <w:r w:rsidR="00763DC9">
        <w:t xml:space="preserve"> (see USEPA 2024 for definitions)</w:t>
      </w:r>
      <w:r>
        <w:t>.</w:t>
      </w:r>
      <w:r w:rsidR="004A4B03">
        <w:t xml:space="preserve"> </w:t>
      </w:r>
      <w:r>
        <w:t>The WPEZ is a variation of the USEPA standard Pond with a shallower depth and the allowance of flow through. The TPEZ is a terrestrial receiving area.</w:t>
      </w:r>
      <w:r w:rsidR="004A4B03">
        <w:t xml:space="preserve"> </w:t>
      </w:r>
      <w:r>
        <w:t xml:space="preserve">Checking the </w:t>
      </w:r>
      <w:r w:rsidRPr="00B81E30">
        <w:rPr>
          <w:b/>
          <w:bCs/>
          <w:i/>
          <w:iCs/>
        </w:rPr>
        <w:t>USEPA TPEZ &amp; WPEZ</w:t>
      </w:r>
      <w:r>
        <w:t xml:space="preserve"> button will produce output for these additional receiving areas.</w:t>
      </w:r>
      <w:r w:rsidR="004A4B03">
        <w:t xml:space="preserve"> </w:t>
      </w:r>
      <w:r>
        <w:t>The USEPA Pond simulation must always be run simultaneously these runs</w:t>
      </w:r>
      <w:r w:rsidR="00D60866">
        <w:t xml:space="preserve"> since the TPEZ and WPEZ use the runoff and erosion from the USEPA pond simulation (</w:t>
      </w:r>
      <w:proofErr w:type="spellStart"/>
      <w:r w:rsidR="00D60866">
        <w:t>i.e</w:t>
      </w:r>
      <w:proofErr w:type="spellEnd"/>
      <w:r w:rsidR="00D60866">
        <w:t>, the TPEZ/WPEZ check box is enabled only if USEPA pond box is checked)</w:t>
      </w:r>
      <w:r>
        <w:t xml:space="preserve">. </w:t>
      </w:r>
      <w:r w:rsidR="00D60866">
        <w:t xml:space="preserve"> 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required</w:t>
      </w:r>
      <w:r w:rsidR="00D60866">
        <w:t xml:space="preserve"> and this box would not be checked</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lastRenderedPageBreak/>
        <w:t>Schemes</w:t>
      </w:r>
    </w:p>
    <w:p w14:paraId="3820AB28" w14:textId="79261410"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r w:rsidR="00E771C1">
        <w:t xml:space="preserve">says </w:t>
      </w:r>
      <w:r w:rsidR="00FC2309">
        <w:t>“</w:t>
      </w:r>
      <w:r>
        <w:t xml:space="preserve">Apply 1 </w:t>
      </w:r>
      <w:r w:rsidR="003E65F5">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59F20764"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1"/>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13C3BEDC"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xml:space="preserve">. The drop-down menu lists the most typical aerial applications for regulatory work. Additionally advanced users can specify custom choices as described later in </w:t>
      </w:r>
      <w:r w:rsidRPr="00B81E30">
        <w:rPr>
          <w:b/>
          <w:bCs/>
          <w:i/>
          <w:iCs/>
        </w:rPr>
        <w:t>Watershed/Waterbody</w:t>
      </w:r>
      <w:r>
        <w:t xml:space="preserve"> file development.</w:t>
      </w:r>
    </w:p>
    <w:p w14:paraId="6E840EDE" w14:textId="25539D31"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Standard buffer attenuation</w:t>
      </w:r>
      <w:r w:rsidR="00960783">
        <w:t>s</w:t>
      </w:r>
      <w:r w:rsidR="00EC449A">
        <w:t xml:space="preserve"> are pre-calculated in the </w:t>
      </w:r>
      <w:r w:rsidR="00EC449A" w:rsidRPr="00B81E30">
        <w:rPr>
          <w:b/>
          <w:bCs/>
          <w:i/>
          <w:iCs/>
        </w:rPr>
        <w:t>Watershed/Waterbody</w:t>
      </w:r>
      <w:r w:rsidR="00EC449A">
        <w:t xml:space="preserve"> file</w:t>
      </w:r>
      <w:r w:rsidR="00FF5215">
        <w:t>s</w:t>
      </w:r>
      <w:r w:rsidR="00EC449A">
        <w:t xml:space="preserve"> so no additional external work is needed to obtain these values.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lastRenderedPageBreak/>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2B9678BF" w:rsidR="006C7119" w:rsidRDefault="005A1826" w:rsidP="00630FEB">
      <w:pPr>
        <w:pStyle w:val="ListParagraph"/>
        <w:numPr>
          <w:ilvl w:val="0"/>
          <w:numId w:val="3"/>
        </w:numPr>
      </w:pPr>
      <w:r>
        <w:t>Mitigations</w:t>
      </w:r>
      <w:r w:rsidR="00B2132F">
        <w:t xml:space="preserve"> are factors that adjust the mass of pesticide entering the water body.  Th</w:t>
      </w:r>
      <w:r w:rsidR="00DB11C6">
        <w:t xml:space="preserve">ese  adjustments </w:t>
      </w:r>
      <w:r w:rsidR="00B2132F">
        <w:t>remove</w:t>
      </w:r>
      <w:r w:rsidR="00DB11C6">
        <w:t xml:space="preserve"> pesticide</w:t>
      </w:r>
      <w:r w:rsidR="00B2132F">
        <w:t xml:space="preserve"> from the transport media </w:t>
      </w:r>
      <w:r w:rsidR="00DB11C6">
        <w:t xml:space="preserve">(runoff water, eroded soil, or air) </w:t>
      </w:r>
      <w:r w:rsidR="00B2132F">
        <w:t>after leaving the field.  In other words, these factors do not influence any on-field calculations</w:t>
      </w:r>
      <w:r w:rsidR="00DB11C6">
        <w:t>, or field output values</w:t>
      </w:r>
      <w:r w:rsidR="00B2132F">
        <w:t xml:space="preserve">.  These </w:t>
      </w:r>
      <w:r w:rsidR="00DB11C6">
        <w:t xml:space="preserve">mitigation factors </w:t>
      </w:r>
      <w:r w:rsidR="00B2132F">
        <w:t>can be thought of as</w:t>
      </w:r>
      <w:r w:rsidR="00DB11C6">
        <w:t xml:space="preserve"> simulating a</w:t>
      </w:r>
      <w:r w:rsidR="00B2132F">
        <w:t xml:space="preserve"> filtering processes </w:t>
      </w:r>
      <w:r w:rsidR="00DB11C6">
        <w:t>where</w:t>
      </w:r>
      <w:r w:rsidR="00B2132F">
        <w:t xml:space="preserve">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w:t>
      </w:r>
      <w:r w:rsidR="00DB11C6">
        <w:t>, or even less than 0</w:t>
      </w:r>
      <w:r w:rsidR="006C7119">
        <w:t xml:space="preserve">. </w:t>
      </w:r>
      <w:r w:rsidR="00DB11C6">
        <w:t xml:space="preserve">(This flexibility is intentional and can be useful for advanced sensitivity analyses).  </w:t>
      </w:r>
      <w:r w:rsidR="004C25C9">
        <w:t>The</w:t>
      </w:r>
      <w:r w:rsidR="00DB11C6">
        <w:t xml:space="preserve">se </w:t>
      </w:r>
      <w:r w:rsidR="004C25C9">
        <w:t>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46A2FFEB">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in to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736C3ABF"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 (</w:t>
      </w:r>
      <w:proofErr w:type="spellStart"/>
      <w:r w:rsidR="0022398F">
        <w:t>i.e</w:t>
      </w:r>
      <w:proofErr w:type="spellEnd"/>
      <w:r w:rsidR="0022398F">
        <w:t xml:space="preserve">, </w:t>
      </w:r>
      <w:r>
        <w:t>VVWM</w:t>
      </w:r>
      <w:r w:rsidR="0022398F">
        <w:t>)</w:t>
      </w:r>
      <w:r>
        <w:t>. Use of this feature may thus be most appropriate for groundwater estimates.</w:t>
      </w:r>
    </w:p>
    <w:bookmarkEnd w:id="7"/>
    <w:p w14:paraId="0B430DA2" w14:textId="78EE2DD1"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for the field portion  (</w:t>
      </w:r>
      <w:r>
        <w:t>PRZM</w:t>
      </w:r>
      <w:r w:rsidR="00853787">
        <w:t>)</w:t>
      </w:r>
      <w:r>
        <w:t xml:space="preserve"> </w:t>
      </w:r>
      <w:r w:rsidR="00853787">
        <w:t xml:space="preserve">of the program </w:t>
      </w:r>
      <w:r>
        <w:t xml:space="preserve">and requires population of the nonequilibrium parameters on this same tab </w:t>
      </w:r>
      <w:r>
        <w:lastRenderedPageBreak/>
        <w:t>page. Refer to the PRZM</w:t>
      </w:r>
      <w:r w:rsidR="00853787">
        <w:t>-</w:t>
      </w:r>
      <w:r>
        <w:t>VVWM theoretical documentation for use of this advanced feature. Nonequilibrium sorption is not simulated in</w:t>
      </w:r>
      <w:r w:rsidR="00853787">
        <w:t xml:space="preserve"> the waterbody</w:t>
      </w:r>
      <w:r>
        <w:t xml:space="preserve"> </w:t>
      </w:r>
      <w:r w:rsidR="00853787">
        <w:t>(</w:t>
      </w:r>
      <w:r>
        <w:t>VVWM</w:t>
      </w:r>
      <w:r w:rsidR="00853787">
        <w:t>)</w:t>
      </w:r>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6"/>
                    <a:stretch>
                      <a:fillRect/>
                    </a:stretch>
                  </pic:blipFill>
                  <pic:spPr>
                    <a:xfrm>
                      <a:off x="0" y="0"/>
                      <a:ext cx="5943600" cy="4768215"/>
                    </a:xfrm>
                    <a:prstGeom prst="rect">
                      <a:avLst/>
                    </a:prstGeom>
                  </pic:spPr>
                </pic:pic>
              </a:graphicData>
            </a:graphic>
          </wp:inline>
        </w:drawing>
      </w:r>
    </w:p>
    <w:p w14:paraId="6D9F5CFC" w14:textId="77777777" w:rsidR="008C6ABA" w:rsidRDefault="008C6ABA" w:rsidP="00F232A0"/>
    <w:p w14:paraId="60B7A005" w14:textId="77777777" w:rsidR="008C6ABA" w:rsidRDefault="008C6ABA" w:rsidP="00F232A0"/>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lastRenderedPageBreak/>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proofErr w:type="spellStart"/>
      <w:r w:rsidR="00A41E25">
        <w:t>S</w:t>
      </w:r>
      <w:r w:rsidR="001431D9">
        <w:t>elf explanatory</w:t>
      </w:r>
      <w:proofErr w:type="spellEnd"/>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lastRenderedPageBreak/>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7"/>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area coverage of the canopy</w:t>
      </w:r>
      <w:r w:rsidR="00A864CF">
        <w:t xml:space="preserve"> in percent</w:t>
      </w:r>
      <w:r w:rsidR="00E92374">
        <w:t xml:space="preserve">. Height impacts volatilization and is the maximum crop height. Hold up is the amount water that the canopy can hold at the canopy’s maximum </w:t>
      </w:r>
      <w:r w:rsidR="00E92374">
        <w:lastRenderedPageBreak/>
        <w:t>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8"/>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4FD7A08D" w14:textId="77777777" w:rsidR="00672A37" w:rsidRDefault="00672A37" w:rsidP="00672A37"/>
    <w:p w14:paraId="43EABCEA" w14:textId="77777777" w:rsidR="00672A37" w:rsidRDefault="00672A37" w:rsidP="00672A37"/>
    <w:p w14:paraId="7CA471EA"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 xml:space="preserve">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w:t>
      </w:r>
      <w:r>
        <w:lastRenderedPageBreak/>
        <w:t>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for some simulations it may be desirable to ignore aquatic concentration in VVWM when the water depth are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2B9A3623" w:rsidR="0000586A" w:rsidRDefault="00DA0F75" w:rsidP="00D94580">
      <w:r>
        <w:rPr>
          <w:noProof/>
        </w:rPr>
        <w:lastRenderedPageBreak/>
        <w:drawing>
          <wp:inline distT="0" distB="0" distL="0" distR="0" wp14:anchorId="561BA2B2" wp14:editId="302F15DD">
            <wp:extent cx="5943600" cy="4885055"/>
            <wp:effectExtent l="0" t="0" r="0" b="0"/>
            <wp:docPr id="2557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1566" name=""/>
                    <pic:cNvPicPr/>
                  </pic:nvPicPr>
                  <pic:blipFill>
                    <a:blip r:embed="rId19"/>
                    <a:stretch>
                      <a:fillRect/>
                    </a:stretch>
                  </pic:blipFill>
                  <pic:spPr>
                    <a:xfrm>
                      <a:off x="0" y="0"/>
                      <a:ext cx="5943600" cy="4885055"/>
                    </a:xfrm>
                    <a:prstGeom prst="rect">
                      <a:avLst/>
                    </a:prstGeom>
                  </pic:spPr>
                </pic:pic>
              </a:graphicData>
            </a:graphic>
          </wp:inline>
        </w:drawing>
      </w:r>
    </w:p>
    <w:p w14:paraId="0F5FA031" w14:textId="28F577EE" w:rsidR="00FB6840" w:rsidRDefault="002A0D9E" w:rsidP="00194D2A">
      <w:pPr>
        <w:pStyle w:val="Caption"/>
      </w:pPr>
      <w:r>
        <w:t xml:space="preserve">Figure </w:t>
      </w:r>
      <w:r>
        <w:fldChar w:fldCharType="begin"/>
      </w:r>
      <w:r>
        <w:instrText xml:space="preserve"> SEQ Figure \* ARABIC </w:instrText>
      </w:r>
      <w:r>
        <w:fldChar w:fldCharType="separate"/>
      </w:r>
      <w:r w:rsidR="007B6DDB">
        <w:rPr>
          <w:noProof/>
        </w:rPr>
        <w:t>12</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0"/>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189328A1"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 xml:space="preserve">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lastRenderedPageBreak/>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AA14A1A" w:rsidR="000372BA" w:rsidRPr="00B00152" w:rsidRDefault="000372BA">
      <w:pPr>
        <w:rPr>
          <w:vanish/>
        </w:rPr>
      </w:pPr>
      <w:r>
        <w:t>Appendix A Scheme Tabl</w:t>
      </w:r>
      <w:r w:rsidR="008717E1">
        <w:t xml:space="preserve">e </w:t>
      </w:r>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77777777" w:rsidR="008717E1" w:rsidRPr="008717E1" w:rsidRDefault="008717E1" w:rsidP="00A948D7"/>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77777777" w:rsidR="008717E1" w:rsidRPr="008717E1" w:rsidRDefault="008717E1" w:rsidP="00A948D7"/>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77777777" w:rsidR="008717E1" w:rsidRPr="008717E1" w:rsidRDefault="008717E1" w:rsidP="00A948D7"/>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77777777" w:rsidR="008717E1" w:rsidRPr="008717E1" w:rsidRDefault="008717E1" w:rsidP="00A948D7"/>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lastRenderedPageBreak/>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lastRenderedPageBreak/>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77777777" w:rsidR="002845CE" w:rsidRPr="008717E1" w:rsidRDefault="002845CE" w:rsidP="002845CE"/>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77777777" w:rsidR="002845CE" w:rsidRPr="008717E1" w:rsidRDefault="002845CE" w:rsidP="002845CE"/>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7777777" w:rsidR="002845CE" w:rsidRPr="008717E1" w:rsidRDefault="002845CE" w:rsidP="002845CE"/>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77777777" w:rsidR="002845CE" w:rsidRPr="008717E1" w:rsidRDefault="002845CE" w:rsidP="002845CE"/>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77777777" w:rsidR="002845CE" w:rsidRPr="008717E1" w:rsidRDefault="002845CE" w:rsidP="002845CE"/>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77777777" w:rsidR="002845CE" w:rsidRPr="008717E1" w:rsidRDefault="002845CE" w:rsidP="002845CE"/>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77777777" w:rsidR="002845CE" w:rsidRPr="008717E1" w:rsidRDefault="002845CE" w:rsidP="002845CE"/>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77777777" w:rsidR="002845CE" w:rsidRPr="008717E1" w:rsidRDefault="002845CE" w:rsidP="002845CE"/>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77777777" w:rsidR="002845CE" w:rsidRPr="008717E1" w:rsidRDefault="002845CE" w:rsidP="002845CE"/>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7777777" w:rsidR="002845CE" w:rsidRPr="008717E1" w:rsidRDefault="002845CE" w:rsidP="002845CE"/>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0FC9267B" w:rsidR="002845CE" w:rsidRDefault="002845CE" w:rsidP="002845CE">
            <w:r>
              <w:t>No heading-scenarios</w:t>
            </w:r>
          </w:p>
        </w:tc>
        <w:tc>
          <w:tcPr>
            <w:tcW w:w="6678" w:type="dxa"/>
          </w:tcPr>
          <w:p w14:paraId="580EB767" w14:textId="77777777" w:rsidR="002845CE" w:rsidRDefault="002845CE" w:rsidP="002845CE"/>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752AF"/>
    <w:rsid w:val="00385CAF"/>
    <w:rsid w:val="003A608B"/>
    <w:rsid w:val="003A7247"/>
    <w:rsid w:val="003C0F3E"/>
    <w:rsid w:val="003C2F3A"/>
    <w:rsid w:val="003D4558"/>
    <w:rsid w:val="003E65F5"/>
    <w:rsid w:val="003F1069"/>
    <w:rsid w:val="003F32C5"/>
    <w:rsid w:val="003F6F6D"/>
    <w:rsid w:val="0040284D"/>
    <w:rsid w:val="00406745"/>
    <w:rsid w:val="004069F0"/>
    <w:rsid w:val="00423CC9"/>
    <w:rsid w:val="0042613E"/>
    <w:rsid w:val="00441A20"/>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30C58"/>
    <w:rsid w:val="00537A20"/>
    <w:rsid w:val="00541C83"/>
    <w:rsid w:val="00553714"/>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7161E9"/>
    <w:rsid w:val="0071697D"/>
    <w:rsid w:val="00717592"/>
    <w:rsid w:val="007230B3"/>
    <w:rsid w:val="00750800"/>
    <w:rsid w:val="0075510F"/>
    <w:rsid w:val="00761C3C"/>
    <w:rsid w:val="00763DC9"/>
    <w:rsid w:val="007A5009"/>
    <w:rsid w:val="007B6DDB"/>
    <w:rsid w:val="007B7F31"/>
    <w:rsid w:val="007C5D47"/>
    <w:rsid w:val="007D25D1"/>
    <w:rsid w:val="007E6CC6"/>
    <w:rsid w:val="007F27FD"/>
    <w:rsid w:val="007F6AFB"/>
    <w:rsid w:val="00801FEE"/>
    <w:rsid w:val="00820959"/>
    <w:rsid w:val="0083102C"/>
    <w:rsid w:val="00832C49"/>
    <w:rsid w:val="00836460"/>
    <w:rsid w:val="00841632"/>
    <w:rsid w:val="00853787"/>
    <w:rsid w:val="00860393"/>
    <w:rsid w:val="00863614"/>
    <w:rsid w:val="008676AC"/>
    <w:rsid w:val="008717E1"/>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C3278"/>
    <w:rsid w:val="00AC649A"/>
    <w:rsid w:val="00AD17E0"/>
    <w:rsid w:val="00AD31A1"/>
    <w:rsid w:val="00AD6A99"/>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C20829"/>
    <w:rsid w:val="00C24438"/>
    <w:rsid w:val="00C6286C"/>
    <w:rsid w:val="00C62F65"/>
    <w:rsid w:val="00C6415F"/>
    <w:rsid w:val="00C802E3"/>
    <w:rsid w:val="00C86424"/>
    <w:rsid w:val="00C93198"/>
    <w:rsid w:val="00C937A0"/>
    <w:rsid w:val="00CC5714"/>
    <w:rsid w:val="00CC77DF"/>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B11C6"/>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TotalTime>
  <Pages>28</Pages>
  <Words>6798</Words>
  <Characters>38755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24</cp:revision>
  <dcterms:created xsi:type="dcterms:W3CDTF">2024-04-10T16:13:00Z</dcterms:created>
  <dcterms:modified xsi:type="dcterms:W3CDTF">2025-08-01T14:49:00Z</dcterms:modified>
</cp:coreProperties>
</file>