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8E2E" w14:textId="11E4D233" w:rsidR="00C56737" w:rsidRPr="00C56737" w:rsidRDefault="00C56737" w:rsidP="00C56737">
      <w:pPr>
        <w:keepNext/>
        <w:spacing w:before="360" w:after="60" w:line="360" w:lineRule="auto"/>
        <w:ind w:right="567"/>
        <w:contextualSpacing/>
        <w:jc w:val="center"/>
        <w:outlineLvl w:val="0"/>
        <w:rPr>
          <w:rFonts w:ascii="Times New Roman" w:eastAsia="Times New Roman" w:hAnsi="Times New Roman" w:cs="Arial"/>
          <w:b/>
          <w:bCs/>
          <w:caps/>
          <w:kern w:val="32"/>
          <w:szCs w:val="32"/>
          <w:lang w:val="en-GB" w:eastAsia="en-GB"/>
          <w14:ligatures w14:val="none"/>
        </w:rPr>
      </w:pPr>
      <w:bookmarkStart w:id="0" w:name="_Ref99006884"/>
      <w:bookmarkStart w:id="1" w:name="_Toc102139937"/>
      <w:bookmarkStart w:id="2" w:name="_Toc102140013"/>
      <w:bookmarkStart w:id="3" w:name="_Ref103343789"/>
      <w:bookmarkStart w:id="4" w:name="_Toc120489336"/>
      <w:bookmarkStart w:id="5" w:name="_Toc129123393"/>
      <w:bookmarkStart w:id="6" w:name="_Toc148436731"/>
      <w:bookmarkStart w:id="7" w:name="_Toc155640210"/>
      <w:bookmarkStart w:id="8" w:name="_Toc155643131"/>
      <w:bookmarkStart w:id="9" w:name="_Toc156489275"/>
      <w:bookmarkStart w:id="10" w:name="_Toc163070893"/>
      <w:bookmarkStart w:id="11" w:name="_Toc181650862"/>
      <w:bookmarkStart w:id="12" w:name="_Ref95985728"/>
      <w:r w:rsidRPr="00C56737">
        <w:rPr>
          <w:rFonts w:ascii="Times New Roman" w:eastAsia="Times New Roman" w:hAnsi="Times New Roman" w:cs="Arial"/>
          <w:b/>
          <w:bCs/>
          <w:caps/>
          <w:kern w:val="32"/>
          <w:szCs w:val="32"/>
          <w:lang w:val="en-GB" w:eastAsia="en-GB"/>
          <w14:ligatures w14:val="none"/>
        </w:rPr>
        <w:t>Appendix 1 –</w:t>
      </w:r>
      <w:bookmarkEnd w:id="0"/>
      <w:r w:rsidRPr="00C56737">
        <w:rPr>
          <w:rFonts w:ascii="Times New Roman" w:eastAsia="Times New Roman" w:hAnsi="Times New Roman" w:cs="Arial"/>
          <w:b/>
          <w:bCs/>
          <w:caps/>
          <w:kern w:val="32"/>
          <w:szCs w:val="32"/>
          <w:lang w:val="en-GB" w:eastAsia="en-GB"/>
          <w14:ligatures w14:val="none"/>
        </w:rPr>
        <w:t xml:space="preserve"> Information Items for the IT Governance System</w:t>
      </w:r>
      <w:bookmarkEnd w:id="1"/>
      <w:bookmarkEnd w:id="2"/>
      <w:bookmarkEnd w:id="3"/>
      <w:bookmarkEnd w:id="4"/>
      <w:bookmarkEnd w:id="5"/>
      <w:bookmarkEnd w:id="6"/>
      <w:bookmarkEnd w:id="7"/>
      <w:bookmarkEnd w:id="8"/>
      <w:bookmarkEnd w:id="9"/>
      <w:bookmarkEnd w:id="10"/>
      <w:bookmarkEnd w:id="11"/>
    </w:p>
    <w:p w14:paraId="543C2532"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After eliminating duplications, we concluded with a list of 77 information items (Table 13)</w:t>
      </w:r>
    </w:p>
    <w:tbl>
      <w:tblPr>
        <w:tblW w:w="9776" w:type="dxa"/>
        <w:tblLook w:val="04A0" w:firstRow="1" w:lastRow="0" w:firstColumn="1" w:lastColumn="0" w:noHBand="0" w:noVBand="1"/>
      </w:tblPr>
      <w:tblGrid>
        <w:gridCol w:w="480"/>
        <w:gridCol w:w="2619"/>
        <w:gridCol w:w="6677"/>
      </w:tblGrid>
      <w:tr w:rsidR="00C56737" w:rsidRPr="00C56737" w14:paraId="5EA65F9B" w14:textId="77777777" w:rsidTr="00C56737">
        <w:trPr>
          <w:trHeight w:val="340"/>
          <w:tblHeader/>
        </w:trPr>
        <w:tc>
          <w:tcPr>
            <w:tcW w:w="480" w:type="dxa"/>
            <w:tcBorders>
              <w:top w:val="single" w:sz="4" w:space="0" w:color="auto"/>
              <w:left w:val="single" w:sz="4" w:space="0" w:color="auto"/>
              <w:bottom w:val="single" w:sz="4" w:space="0" w:color="auto"/>
              <w:right w:val="nil"/>
            </w:tcBorders>
            <w:shd w:val="clear" w:color="auto" w:fill="F2F2F2"/>
            <w:vAlign w:val="center"/>
            <w:hideMark/>
          </w:tcPr>
          <w:p w14:paraId="226BC8A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w:t>
            </w:r>
          </w:p>
        </w:tc>
        <w:tc>
          <w:tcPr>
            <w:tcW w:w="2619" w:type="dxa"/>
            <w:tcBorders>
              <w:top w:val="single" w:sz="4" w:space="0" w:color="auto"/>
              <w:left w:val="single" w:sz="4" w:space="0" w:color="auto"/>
              <w:bottom w:val="single" w:sz="4" w:space="0" w:color="000000"/>
              <w:right w:val="single" w:sz="4" w:space="0" w:color="auto"/>
            </w:tcBorders>
            <w:shd w:val="clear" w:color="auto" w:fill="F2F2F2"/>
            <w:vAlign w:val="center"/>
            <w:hideMark/>
          </w:tcPr>
          <w:p w14:paraId="1BFC9DA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IT Governance Information Item</w:t>
            </w:r>
          </w:p>
        </w:tc>
        <w:tc>
          <w:tcPr>
            <w:tcW w:w="6677" w:type="dxa"/>
            <w:tcBorders>
              <w:top w:val="single" w:sz="4" w:space="0" w:color="auto"/>
              <w:left w:val="single" w:sz="4" w:space="0" w:color="auto"/>
              <w:bottom w:val="single" w:sz="4" w:space="0" w:color="000000"/>
              <w:right w:val="single" w:sz="4" w:space="0" w:color="auto"/>
            </w:tcBorders>
            <w:shd w:val="clear" w:color="auto" w:fill="F2F2F2"/>
            <w:vAlign w:val="center"/>
            <w:hideMark/>
          </w:tcPr>
          <w:p w14:paraId="453A0A3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More detailed description or context based on COBIT 2019 Practices and Activities </w:t>
            </w:r>
          </w:p>
        </w:tc>
      </w:tr>
      <w:tr w:rsidR="00C56737" w:rsidRPr="00C56737" w14:paraId="220098E0" w14:textId="77777777" w:rsidTr="00C56737">
        <w:trPr>
          <w:trHeight w:val="20"/>
        </w:trPr>
        <w:tc>
          <w:tcPr>
            <w:tcW w:w="48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FAE9AA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w:t>
            </w:r>
          </w:p>
        </w:tc>
        <w:tc>
          <w:tcPr>
            <w:tcW w:w="2619" w:type="dxa"/>
            <w:tcBorders>
              <w:top w:val="nil"/>
              <w:left w:val="nil"/>
              <w:bottom w:val="single" w:sz="4" w:space="0" w:color="auto"/>
              <w:right w:val="single" w:sz="4" w:space="0" w:color="auto"/>
            </w:tcBorders>
            <w:shd w:val="clear" w:color="auto" w:fill="FFFFFF"/>
            <w:vAlign w:val="center"/>
            <w:hideMark/>
          </w:tcPr>
          <w:p w14:paraId="5870786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Communications of changed compliance requirements</w:t>
            </w:r>
          </w:p>
        </w:tc>
        <w:tc>
          <w:tcPr>
            <w:tcW w:w="6677" w:type="dxa"/>
            <w:tcBorders>
              <w:top w:val="nil"/>
              <w:left w:val="nil"/>
              <w:bottom w:val="single" w:sz="4" w:space="0" w:color="auto"/>
              <w:right w:val="single" w:sz="4" w:space="0" w:color="auto"/>
            </w:tcBorders>
            <w:shd w:val="clear" w:color="auto" w:fill="auto"/>
            <w:noWrap/>
            <w:vAlign w:val="center"/>
            <w:hideMark/>
          </w:tcPr>
          <w:p w14:paraId="6DC7B89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[From MEA03.03] Communicate new and changed compliance requirements to all relevant personnel, based on regular review and adjustment of policies, principles, standards, procedures and methodologies for their effectiveness. </w:t>
            </w:r>
          </w:p>
        </w:tc>
      </w:tr>
      <w:tr w:rsidR="00C56737" w:rsidRPr="00C56737" w14:paraId="18145D1D"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0BF5892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w:t>
            </w:r>
          </w:p>
        </w:tc>
        <w:tc>
          <w:tcPr>
            <w:tcW w:w="2619" w:type="dxa"/>
            <w:tcBorders>
              <w:top w:val="nil"/>
              <w:left w:val="nil"/>
              <w:bottom w:val="single" w:sz="4" w:space="0" w:color="auto"/>
              <w:right w:val="single" w:sz="4" w:space="0" w:color="auto"/>
            </w:tcBorders>
            <w:shd w:val="clear" w:color="auto" w:fill="FFFFFF"/>
            <w:vAlign w:val="center"/>
            <w:hideMark/>
          </w:tcPr>
          <w:p w14:paraId="659AF3A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Constitution/bylaws/statutes of organization</w:t>
            </w:r>
          </w:p>
        </w:tc>
        <w:tc>
          <w:tcPr>
            <w:tcW w:w="6677" w:type="dxa"/>
            <w:tcBorders>
              <w:top w:val="nil"/>
              <w:left w:val="nil"/>
              <w:bottom w:val="single" w:sz="4" w:space="0" w:color="auto"/>
              <w:right w:val="single" w:sz="4" w:space="0" w:color="auto"/>
            </w:tcBorders>
            <w:shd w:val="clear" w:color="auto" w:fill="auto"/>
            <w:noWrap/>
            <w:vAlign w:val="center"/>
            <w:hideMark/>
          </w:tcPr>
          <w:p w14:paraId="04825C1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Outside] Analysis and identification of the internal environmental factors (legal, regulatory and contractual obligations) and trends in the business environment that may influence governance design </w:t>
            </w:r>
          </w:p>
        </w:tc>
      </w:tr>
      <w:tr w:rsidR="00C56737" w:rsidRPr="00C56737" w14:paraId="03A578AE"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6044EB3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w:t>
            </w:r>
          </w:p>
        </w:tc>
        <w:tc>
          <w:tcPr>
            <w:tcW w:w="2619" w:type="dxa"/>
            <w:tcBorders>
              <w:top w:val="nil"/>
              <w:left w:val="nil"/>
              <w:bottom w:val="single" w:sz="4" w:space="0" w:color="auto"/>
              <w:right w:val="single" w:sz="4" w:space="0" w:color="auto"/>
            </w:tcBorders>
            <w:shd w:val="clear" w:color="auto" w:fill="FFFFFF"/>
            <w:vAlign w:val="center"/>
            <w:hideMark/>
          </w:tcPr>
          <w:p w14:paraId="4EFF7F7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Governance/decision making model</w:t>
            </w:r>
          </w:p>
        </w:tc>
        <w:tc>
          <w:tcPr>
            <w:tcW w:w="6677" w:type="dxa"/>
            <w:tcBorders>
              <w:top w:val="nil"/>
              <w:left w:val="nil"/>
              <w:bottom w:val="single" w:sz="4" w:space="0" w:color="auto"/>
              <w:right w:val="single" w:sz="4" w:space="0" w:color="auto"/>
            </w:tcBorders>
            <w:shd w:val="clear" w:color="auto" w:fill="auto"/>
            <w:noWrap/>
            <w:vAlign w:val="center"/>
            <w:hideMark/>
          </w:tcPr>
          <w:p w14:paraId="3ACA72D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Outside] The overall corporate governance model of the organisation </w:t>
            </w:r>
          </w:p>
        </w:tc>
      </w:tr>
      <w:tr w:rsidR="00C56737" w:rsidRPr="00C56737" w14:paraId="43F744A2"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E13705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w:t>
            </w:r>
          </w:p>
        </w:tc>
        <w:tc>
          <w:tcPr>
            <w:tcW w:w="2619" w:type="dxa"/>
            <w:tcBorders>
              <w:top w:val="nil"/>
              <w:left w:val="nil"/>
              <w:bottom w:val="single" w:sz="4" w:space="0" w:color="auto"/>
              <w:right w:val="single" w:sz="4" w:space="0" w:color="auto"/>
            </w:tcBorders>
            <w:shd w:val="clear" w:color="auto" w:fill="FFFFFF"/>
            <w:vAlign w:val="center"/>
            <w:hideMark/>
          </w:tcPr>
          <w:p w14:paraId="4ACAB91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Laws/regulations</w:t>
            </w:r>
          </w:p>
        </w:tc>
        <w:tc>
          <w:tcPr>
            <w:tcW w:w="6677" w:type="dxa"/>
            <w:tcBorders>
              <w:top w:val="nil"/>
              <w:left w:val="nil"/>
              <w:bottom w:val="single" w:sz="4" w:space="0" w:color="auto"/>
              <w:right w:val="single" w:sz="4" w:space="0" w:color="auto"/>
            </w:tcBorders>
            <w:shd w:val="clear" w:color="auto" w:fill="auto"/>
            <w:noWrap/>
            <w:vAlign w:val="center"/>
            <w:hideMark/>
          </w:tcPr>
          <w:p w14:paraId="5E2B736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Outside] Applicable laws and regulations to the organisation, especially laws and regulations which affect I&amp;T</w:t>
            </w:r>
          </w:p>
        </w:tc>
      </w:tr>
      <w:tr w:rsidR="00C56737" w:rsidRPr="00C56737" w14:paraId="76FF3F24"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0010CB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w:t>
            </w:r>
          </w:p>
        </w:tc>
        <w:tc>
          <w:tcPr>
            <w:tcW w:w="2619" w:type="dxa"/>
            <w:tcBorders>
              <w:top w:val="nil"/>
              <w:left w:val="nil"/>
              <w:bottom w:val="single" w:sz="4" w:space="0" w:color="auto"/>
              <w:right w:val="single" w:sz="4" w:space="0" w:color="auto"/>
            </w:tcBorders>
            <w:shd w:val="clear" w:color="auto" w:fill="FFFFFF"/>
            <w:vAlign w:val="center"/>
            <w:hideMark/>
          </w:tcPr>
          <w:p w14:paraId="1F522C4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Business environment trends</w:t>
            </w:r>
          </w:p>
        </w:tc>
        <w:tc>
          <w:tcPr>
            <w:tcW w:w="6677" w:type="dxa"/>
            <w:tcBorders>
              <w:top w:val="nil"/>
              <w:left w:val="nil"/>
              <w:bottom w:val="single" w:sz="4" w:space="0" w:color="auto"/>
              <w:right w:val="single" w:sz="4" w:space="0" w:color="auto"/>
            </w:tcBorders>
            <w:shd w:val="clear" w:color="auto" w:fill="auto"/>
            <w:noWrap/>
            <w:vAlign w:val="center"/>
            <w:hideMark/>
          </w:tcPr>
          <w:p w14:paraId="2E791AA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i/>
                <w:iCs/>
                <w:color w:val="000000"/>
                <w:kern w:val="0"/>
                <w:sz w:val="20"/>
                <w:szCs w:val="20"/>
                <w:lang w:val="nl-BE"/>
                <w14:ligatures w14:val="none"/>
              </w:rPr>
            </w:pPr>
            <w:r w:rsidRPr="00C56737">
              <w:rPr>
                <w:rFonts w:ascii="Calibri" w:eastAsia="Calibri" w:hAnsi="Calibri" w:cs="Calibri"/>
                <w:i/>
                <w:iCs/>
                <w:color w:val="000000"/>
                <w:kern w:val="0"/>
                <w:sz w:val="20"/>
                <w:szCs w:val="20"/>
                <w:lang w:val="nl-BE"/>
                <w14:ligatures w14:val="none"/>
              </w:rPr>
              <w:t>Self-explaining </w:t>
            </w:r>
          </w:p>
        </w:tc>
      </w:tr>
      <w:tr w:rsidR="00C56737" w:rsidRPr="00C56737" w14:paraId="715CA9A9"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926522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w:t>
            </w:r>
          </w:p>
        </w:tc>
        <w:tc>
          <w:tcPr>
            <w:tcW w:w="2619" w:type="dxa"/>
            <w:tcBorders>
              <w:top w:val="nil"/>
              <w:left w:val="nil"/>
              <w:bottom w:val="single" w:sz="4" w:space="0" w:color="auto"/>
              <w:right w:val="single" w:sz="4" w:space="0" w:color="auto"/>
            </w:tcBorders>
            <w:shd w:val="clear" w:color="auto" w:fill="FFFFFF"/>
            <w:vAlign w:val="center"/>
            <w:hideMark/>
          </w:tcPr>
          <w:p w14:paraId="0E2B32D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Performance reports</w:t>
            </w:r>
          </w:p>
        </w:tc>
        <w:tc>
          <w:tcPr>
            <w:tcW w:w="6677" w:type="dxa"/>
            <w:tcBorders>
              <w:top w:val="nil"/>
              <w:left w:val="nil"/>
              <w:bottom w:val="single" w:sz="4" w:space="0" w:color="auto"/>
              <w:right w:val="single" w:sz="4" w:space="0" w:color="auto"/>
            </w:tcBorders>
            <w:shd w:val="clear" w:color="auto" w:fill="auto"/>
            <w:noWrap/>
            <w:vAlign w:val="center"/>
            <w:hideMark/>
          </w:tcPr>
          <w:p w14:paraId="2A49EED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MEA01.04] Periodically review and report performance against targets. Use a method that provides a succinct all-around view of I&amp;T performance and fits within the enterprise monitoring system.</w:t>
            </w:r>
          </w:p>
        </w:tc>
      </w:tr>
      <w:tr w:rsidR="00C56737" w:rsidRPr="00C56737" w14:paraId="358C3D51"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0AE5A6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7</w:t>
            </w:r>
          </w:p>
        </w:tc>
        <w:tc>
          <w:tcPr>
            <w:tcW w:w="2619" w:type="dxa"/>
            <w:tcBorders>
              <w:top w:val="nil"/>
              <w:left w:val="nil"/>
              <w:bottom w:val="single" w:sz="4" w:space="0" w:color="auto"/>
              <w:right w:val="single" w:sz="4" w:space="0" w:color="auto"/>
            </w:tcBorders>
            <w:shd w:val="clear" w:color="auto" w:fill="FFFFFF"/>
            <w:vAlign w:val="center"/>
            <w:hideMark/>
          </w:tcPr>
          <w:p w14:paraId="272D16A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Status and results of actions</w:t>
            </w:r>
          </w:p>
        </w:tc>
        <w:tc>
          <w:tcPr>
            <w:tcW w:w="6677" w:type="dxa"/>
            <w:tcBorders>
              <w:top w:val="nil"/>
              <w:left w:val="nil"/>
              <w:bottom w:val="single" w:sz="4" w:space="0" w:color="auto"/>
              <w:right w:val="single" w:sz="4" w:space="0" w:color="auto"/>
            </w:tcBorders>
            <w:shd w:val="clear" w:color="auto" w:fill="auto"/>
            <w:noWrap/>
            <w:vAlign w:val="center"/>
            <w:hideMark/>
          </w:tcPr>
          <w:p w14:paraId="07CBEE9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MEA01.05] Report reviewed management responses to identified deviations from expected performance and results of actions to relevant stakeholders (Board and Exec Mgmt in this case)</w:t>
            </w:r>
          </w:p>
        </w:tc>
      </w:tr>
      <w:tr w:rsidR="00C56737" w:rsidRPr="00C56737" w14:paraId="305E64A5"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601923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8</w:t>
            </w:r>
          </w:p>
        </w:tc>
        <w:tc>
          <w:tcPr>
            <w:tcW w:w="2619" w:type="dxa"/>
            <w:tcBorders>
              <w:top w:val="nil"/>
              <w:left w:val="nil"/>
              <w:bottom w:val="single" w:sz="4" w:space="0" w:color="auto"/>
              <w:right w:val="single" w:sz="4" w:space="0" w:color="auto"/>
            </w:tcBorders>
            <w:shd w:val="clear" w:color="auto" w:fill="FFFFFF"/>
            <w:vAlign w:val="center"/>
            <w:hideMark/>
          </w:tcPr>
          <w:p w14:paraId="3F84B4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Results of internal control monitoring and reviews</w:t>
            </w:r>
          </w:p>
        </w:tc>
        <w:tc>
          <w:tcPr>
            <w:tcW w:w="6677" w:type="dxa"/>
            <w:tcBorders>
              <w:top w:val="nil"/>
              <w:left w:val="nil"/>
              <w:bottom w:val="single" w:sz="4" w:space="0" w:color="auto"/>
              <w:right w:val="single" w:sz="4" w:space="0" w:color="auto"/>
            </w:tcBorders>
            <w:shd w:val="clear" w:color="auto" w:fill="auto"/>
            <w:noWrap/>
            <w:vAlign w:val="center"/>
            <w:hideMark/>
          </w:tcPr>
          <w:p w14:paraId="6108F9A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MEA02.01.03] Perform internal control monitoring and evaluation activities based on organizational governance standards and industry accepted frameworks and practices. Also include monitoring and evaluation of the efficiency and effectiveness of managerial supervisory activities</w:t>
            </w:r>
          </w:p>
        </w:tc>
      </w:tr>
      <w:tr w:rsidR="00C56737" w:rsidRPr="00C56737" w14:paraId="6DE95C5E"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047D3C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9</w:t>
            </w:r>
          </w:p>
        </w:tc>
        <w:tc>
          <w:tcPr>
            <w:tcW w:w="2619" w:type="dxa"/>
            <w:tcBorders>
              <w:top w:val="nil"/>
              <w:left w:val="nil"/>
              <w:bottom w:val="single" w:sz="4" w:space="0" w:color="auto"/>
              <w:right w:val="single" w:sz="4" w:space="0" w:color="auto"/>
            </w:tcBorders>
            <w:shd w:val="clear" w:color="auto" w:fill="FFFFFF"/>
            <w:vAlign w:val="center"/>
            <w:hideMark/>
          </w:tcPr>
          <w:p w14:paraId="4E9437D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Results of benchmarking and other evaluations</w:t>
            </w:r>
          </w:p>
        </w:tc>
        <w:tc>
          <w:tcPr>
            <w:tcW w:w="6677" w:type="dxa"/>
            <w:tcBorders>
              <w:top w:val="nil"/>
              <w:left w:val="nil"/>
              <w:bottom w:val="single" w:sz="4" w:space="0" w:color="auto"/>
              <w:right w:val="single" w:sz="4" w:space="0" w:color="auto"/>
            </w:tcBorders>
            <w:shd w:val="clear" w:color="auto" w:fill="auto"/>
            <w:noWrap/>
            <w:vAlign w:val="center"/>
            <w:hideMark/>
          </w:tcPr>
          <w:p w14:paraId="272FC01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MEA02.01.07] Regularly evaluate the performance of the control framework, benchmarking against industry accepted standards and good practices. Consider formal adoption of a continuous improvement approach to internal control monitoring.</w:t>
            </w:r>
          </w:p>
        </w:tc>
      </w:tr>
      <w:tr w:rsidR="00C56737" w:rsidRPr="00C56737" w14:paraId="5A789D2F"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C89617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10</w:t>
            </w:r>
          </w:p>
        </w:tc>
        <w:tc>
          <w:tcPr>
            <w:tcW w:w="2619" w:type="dxa"/>
            <w:tcBorders>
              <w:top w:val="nil"/>
              <w:left w:val="nil"/>
              <w:bottom w:val="single" w:sz="4" w:space="0" w:color="auto"/>
              <w:right w:val="single" w:sz="4" w:space="0" w:color="auto"/>
            </w:tcBorders>
            <w:shd w:val="clear" w:color="auto" w:fill="FFFFFF"/>
            <w:vAlign w:val="center"/>
            <w:hideMark/>
          </w:tcPr>
          <w:p w14:paraId="2D6CA12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Results of reviews of self-assessments</w:t>
            </w:r>
          </w:p>
        </w:tc>
        <w:tc>
          <w:tcPr>
            <w:tcW w:w="6677" w:type="dxa"/>
            <w:tcBorders>
              <w:top w:val="nil"/>
              <w:left w:val="nil"/>
              <w:bottom w:val="single" w:sz="4" w:space="0" w:color="auto"/>
              <w:right w:val="single" w:sz="4" w:space="0" w:color="auto"/>
            </w:tcBorders>
            <w:shd w:val="clear" w:color="auto" w:fill="auto"/>
            <w:noWrap/>
            <w:vAlign w:val="center"/>
            <w:hideMark/>
          </w:tcPr>
          <w:p w14:paraId="3B6EC18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MEA02.03] Encourage management and process owners to improve controls</w:t>
            </w:r>
          </w:p>
          <w:p w14:paraId="23038E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proactively through a continuing program of self-assessment that evaluates the completeness and effectiveness of management’s controls. </w:t>
            </w:r>
          </w:p>
        </w:tc>
      </w:tr>
      <w:tr w:rsidR="00C56737" w:rsidRPr="00C56737" w14:paraId="667D9DC7"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6032FE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11</w:t>
            </w:r>
          </w:p>
        </w:tc>
        <w:tc>
          <w:tcPr>
            <w:tcW w:w="2619" w:type="dxa"/>
            <w:tcBorders>
              <w:top w:val="nil"/>
              <w:left w:val="nil"/>
              <w:bottom w:val="single" w:sz="4" w:space="0" w:color="auto"/>
              <w:right w:val="single" w:sz="4" w:space="0" w:color="auto"/>
            </w:tcBorders>
            <w:shd w:val="clear" w:color="auto" w:fill="FFFFFF"/>
            <w:vAlign w:val="center"/>
            <w:hideMark/>
          </w:tcPr>
          <w:p w14:paraId="1F565F3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Compliance confirmations</w:t>
            </w:r>
          </w:p>
        </w:tc>
        <w:tc>
          <w:tcPr>
            <w:tcW w:w="6677" w:type="dxa"/>
            <w:tcBorders>
              <w:top w:val="nil"/>
              <w:left w:val="nil"/>
              <w:bottom w:val="single" w:sz="4" w:space="0" w:color="auto"/>
              <w:right w:val="single" w:sz="4" w:space="0" w:color="auto"/>
            </w:tcBorders>
            <w:shd w:val="clear" w:color="auto" w:fill="auto"/>
            <w:noWrap/>
            <w:vAlign w:val="center"/>
            <w:hideMark/>
          </w:tcPr>
          <w:p w14:paraId="4F901B8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MEA03.03.01] Regularly evaluate organizational policies, standards, procedures and methodologies in all functions of the enterprise to ensure compliance with relevant legal and regulatory requirements in relation to the processing of information</w:t>
            </w:r>
          </w:p>
        </w:tc>
      </w:tr>
      <w:tr w:rsidR="00C56737" w:rsidRPr="00C56737" w14:paraId="3F8C23E4"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C1AC5E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12</w:t>
            </w:r>
          </w:p>
        </w:tc>
        <w:tc>
          <w:tcPr>
            <w:tcW w:w="2619" w:type="dxa"/>
            <w:tcBorders>
              <w:top w:val="nil"/>
              <w:left w:val="nil"/>
              <w:bottom w:val="single" w:sz="4" w:space="0" w:color="auto"/>
              <w:right w:val="single" w:sz="4" w:space="0" w:color="auto"/>
            </w:tcBorders>
            <w:shd w:val="clear" w:color="auto" w:fill="FFFFFF"/>
            <w:vAlign w:val="center"/>
            <w:hideMark/>
          </w:tcPr>
          <w:p w14:paraId="2A278E0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Compliance assurance reports</w:t>
            </w:r>
          </w:p>
        </w:tc>
        <w:tc>
          <w:tcPr>
            <w:tcW w:w="6677" w:type="dxa"/>
            <w:tcBorders>
              <w:top w:val="nil"/>
              <w:left w:val="nil"/>
              <w:bottom w:val="single" w:sz="4" w:space="0" w:color="auto"/>
              <w:right w:val="single" w:sz="4" w:space="0" w:color="auto"/>
            </w:tcBorders>
            <w:shd w:val="clear" w:color="auto" w:fill="auto"/>
            <w:noWrap/>
            <w:vAlign w:val="center"/>
            <w:hideMark/>
          </w:tcPr>
          <w:p w14:paraId="4A81863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MEA03.04] Obtain and report assurance of compliance and adherence with policies, principles, standards, procedures and methodologies. Confirm that</w:t>
            </w:r>
          </w:p>
          <w:p w14:paraId="6607426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corrective actions to address compliance gaps are closed in a timely manner.</w:t>
            </w:r>
          </w:p>
        </w:tc>
      </w:tr>
      <w:tr w:rsidR="00C56737" w:rsidRPr="00C56737" w14:paraId="3B668461"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E49C8E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13</w:t>
            </w:r>
          </w:p>
        </w:tc>
        <w:tc>
          <w:tcPr>
            <w:tcW w:w="2619" w:type="dxa"/>
            <w:tcBorders>
              <w:top w:val="nil"/>
              <w:left w:val="nil"/>
              <w:bottom w:val="single" w:sz="4" w:space="0" w:color="auto"/>
              <w:right w:val="single" w:sz="4" w:space="0" w:color="auto"/>
            </w:tcBorders>
            <w:shd w:val="clear" w:color="auto" w:fill="FFFFFF"/>
            <w:vAlign w:val="center"/>
            <w:hideMark/>
          </w:tcPr>
          <w:p w14:paraId="6FAE29E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Reports of noncompliance issues and root causes</w:t>
            </w:r>
          </w:p>
        </w:tc>
        <w:tc>
          <w:tcPr>
            <w:tcW w:w="6677" w:type="dxa"/>
            <w:tcBorders>
              <w:top w:val="nil"/>
              <w:left w:val="nil"/>
              <w:bottom w:val="single" w:sz="4" w:space="0" w:color="auto"/>
              <w:right w:val="single" w:sz="4" w:space="0" w:color="auto"/>
            </w:tcBorders>
            <w:shd w:val="clear" w:color="auto" w:fill="auto"/>
            <w:noWrap/>
            <w:vAlign w:val="center"/>
            <w:hideMark/>
          </w:tcPr>
          <w:p w14:paraId="078A5BD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MEA03.04] Obtain and report assurance of compliance and adherence with policies, principles, standards, procedures and methodologies. Confirm that</w:t>
            </w:r>
          </w:p>
          <w:p w14:paraId="61F2D1C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corrective actions to address compliance gaps are closed in a timely manner.</w:t>
            </w:r>
          </w:p>
        </w:tc>
      </w:tr>
      <w:tr w:rsidR="00C56737" w:rsidRPr="00C56737" w14:paraId="1FEAF83F"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66F142D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14</w:t>
            </w:r>
          </w:p>
        </w:tc>
        <w:tc>
          <w:tcPr>
            <w:tcW w:w="2619" w:type="dxa"/>
            <w:tcBorders>
              <w:top w:val="nil"/>
              <w:left w:val="nil"/>
              <w:bottom w:val="single" w:sz="4" w:space="0" w:color="auto"/>
              <w:right w:val="single" w:sz="4" w:space="0" w:color="auto"/>
            </w:tcBorders>
            <w:shd w:val="clear" w:color="auto" w:fill="FFFFFF"/>
            <w:vAlign w:val="center"/>
            <w:hideMark/>
          </w:tcPr>
          <w:p w14:paraId="509E4ED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Assurance plans</w:t>
            </w:r>
          </w:p>
        </w:tc>
        <w:tc>
          <w:tcPr>
            <w:tcW w:w="6677" w:type="dxa"/>
            <w:tcBorders>
              <w:top w:val="nil"/>
              <w:left w:val="nil"/>
              <w:bottom w:val="single" w:sz="4" w:space="0" w:color="auto"/>
              <w:right w:val="single" w:sz="4" w:space="0" w:color="auto"/>
            </w:tcBorders>
            <w:shd w:val="clear" w:color="auto" w:fill="auto"/>
            <w:noWrap/>
            <w:vAlign w:val="center"/>
            <w:hideMark/>
          </w:tcPr>
          <w:p w14:paraId="6444011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MEA04.02] Develop an overall yearly plan for assurance initiatives containing the consolidated assurance objectives</w:t>
            </w:r>
          </w:p>
        </w:tc>
      </w:tr>
      <w:tr w:rsidR="00C56737" w:rsidRPr="00C56737" w14:paraId="59131CCF"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14424C6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15</w:t>
            </w:r>
          </w:p>
        </w:tc>
        <w:tc>
          <w:tcPr>
            <w:tcW w:w="2619" w:type="dxa"/>
            <w:tcBorders>
              <w:top w:val="nil"/>
              <w:left w:val="nil"/>
              <w:bottom w:val="single" w:sz="4" w:space="0" w:color="auto"/>
              <w:right w:val="single" w:sz="4" w:space="0" w:color="auto"/>
            </w:tcBorders>
            <w:shd w:val="clear" w:color="auto" w:fill="FFFFFF"/>
            <w:vAlign w:val="center"/>
            <w:hideMark/>
          </w:tcPr>
          <w:p w14:paraId="4E79B1C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Audit Reports</w:t>
            </w:r>
          </w:p>
        </w:tc>
        <w:tc>
          <w:tcPr>
            <w:tcW w:w="6677" w:type="dxa"/>
            <w:tcBorders>
              <w:top w:val="nil"/>
              <w:left w:val="nil"/>
              <w:bottom w:val="single" w:sz="4" w:space="0" w:color="auto"/>
              <w:right w:val="single" w:sz="4" w:space="0" w:color="auto"/>
            </w:tcBorders>
            <w:shd w:val="clear" w:color="auto" w:fill="auto"/>
            <w:noWrap/>
            <w:vAlign w:val="center"/>
            <w:hideMark/>
          </w:tcPr>
          <w:p w14:paraId="2DA61F7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i/>
                <w:iCs/>
                <w:color w:val="000000"/>
                <w:kern w:val="0"/>
                <w:sz w:val="20"/>
                <w:szCs w:val="20"/>
                <w:lang w:val="nl-BE"/>
                <w14:ligatures w14:val="none"/>
              </w:rPr>
              <w:t>Self-explaining </w:t>
            </w:r>
          </w:p>
        </w:tc>
      </w:tr>
      <w:tr w:rsidR="00C56737" w:rsidRPr="00C56737" w14:paraId="469A61A7"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4D450A9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16</w:t>
            </w:r>
          </w:p>
        </w:tc>
        <w:tc>
          <w:tcPr>
            <w:tcW w:w="2619" w:type="dxa"/>
            <w:tcBorders>
              <w:top w:val="nil"/>
              <w:left w:val="nil"/>
              <w:bottom w:val="single" w:sz="4" w:space="0" w:color="auto"/>
              <w:right w:val="single" w:sz="4" w:space="0" w:color="auto"/>
            </w:tcBorders>
            <w:shd w:val="clear" w:color="auto" w:fill="FFFFFF"/>
            <w:vAlign w:val="center"/>
            <w:hideMark/>
          </w:tcPr>
          <w:p w14:paraId="6CB411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Obligations</w:t>
            </w:r>
          </w:p>
        </w:tc>
        <w:tc>
          <w:tcPr>
            <w:tcW w:w="6677" w:type="dxa"/>
            <w:tcBorders>
              <w:top w:val="nil"/>
              <w:left w:val="nil"/>
              <w:bottom w:val="single" w:sz="4" w:space="0" w:color="auto"/>
              <w:right w:val="single" w:sz="4" w:space="0" w:color="auto"/>
            </w:tcBorders>
            <w:shd w:val="clear" w:color="auto" w:fill="auto"/>
            <w:noWrap/>
            <w:vAlign w:val="center"/>
            <w:hideMark/>
          </w:tcPr>
          <w:p w14:paraId="53001E6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Outside] Relevant obligations (regulatory, legislation, common law, contractual), standards and guidelines I&amp;T has to comply with.</w:t>
            </w:r>
          </w:p>
        </w:tc>
      </w:tr>
      <w:tr w:rsidR="00C56737" w:rsidRPr="00C56737" w14:paraId="6244F50E"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BA12B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lastRenderedPageBreak/>
              <w:t>17</w:t>
            </w:r>
          </w:p>
        </w:tc>
        <w:tc>
          <w:tcPr>
            <w:tcW w:w="2619" w:type="dxa"/>
            <w:tcBorders>
              <w:top w:val="nil"/>
              <w:left w:val="nil"/>
              <w:bottom w:val="single" w:sz="4" w:space="0" w:color="auto"/>
              <w:right w:val="single" w:sz="4" w:space="0" w:color="auto"/>
            </w:tcBorders>
            <w:shd w:val="clear" w:color="auto" w:fill="FFFFFF"/>
            <w:vAlign w:val="center"/>
            <w:hideMark/>
          </w:tcPr>
          <w:p w14:paraId="610F5DB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Enterprise governance guiding principles</w:t>
            </w:r>
          </w:p>
        </w:tc>
        <w:tc>
          <w:tcPr>
            <w:tcW w:w="6677" w:type="dxa"/>
            <w:tcBorders>
              <w:top w:val="nil"/>
              <w:left w:val="nil"/>
              <w:bottom w:val="single" w:sz="4" w:space="0" w:color="auto"/>
              <w:right w:val="single" w:sz="4" w:space="0" w:color="auto"/>
            </w:tcBorders>
            <w:shd w:val="clear" w:color="auto" w:fill="auto"/>
            <w:noWrap/>
            <w:vAlign w:val="center"/>
            <w:hideMark/>
          </w:tcPr>
          <w:p w14:paraId="258B0B8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[EDM01.01.06] Articulate principles that will guide the design of governance and decision making of I&amp;T after analysing internal and external context, role of I&amp;T and regulatory requirements.</w:t>
            </w:r>
          </w:p>
        </w:tc>
      </w:tr>
      <w:tr w:rsidR="00C56737" w:rsidRPr="00C56737" w14:paraId="0DB607B2"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0A7A05D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18</w:t>
            </w:r>
          </w:p>
        </w:tc>
        <w:tc>
          <w:tcPr>
            <w:tcW w:w="2619" w:type="dxa"/>
            <w:tcBorders>
              <w:top w:val="nil"/>
              <w:left w:val="nil"/>
              <w:bottom w:val="single" w:sz="4" w:space="0" w:color="auto"/>
              <w:right w:val="single" w:sz="4" w:space="0" w:color="auto"/>
            </w:tcBorders>
            <w:shd w:val="clear" w:color="auto" w:fill="FFFFFF"/>
            <w:vAlign w:val="center"/>
            <w:hideMark/>
          </w:tcPr>
          <w:p w14:paraId="063E9DD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Decision-making model</w:t>
            </w:r>
          </w:p>
        </w:tc>
        <w:tc>
          <w:tcPr>
            <w:tcW w:w="6677" w:type="dxa"/>
            <w:tcBorders>
              <w:top w:val="nil"/>
              <w:left w:val="nil"/>
              <w:bottom w:val="single" w:sz="4" w:space="0" w:color="auto"/>
              <w:right w:val="single" w:sz="4" w:space="0" w:color="auto"/>
            </w:tcBorders>
            <w:shd w:val="clear" w:color="auto" w:fill="auto"/>
            <w:noWrap/>
            <w:vAlign w:val="center"/>
            <w:hideMark/>
          </w:tcPr>
          <w:p w14:paraId="2B3AE6D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i/>
                <w:iCs/>
                <w:color w:val="000000"/>
                <w:kern w:val="0"/>
                <w:sz w:val="20"/>
                <w:szCs w:val="20"/>
                <w:lang w:val="nl-BE"/>
                <w14:ligatures w14:val="none"/>
              </w:rPr>
              <w:t>[EDM01.01.07] Self-explaining </w:t>
            </w:r>
          </w:p>
        </w:tc>
      </w:tr>
      <w:tr w:rsidR="00C56737" w:rsidRPr="00C56737" w14:paraId="5759C378"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1B51DF6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19</w:t>
            </w:r>
          </w:p>
        </w:tc>
        <w:tc>
          <w:tcPr>
            <w:tcW w:w="2619" w:type="dxa"/>
            <w:tcBorders>
              <w:top w:val="nil"/>
              <w:left w:val="nil"/>
              <w:bottom w:val="single" w:sz="4" w:space="0" w:color="auto"/>
              <w:right w:val="single" w:sz="4" w:space="0" w:color="auto"/>
            </w:tcBorders>
            <w:shd w:val="clear" w:color="auto" w:fill="FFFFFF"/>
            <w:vAlign w:val="center"/>
            <w:hideMark/>
          </w:tcPr>
          <w:p w14:paraId="2EF34A0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Authority Levels</w:t>
            </w:r>
          </w:p>
        </w:tc>
        <w:tc>
          <w:tcPr>
            <w:tcW w:w="6677" w:type="dxa"/>
            <w:tcBorders>
              <w:top w:val="nil"/>
              <w:left w:val="nil"/>
              <w:bottom w:val="single" w:sz="4" w:space="0" w:color="auto"/>
              <w:right w:val="single" w:sz="4" w:space="0" w:color="auto"/>
            </w:tcBorders>
            <w:shd w:val="clear" w:color="auto" w:fill="auto"/>
            <w:noWrap/>
            <w:vAlign w:val="center"/>
            <w:hideMark/>
          </w:tcPr>
          <w:p w14:paraId="466CCF4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[EDM01.01.08] appropriate levels of authority delegation, including threshold rules, for I&amp;T decisions.</w:t>
            </w:r>
          </w:p>
        </w:tc>
      </w:tr>
      <w:tr w:rsidR="00C56737" w:rsidRPr="00C56737" w14:paraId="658117CE"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9ACAE2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20</w:t>
            </w:r>
          </w:p>
        </w:tc>
        <w:tc>
          <w:tcPr>
            <w:tcW w:w="2619" w:type="dxa"/>
            <w:tcBorders>
              <w:top w:val="nil"/>
              <w:left w:val="nil"/>
              <w:bottom w:val="single" w:sz="4" w:space="0" w:color="auto"/>
              <w:right w:val="single" w:sz="4" w:space="0" w:color="auto"/>
            </w:tcBorders>
            <w:shd w:val="clear" w:color="auto" w:fill="FFFFFF"/>
            <w:vAlign w:val="center"/>
            <w:hideMark/>
          </w:tcPr>
          <w:p w14:paraId="60A20D0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Enterprise governance communication</w:t>
            </w:r>
          </w:p>
        </w:tc>
        <w:tc>
          <w:tcPr>
            <w:tcW w:w="6677" w:type="dxa"/>
            <w:tcBorders>
              <w:top w:val="nil"/>
              <w:left w:val="nil"/>
              <w:bottom w:val="single" w:sz="4" w:space="0" w:color="auto"/>
              <w:right w:val="single" w:sz="4" w:space="0" w:color="auto"/>
            </w:tcBorders>
            <w:shd w:val="clear" w:color="auto" w:fill="auto"/>
            <w:noWrap/>
            <w:vAlign w:val="center"/>
            <w:hideMark/>
          </w:tcPr>
          <w:p w14:paraId="43DA668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[EDM01.02] Inform leaders on I&amp;T governance principles and obtain their support,</w:t>
            </w:r>
          </w:p>
          <w:p w14:paraId="2C9B866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en-US"/>
                <w14:ligatures w14:val="none"/>
              </w:rPr>
              <w:t xml:space="preserve">buy-in and commitment. Guide the structures, processes and practices for the governance of I&amp;T in line with the agreed governance principles, decision-making models and authority levels. </w:t>
            </w:r>
            <w:r w:rsidRPr="00C56737">
              <w:rPr>
                <w:rFonts w:ascii="Calibri" w:eastAsia="Calibri" w:hAnsi="Calibri" w:cs="Calibri"/>
                <w:color w:val="000000"/>
                <w:kern w:val="0"/>
                <w:sz w:val="20"/>
                <w:szCs w:val="20"/>
                <w:lang w:val="nl-BE"/>
                <w14:ligatures w14:val="none"/>
              </w:rPr>
              <w:t>Define the information required for informed decision making.</w:t>
            </w:r>
          </w:p>
        </w:tc>
      </w:tr>
      <w:tr w:rsidR="00C56737" w:rsidRPr="00C56737" w14:paraId="69108395"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47B1E9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21</w:t>
            </w:r>
          </w:p>
        </w:tc>
        <w:tc>
          <w:tcPr>
            <w:tcW w:w="2619" w:type="dxa"/>
            <w:tcBorders>
              <w:top w:val="nil"/>
              <w:left w:val="nil"/>
              <w:bottom w:val="single" w:sz="4" w:space="0" w:color="auto"/>
              <w:right w:val="single" w:sz="4" w:space="0" w:color="auto"/>
            </w:tcBorders>
            <w:shd w:val="clear" w:color="auto" w:fill="FFFFFF"/>
            <w:vAlign w:val="center"/>
            <w:hideMark/>
          </w:tcPr>
          <w:p w14:paraId="225252A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Reward system approach</w:t>
            </w:r>
          </w:p>
        </w:tc>
        <w:tc>
          <w:tcPr>
            <w:tcW w:w="6677" w:type="dxa"/>
            <w:tcBorders>
              <w:top w:val="nil"/>
              <w:left w:val="nil"/>
              <w:bottom w:val="single" w:sz="4" w:space="0" w:color="auto"/>
              <w:right w:val="single" w:sz="4" w:space="0" w:color="auto"/>
            </w:tcBorders>
            <w:shd w:val="clear" w:color="auto" w:fill="auto"/>
            <w:noWrap/>
            <w:vAlign w:val="center"/>
            <w:hideMark/>
          </w:tcPr>
          <w:p w14:paraId="4B391CB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[EDM01.02.07] Direct the establishment of a reward system to promote desirable cultural change</w:t>
            </w:r>
          </w:p>
        </w:tc>
      </w:tr>
      <w:tr w:rsidR="00C56737" w:rsidRPr="00C56737" w14:paraId="672C2AB5"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994CDC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22</w:t>
            </w:r>
          </w:p>
        </w:tc>
        <w:tc>
          <w:tcPr>
            <w:tcW w:w="2619" w:type="dxa"/>
            <w:tcBorders>
              <w:top w:val="nil"/>
              <w:left w:val="nil"/>
              <w:bottom w:val="single" w:sz="4" w:space="0" w:color="auto"/>
              <w:right w:val="single" w:sz="4" w:space="0" w:color="auto"/>
            </w:tcBorders>
            <w:shd w:val="clear" w:color="auto" w:fill="FFFFFF"/>
            <w:vAlign w:val="center"/>
            <w:hideMark/>
          </w:tcPr>
          <w:p w14:paraId="1CA8608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Feedback on governance effectiveness and performance</w:t>
            </w:r>
          </w:p>
        </w:tc>
        <w:tc>
          <w:tcPr>
            <w:tcW w:w="6677" w:type="dxa"/>
            <w:tcBorders>
              <w:top w:val="nil"/>
              <w:left w:val="nil"/>
              <w:bottom w:val="single" w:sz="4" w:space="0" w:color="auto"/>
              <w:right w:val="single" w:sz="4" w:space="0" w:color="auto"/>
            </w:tcBorders>
            <w:shd w:val="clear" w:color="auto" w:fill="auto"/>
            <w:noWrap/>
            <w:vAlign w:val="center"/>
            <w:hideMark/>
          </w:tcPr>
          <w:p w14:paraId="028B1AB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[EDM01.03] Monitor the effectiveness and performance of the enterprise’s</w:t>
            </w:r>
          </w:p>
          <w:p w14:paraId="2D8BCC5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governance of I&amp;T. Assess whether the governance system and implemented mechanisms (including structures, principles and processes) are operating effectively and provide appropriate oversight of I&amp;T to enable value creation</w:t>
            </w:r>
          </w:p>
        </w:tc>
      </w:tr>
      <w:tr w:rsidR="00C56737" w:rsidRPr="00C56737" w14:paraId="5C59FEC9"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46F5C9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23</w:t>
            </w:r>
          </w:p>
        </w:tc>
        <w:tc>
          <w:tcPr>
            <w:tcW w:w="2619" w:type="dxa"/>
            <w:tcBorders>
              <w:top w:val="nil"/>
              <w:left w:val="nil"/>
              <w:bottom w:val="single" w:sz="4" w:space="0" w:color="auto"/>
              <w:right w:val="single" w:sz="4" w:space="0" w:color="auto"/>
            </w:tcBorders>
            <w:shd w:val="clear" w:color="auto" w:fill="FFFFFF"/>
            <w:vAlign w:val="center"/>
            <w:hideMark/>
          </w:tcPr>
          <w:p w14:paraId="5F3ECEF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Definition of strategic initiatives</w:t>
            </w:r>
          </w:p>
        </w:tc>
        <w:tc>
          <w:tcPr>
            <w:tcW w:w="6677" w:type="dxa"/>
            <w:tcBorders>
              <w:top w:val="nil"/>
              <w:left w:val="nil"/>
              <w:bottom w:val="single" w:sz="4" w:space="0" w:color="auto"/>
              <w:right w:val="single" w:sz="4" w:space="0" w:color="auto"/>
            </w:tcBorders>
            <w:shd w:val="clear" w:color="auto" w:fill="auto"/>
            <w:noWrap/>
            <w:vAlign w:val="center"/>
            <w:hideMark/>
          </w:tcPr>
          <w:p w14:paraId="07978F1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APO02.05] Investment mix that achieves the right balance among a number of dimensions, including an appropriate balance of short- and long-term returns, financial and non-financial benefits, and high- and low-risk investments</w:t>
            </w:r>
          </w:p>
        </w:tc>
      </w:tr>
      <w:tr w:rsidR="00C56737" w:rsidRPr="00C56737" w14:paraId="51652F0A"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0390482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24</w:t>
            </w:r>
          </w:p>
        </w:tc>
        <w:tc>
          <w:tcPr>
            <w:tcW w:w="2619" w:type="dxa"/>
            <w:tcBorders>
              <w:top w:val="nil"/>
              <w:left w:val="nil"/>
              <w:bottom w:val="single" w:sz="4" w:space="0" w:color="auto"/>
              <w:right w:val="single" w:sz="4" w:space="0" w:color="auto"/>
            </w:tcBorders>
            <w:shd w:val="clear" w:color="auto" w:fill="FFFFFF"/>
            <w:vAlign w:val="center"/>
            <w:hideMark/>
          </w:tcPr>
          <w:p w14:paraId="512CBF8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Risk assessment initiatives</w:t>
            </w:r>
          </w:p>
        </w:tc>
        <w:tc>
          <w:tcPr>
            <w:tcW w:w="6677" w:type="dxa"/>
            <w:tcBorders>
              <w:top w:val="nil"/>
              <w:left w:val="nil"/>
              <w:bottom w:val="single" w:sz="4" w:space="0" w:color="auto"/>
              <w:right w:val="single" w:sz="4" w:space="0" w:color="auto"/>
            </w:tcBorders>
            <w:shd w:val="clear" w:color="auto" w:fill="auto"/>
            <w:noWrap/>
            <w:vAlign w:val="center"/>
            <w:hideMark/>
          </w:tcPr>
          <w:p w14:paraId="3CBD9E0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APO02.05] Investment mix that achieves the right balance among a number of dimensions, including an appropriate balance of short- and long-term returns, financial and non-financial benefits, and high- and low-risk investments</w:t>
            </w:r>
          </w:p>
        </w:tc>
      </w:tr>
      <w:tr w:rsidR="00C56737" w:rsidRPr="00C56737" w14:paraId="2DC2FBEB"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1CA761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25</w:t>
            </w:r>
          </w:p>
        </w:tc>
        <w:tc>
          <w:tcPr>
            <w:tcW w:w="2619" w:type="dxa"/>
            <w:tcBorders>
              <w:top w:val="nil"/>
              <w:left w:val="nil"/>
              <w:bottom w:val="single" w:sz="4" w:space="0" w:color="auto"/>
              <w:right w:val="single" w:sz="4" w:space="0" w:color="auto"/>
            </w:tcBorders>
            <w:shd w:val="clear" w:color="auto" w:fill="FFFFFF"/>
            <w:vAlign w:val="center"/>
            <w:hideMark/>
          </w:tcPr>
          <w:p w14:paraId="3F201F1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Strategic Roadmap</w:t>
            </w:r>
          </w:p>
        </w:tc>
        <w:tc>
          <w:tcPr>
            <w:tcW w:w="6677" w:type="dxa"/>
            <w:tcBorders>
              <w:top w:val="nil"/>
              <w:left w:val="nil"/>
              <w:bottom w:val="single" w:sz="4" w:space="0" w:color="auto"/>
              <w:right w:val="single" w:sz="4" w:space="0" w:color="auto"/>
            </w:tcBorders>
            <w:shd w:val="clear" w:color="auto" w:fill="auto"/>
            <w:noWrap/>
            <w:vAlign w:val="center"/>
            <w:hideMark/>
          </w:tcPr>
          <w:p w14:paraId="4E54FEE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APO02.05.02] Detail a road map that defines the incremental steps required to achieve the goals and objectives of the I&amp;T strategy. Ensure actions are included to train people with new skills, support adoption of new technology, sustain change throughout the organization, etc</w:t>
            </w:r>
          </w:p>
        </w:tc>
      </w:tr>
      <w:tr w:rsidR="00C56737" w:rsidRPr="00C56737" w14:paraId="0C5AE07E"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C473BB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26</w:t>
            </w:r>
          </w:p>
        </w:tc>
        <w:tc>
          <w:tcPr>
            <w:tcW w:w="2619" w:type="dxa"/>
            <w:tcBorders>
              <w:top w:val="nil"/>
              <w:left w:val="nil"/>
              <w:bottom w:val="single" w:sz="4" w:space="0" w:color="auto"/>
              <w:right w:val="single" w:sz="4" w:space="0" w:color="auto"/>
            </w:tcBorders>
            <w:shd w:val="clear" w:color="auto" w:fill="FFFFFF"/>
            <w:vAlign w:val="center"/>
            <w:hideMark/>
          </w:tcPr>
          <w:p w14:paraId="43CAB10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Definitions of standard services</w:t>
            </w:r>
          </w:p>
        </w:tc>
        <w:tc>
          <w:tcPr>
            <w:tcW w:w="6677" w:type="dxa"/>
            <w:tcBorders>
              <w:top w:val="nil"/>
              <w:left w:val="nil"/>
              <w:bottom w:val="single" w:sz="4" w:space="0" w:color="auto"/>
              <w:right w:val="single" w:sz="4" w:space="0" w:color="auto"/>
            </w:tcBorders>
            <w:shd w:val="clear" w:color="auto" w:fill="auto"/>
            <w:noWrap/>
            <w:vAlign w:val="center"/>
            <w:hideMark/>
          </w:tcPr>
          <w:p w14:paraId="51F703D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APO09.01.01] Assess current I&amp;T services and service levels to identify gaps between existing services and the business activities they support. Identify areas for improvement of existing services and service level options</w:t>
            </w:r>
          </w:p>
        </w:tc>
      </w:tr>
      <w:tr w:rsidR="00C56737" w:rsidRPr="00C56737" w14:paraId="21EC9474"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1562FAA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27</w:t>
            </w:r>
          </w:p>
        </w:tc>
        <w:tc>
          <w:tcPr>
            <w:tcW w:w="2619" w:type="dxa"/>
            <w:tcBorders>
              <w:top w:val="nil"/>
              <w:left w:val="nil"/>
              <w:bottom w:val="single" w:sz="4" w:space="0" w:color="auto"/>
              <w:right w:val="single" w:sz="4" w:space="0" w:color="auto"/>
            </w:tcBorders>
            <w:shd w:val="clear" w:color="auto" w:fill="FFFFFF"/>
            <w:vAlign w:val="center"/>
            <w:hideMark/>
          </w:tcPr>
          <w:p w14:paraId="1136609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Service Definitions</w:t>
            </w:r>
          </w:p>
        </w:tc>
        <w:tc>
          <w:tcPr>
            <w:tcW w:w="6677" w:type="dxa"/>
            <w:tcBorders>
              <w:top w:val="nil"/>
              <w:left w:val="nil"/>
              <w:bottom w:val="single" w:sz="4" w:space="0" w:color="auto"/>
              <w:right w:val="single" w:sz="4" w:space="0" w:color="auto"/>
            </w:tcBorders>
            <w:shd w:val="clear" w:color="auto" w:fill="auto"/>
            <w:noWrap/>
            <w:vAlign w:val="center"/>
            <w:hideMark/>
          </w:tcPr>
          <w:p w14:paraId="6E2524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BAI03.11.01] Propose definitions of the new or changed IT products and services to ensure that they are fit for purpose. Document the proposed definitions in the portfolio list of products and services to be developed.</w:t>
            </w:r>
          </w:p>
        </w:tc>
      </w:tr>
      <w:tr w:rsidR="00C56737" w:rsidRPr="00C56737" w14:paraId="2125AE1F"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0C07DA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28</w:t>
            </w:r>
          </w:p>
        </w:tc>
        <w:tc>
          <w:tcPr>
            <w:tcW w:w="2619" w:type="dxa"/>
            <w:tcBorders>
              <w:top w:val="nil"/>
              <w:left w:val="nil"/>
              <w:bottom w:val="single" w:sz="4" w:space="0" w:color="auto"/>
              <w:right w:val="single" w:sz="4" w:space="0" w:color="auto"/>
            </w:tcBorders>
            <w:shd w:val="clear" w:color="auto" w:fill="FFFFFF"/>
            <w:vAlign w:val="center"/>
            <w:hideMark/>
          </w:tcPr>
          <w:p w14:paraId="2456D2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Investment types and criteria</w:t>
            </w:r>
          </w:p>
        </w:tc>
        <w:tc>
          <w:tcPr>
            <w:tcW w:w="6677" w:type="dxa"/>
            <w:tcBorders>
              <w:top w:val="nil"/>
              <w:left w:val="nil"/>
              <w:bottom w:val="single" w:sz="4" w:space="0" w:color="auto"/>
              <w:right w:val="single" w:sz="4" w:space="0" w:color="auto"/>
            </w:tcBorders>
            <w:shd w:val="clear" w:color="auto" w:fill="auto"/>
            <w:noWrap/>
            <w:vAlign w:val="center"/>
            <w:hideMark/>
          </w:tcPr>
          <w:p w14:paraId="31D7069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EDM02.03.01] Define and communicate portfolio and investment types, categories, criteria and relative weightings to the criteria to allow for overall relative value scores</w:t>
            </w:r>
          </w:p>
        </w:tc>
      </w:tr>
      <w:tr w:rsidR="00C56737" w:rsidRPr="00C56737" w14:paraId="6478E471"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D95A31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29</w:t>
            </w:r>
          </w:p>
        </w:tc>
        <w:tc>
          <w:tcPr>
            <w:tcW w:w="2619" w:type="dxa"/>
            <w:tcBorders>
              <w:top w:val="nil"/>
              <w:left w:val="nil"/>
              <w:bottom w:val="single" w:sz="4" w:space="0" w:color="auto"/>
              <w:right w:val="single" w:sz="4" w:space="0" w:color="auto"/>
            </w:tcBorders>
            <w:shd w:val="clear" w:color="auto" w:fill="FFFFFF"/>
            <w:vAlign w:val="center"/>
            <w:hideMark/>
          </w:tcPr>
          <w:p w14:paraId="309F972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Investment return expectations</w:t>
            </w:r>
          </w:p>
        </w:tc>
        <w:tc>
          <w:tcPr>
            <w:tcW w:w="6677" w:type="dxa"/>
            <w:tcBorders>
              <w:top w:val="nil"/>
              <w:left w:val="nil"/>
              <w:bottom w:val="single" w:sz="4" w:space="0" w:color="auto"/>
              <w:right w:val="single" w:sz="4" w:space="0" w:color="auto"/>
            </w:tcBorders>
            <w:shd w:val="clear" w:color="auto" w:fill="auto"/>
            <w:noWrap/>
            <w:vAlign w:val="center"/>
            <w:hideMark/>
          </w:tcPr>
          <w:p w14:paraId="7576AA8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APO05.01] Determine potential sources of funds, different funding options and the implications of the funding source on the investment return expectations</w:t>
            </w:r>
          </w:p>
        </w:tc>
      </w:tr>
      <w:tr w:rsidR="00C56737" w:rsidRPr="00C56737" w14:paraId="7268F0FE"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0CE0B65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30</w:t>
            </w:r>
          </w:p>
        </w:tc>
        <w:tc>
          <w:tcPr>
            <w:tcW w:w="2619" w:type="dxa"/>
            <w:tcBorders>
              <w:top w:val="nil"/>
              <w:left w:val="nil"/>
              <w:bottom w:val="single" w:sz="4" w:space="0" w:color="auto"/>
              <w:right w:val="single" w:sz="4" w:space="0" w:color="auto"/>
            </w:tcBorders>
            <w:shd w:val="clear" w:color="auto" w:fill="FFFFFF"/>
            <w:vAlign w:val="center"/>
            <w:hideMark/>
          </w:tcPr>
          <w:p w14:paraId="23C0FC8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Selected programs with ROI milestones</w:t>
            </w:r>
          </w:p>
        </w:tc>
        <w:tc>
          <w:tcPr>
            <w:tcW w:w="6677" w:type="dxa"/>
            <w:tcBorders>
              <w:top w:val="nil"/>
              <w:left w:val="nil"/>
              <w:bottom w:val="single" w:sz="4" w:space="0" w:color="auto"/>
              <w:right w:val="single" w:sz="4" w:space="0" w:color="auto"/>
            </w:tcBorders>
            <w:shd w:val="clear" w:color="auto" w:fill="auto"/>
            <w:noWrap/>
            <w:vAlign w:val="center"/>
            <w:hideMark/>
          </w:tcPr>
          <w:p w14:paraId="3DA4B2B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APO05.02.04 &amp; APO05.02.05] Decide which candidate programs should be moved to the active investment portfolio. Decide whether rejected programs should be held for future consideration or provided with seed funding to determine if business case can be improved or discarded.  Determine required milestones for each selected program’s full economic life cycle. Allocate and reserve total program funding per milestone. Move the program into the active investment portfolio.</w:t>
            </w:r>
          </w:p>
        </w:tc>
      </w:tr>
      <w:tr w:rsidR="00C56737" w:rsidRPr="00C56737" w14:paraId="4DDF7C01"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EF22A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31</w:t>
            </w:r>
          </w:p>
        </w:tc>
        <w:tc>
          <w:tcPr>
            <w:tcW w:w="2619" w:type="dxa"/>
            <w:tcBorders>
              <w:top w:val="nil"/>
              <w:left w:val="nil"/>
              <w:bottom w:val="single" w:sz="4" w:space="0" w:color="auto"/>
              <w:right w:val="single" w:sz="4" w:space="0" w:color="auto"/>
            </w:tcBorders>
            <w:shd w:val="clear" w:color="auto" w:fill="FFFFFF"/>
            <w:vAlign w:val="center"/>
            <w:hideMark/>
          </w:tcPr>
          <w:p w14:paraId="6B4D80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Benefit results and related communications</w:t>
            </w:r>
          </w:p>
        </w:tc>
        <w:tc>
          <w:tcPr>
            <w:tcW w:w="6677" w:type="dxa"/>
            <w:tcBorders>
              <w:top w:val="nil"/>
              <w:left w:val="nil"/>
              <w:bottom w:val="single" w:sz="4" w:space="0" w:color="auto"/>
              <w:right w:val="single" w:sz="4" w:space="0" w:color="auto"/>
            </w:tcBorders>
            <w:shd w:val="clear" w:color="auto" w:fill="auto"/>
            <w:noWrap/>
            <w:vAlign w:val="center"/>
            <w:hideMark/>
          </w:tcPr>
          <w:p w14:paraId="1741AEE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en-US"/>
                <w14:ligatures w14:val="none"/>
              </w:rPr>
              <w:t xml:space="preserve">[From APO05.05.01] Use the agreed metrics and track how benefits are achieved, how they evolve throughout the life cycle of programs and projects, how they are being delivered from I&amp;T products and services, and how they compare to internal and industry benchmarks. </w:t>
            </w:r>
            <w:r w:rsidRPr="00C56737">
              <w:rPr>
                <w:rFonts w:ascii="Calibri" w:eastAsia="Calibri" w:hAnsi="Calibri" w:cs="Calibri"/>
                <w:color w:val="000000"/>
                <w:kern w:val="0"/>
                <w:sz w:val="20"/>
                <w:szCs w:val="20"/>
                <w:lang w:val="nl-BE"/>
                <w14:ligatures w14:val="none"/>
              </w:rPr>
              <w:t>Communicate results to stakeholders.</w:t>
            </w:r>
          </w:p>
        </w:tc>
      </w:tr>
      <w:tr w:rsidR="00C56737" w:rsidRPr="00C56737" w14:paraId="4AEB9B11"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11A5130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lastRenderedPageBreak/>
              <w:t>32</w:t>
            </w:r>
          </w:p>
        </w:tc>
        <w:tc>
          <w:tcPr>
            <w:tcW w:w="2619" w:type="dxa"/>
            <w:tcBorders>
              <w:top w:val="nil"/>
              <w:left w:val="nil"/>
              <w:bottom w:val="single" w:sz="4" w:space="0" w:color="auto"/>
              <w:right w:val="single" w:sz="4" w:space="0" w:color="auto"/>
            </w:tcBorders>
            <w:shd w:val="clear" w:color="auto" w:fill="FFFFFF"/>
            <w:vAlign w:val="center"/>
            <w:hideMark/>
          </w:tcPr>
          <w:p w14:paraId="04D78CC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Stage-gate review results</w:t>
            </w:r>
          </w:p>
        </w:tc>
        <w:tc>
          <w:tcPr>
            <w:tcW w:w="6677" w:type="dxa"/>
            <w:tcBorders>
              <w:top w:val="nil"/>
              <w:left w:val="nil"/>
              <w:bottom w:val="single" w:sz="4" w:space="0" w:color="auto"/>
              <w:right w:val="single" w:sz="4" w:space="0" w:color="auto"/>
            </w:tcBorders>
            <w:shd w:val="clear" w:color="auto" w:fill="auto"/>
            <w:noWrap/>
            <w:vAlign w:val="center"/>
            <w:hideMark/>
          </w:tcPr>
          <w:p w14:paraId="5C4129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[From BAI01.06.07] In accordance with stage-gate, release or iteration review criteria, undertake reviews to report on the progress of the program so that management can make go/no-go or adjustment decisions and approve further funding up to the following stage-gate, release or iteration </w:t>
            </w:r>
          </w:p>
        </w:tc>
      </w:tr>
      <w:tr w:rsidR="00C56737" w:rsidRPr="00C56737" w14:paraId="57D0B1AC"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4BA8BFB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33</w:t>
            </w:r>
          </w:p>
        </w:tc>
        <w:tc>
          <w:tcPr>
            <w:tcW w:w="2619" w:type="dxa"/>
            <w:tcBorders>
              <w:top w:val="nil"/>
              <w:left w:val="nil"/>
              <w:bottom w:val="single" w:sz="4" w:space="0" w:color="auto"/>
              <w:right w:val="single" w:sz="4" w:space="0" w:color="auto"/>
            </w:tcBorders>
            <w:shd w:val="clear" w:color="auto" w:fill="FFFFFF"/>
            <w:vAlign w:val="center"/>
            <w:hideMark/>
          </w:tcPr>
          <w:p w14:paraId="23D039A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Investment portfolio performance reports</w:t>
            </w:r>
          </w:p>
        </w:tc>
        <w:tc>
          <w:tcPr>
            <w:tcW w:w="6677" w:type="dxa"/>
            <w:tcBorders>
              <w:top w:val="nil"/>
              <w:left w:val="nil"/>
              <w:bottom w:val="single" w:sz="4" w:space="0" w:color="auto"/>
              <w:right w:val="single" w:sz="4" w:space="0" w:color="auto"/>
            </w:tcBorders>
            <w:shd w:val="clear" w:color="auto" w:fill="auto"/>
            <w:noWrap/>
            <w:vAlign w:val="center"/>
            <w:hideMark/>
          </w:tcPr>
          <w:p w14:paraId="063FC7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APO05.03.05] Provide an accurate view of the performance of the investment portfolio to all stakeholders</w:t>
            </w:r>
          </w:p>
        </w:tc>
      </w:tr>
      <w:tr w:rsidR="00C56737" w:rsidRPr="00C56737" w14:paraId="3267BA9C"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C3D00B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34</w:t>
            </w:r>
          </w:p>
        </w:tc>
        <w:tc>
          <w:tcPr>
            <w:tcW w:w="2619" w:type="dxa"/>
            <w:tcBorders>
              <w:top w:val="nil"/>
              <w:left w:val="nil"/>
              <w:bottom w:val="single" w:sz="4" w:space="0" w:color="auto"/>
              <w:right w:val="single" w:sz="4" w:space="0" w:color="auto"/>
            </w:tcBorders>
            <w:shd w:val="clear" w:color="auto" w:fill="FFFFFF"/>
            <w:vAlign w:val="center"/>
            <w:hideMark/>
          </w:tcPr>
          <w:p w14:paraId="4B51D95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Defined investment mix</w:t>
            </w:r>
          </w:p>
        </w:tc>
        <w:tc>
          <w:tcPr>
            <w:tcW w:w="6677" w:type="dxa"/>
            <w:tcBorders>
              <w:top w:val="nil"/>
              <w:left w:val="nil"/>
              <w:bottom w:val="single" w:sz="4" w:space="0" w:color="auto"/>
              <w:right w:val="single" w:sz="4" w:space="0" w:color="auto"/>
            </w:tcBorders>
            <w:shd w:val="clear" w:color="auto" w:fill="auto"/>
            <w:noWrap/>
            <w:vAlign w:val="center"/>
            <w:hideMark/>
          </w:tcPr>
          <w:p w14:paraId="1E0B4BC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EDM02.01.05] Define an investment mix that achieves the right balance among a number of dimensions, including an appropriate balance of short- and long-term returns, financial and nonfinancial benefits, and high- and low-risk investments</w:t>
            </w:r>
          </w:p>
        </w:tc>
      </w:tr>
      <w:tr w:rsidR="00C56737" w:rsidRPr="00C56737" w14:paraId="05EE7835"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506EC2E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35</w:t>
            </w:r>
          </w:p>
        </w:tc>
        <w:tc>
          <w:tcPr>
            <w:tcW w:w="2619" w:type="dxa"/>
            <w:tcBorders>
              <w:top w:val="nil"/>
              <w:left w:val="nil"/>
              <w:bottom w:val="single" w:sz="4" w:space="0" w:color="auto"/>
              <w:right w:val="single" w:sz="4" w:space="0" w:color="auto"/>
            </w:tcBorders>
            <w:shd w:val="clear" w:color="auto" w:fill="FFFFFF"/>
            <w:vAlign w:val="center"/>
            <w:hideMark/>
          </w:tcPr>
          <w:p w14:paraId="44389FD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Feedback on strategy and goals</w:t>
            </w:r>
          </w:p>
        </w:tc>
        <w:tc>
          <w:tcPr>
            <w:tcW w:w="6677" w:type="dxa"/>
            <w:tcBorders>
              <w:top w:val="nil"/>
              <w:left w:val="nil"/>
              <w:bottom w:val="single" w:sz="4" w:space="0" w:color="auto"/>
              <w:right w:val="single" w:sz="4" w:space="0" w:color="auto"/>
            </w:tcBorders>
            <w:shd w:val="clear" w:color="auto" w:fill="auto"/>
            <w:noWrap/>
            <w:vAlign w:val="center"/>
            <w:hideMark/>
          </w:tcPr>
          <w:p w14:paraId="4B57E4B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[EDM02.01.02] Obtain a common understanding between IT and the other business functions on the potential opportunities for IT to enable and contribute to enterprise strategy</w:t>
            </w:r>
          </w:p>
        </w:tc>
      </w:tr>
      <w:tr w:rsidR="00C56737" w:rsidRPr="00C56737" w14:paraId="58CCEAFE"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8864B6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36</w:t>
            </w:r>
          </w:p>
        </w:tc>
        <w:tc>
          <w:tcPr>
            <w:tcW w:w="2619" w:type="dxa"/>
            <w:tcBorders>
              <w:top w:val="nil"/>
              <w:left w:val="nil"/>
              <w:bottom w:val="single" w:sz="4" w:space="0" w:color="auto"/>
              <w:right w:val="single" w:sz="4" w:space="0" w:color="auto"/>
            </w:tcBorders>
            <w:shd w:val="clear" w:color="auto" w:fill="FFFFFF"/>
            <w:vAlign w:val="center"/>
            <w:hideMark/>
          </w:tcPr>
          <w:p w14:paraId="43080A4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Identified resources and capabilities required to support strategy</w:t>
            </w:r>
          </w:p>
        </w:tc>
        <w:tc>
          <w:tcPr>
            <w:tcW w:w="6677" w:type="dxa"/>
            <w:tcBorders>
              <w:top w:val="nil"/>
              <w:left w:val="nil"/>
              <w:bottom w:val="single" w:sz="4" w:space="0" w:color="auto"/>
              <w:right w:val="single" w:sz="4" w:space="0" w:color="auto"/>
            </w:tcBorders>
            <w:shd w:val="clear" w:color="auto" w:fill="auto"/>
            <w:noWrap/>
            <w:vAlign w:val="center"/>
            <w:hideMark/>
          </w:tcPr>
          <w:p w14:paraId="267E5D4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[EDM02.01.03] Identify the broad categories of information systems, applications, data, IT services, infrastructure, I&amp;T assets, resources, skills, practices, controls and relationships needed to support the enterprise strategy</w:t>
            </w:r>
          </w:p>
        </w:tc>
      </w:tr>
      <w:tr w:rsidR="00C56737" w:rsidRPr="00C56737" w14:paraId="623142AC"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486004B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37</w:t>
            </w:r>
          </w:p>
        </w:tc>
        <w:tc>
          <w:tcPr>
            <w:tcW w:w="2619" w:type="dxa"/>
            <w:tcBorders>
              <w:top w:val="nil"/>
              <w:left w:val="nil"/>
              <w:bottom w:val="single" w:sz="4" w:space="0" w:color="auto"/>
              <w:right w:val="single" w:sz="4" w:space="0" w:color="auto"/>
            </w:tcBorders>
            <w:shd w:val="clear" w:color="auto" w:fill="FFFFFF"/>
            <w:vAlign w:val="center"/>
            <w:hideMark/>
          </w:tcPr>
          <w:p w14:paraId="26A0BBC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Evaluation of strategic alignment</w:t>
            </w:r>
          </w:p>
        </w:tc>
        <w:tc>
          <w:tcPr>
            <w:tcW w:w="6677" w:type="dxa"/>
            <w:tcBorders>
              <w:top w:val="nil"/>
              <w:left w:val="nil"/>
              <w:bottom w:val="single" w:sz="4" w:space="0" w:color="auto"/>
              <w:right w:val="single" w:sz="4" w:space="0" w:color="auto"/>
            </w:tcBorders>
            <w:shd w:val="clear" w:color="auto" w:fill="auto"/>
            <w:noWrap/>
            <w:vAlign w:val="center"/>
            <w:hideMark/>
          </w:tcPr>
          <w:p w14:paraId="7F5104C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[EDM02.02.05] Evaluate how effectively the enterprise and I&amp;T strategies have been integrated and aligned within the enterprise and with enterprise goals for delivering value </w:t>
            </w:r>
          </w:p>
        </w:tc>
      </w:tr>
      <w:tr w:rsidR="00C56737" w:rsidRPr="00C56737" w14:paraId="43410DA3"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16D7AE6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38</w:t>
            </w:r>
          </w:p>
        </w:tc>
        <w:tc>
          <w:tcPr>
            <w:tcW w:w="2619" w:type="dxa"/>
            <w:tcBorders>
              <w:top w:val="nil"/>
              <w:left w:val="nil"/>
              <w:bottom w:val="single" w:sz="4" w:space="0" w:color="auto"/>
              <w:right w:val="single" w:sz="4" w:space="0" w:color="auto"/>
            </w:tcBorders>
            <w:shd w:val="clear" w:color="auto" w:fill="FFFFFF"/>
            <w:vAlign w:val="center"/>
            <w:hideMark/>
          </w:tcPr>
          <w:p w14:paraId="6B4A912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Evaluation of investment and services portfolios</w:t>
            </w:r>
          </w:p>
        </w:tc>
        <w:tc>
          <w:tcPr>
            <w:tcW w:w="6677" w:type="dxa"/>
            <w:tcBorders>
              <w:top w:val="nil"/>
              <w:left w:val="nil"/>
              <w:bottom w:val="single" w:sz="4" w:space="0" w:color="auto"/>
              <w:right w:val="single" w:sz="4" w:space="0" w:color="auto"/>
            </w:tcBorders>
            <w:shd w:val="clear" w:color="auto" w:fill="auto"/>
            <w:noWrap/>
            <w:vAlign w:val="center"/>
            <w:hideMark/>
          </w:tcPr>
          <w:p w14:paraId="26AFD9B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[EDM02.02.08] Evaluate the portfolio of investments, services and assets for alignment with the enterprise’s strategic objectives; enterprise worth, both financial and nonfinancial; risk, both delivery risk and benefits risk; business process alignment; effectiveness in terms of usability, availability and responsiveness; and efficiency in terms of cost, redundancy and technical health </w:t>
            </w:r>
          </w:p>
        </w:tc>
      </w:tr>
      <w:tr w:rsidR="00C56737" w:rsidRPr="00C56737" w14:paraId="51C951F9"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1B508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39</w:t>
            </w:r>
          </w:p>
        </w:tc>
        <w:tc>
          <w:tcPr>
            <w:tcW w:w="2619" w:type="dxa"/>
            <w:tcBorders>
              <w:top w:val="nil"/>
              <w:left w:val="nil"/>
              <w:bottom w:val="single" w:sz="4" w:space="0" w:color="auto"/>
              <w:right w:val="single" w:sz="4" w:space="0" w:color="auto"/>
            </w:tcBorders>
            <w:shd w:val="clear" w:color="auto" w:fill="FFFFFF"/>
            <w:vAlign w:val="center"/>
            <w:hideMark/>
          </w:tcPr>
          <w:p w14:paraId="09093CA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Requirements for stage-gate reviews</w:t>
            </w:r>
          </w:p>
        </w:tc>
        <w:tc>
          <w:tcPr>
            <w:tcW w:w="6677" w:type="dxa"/>
            <w:tcBorders>
              <w:top w:val="nil"/>
              <w:left w:val="nil"/>
              <w:bottom w:val="single" w:sz="4" w:space="0" w:color="auto"/>
              <w:right w:val="single" w:sz="4" w:space="0" w:color="auto"/>
            </w:tcBorders>
            <w:shd w:val="clear" w:color="auto" w:fill="auto"/>
            <w:noWrap/>
            <w:vAlign w:val="center"/>
            <w:hideMark/>
          </w:tcPr>
          <w:p w14:paraId="426903F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[EDM02.03.02] Define requirements for stage-gates and other reviews for significance of the investment to the enterprise and associated risk, program schedules, funding plans, and the delivery of key capabilities and benefits and ongoing contribution to value </w:t>
            </w:r>
          </w:p>
        </w:tc>
      </w:tr>
      <w:tr w:rsidR="00C56737" w:rsidRPr="00C56737" w14:paraId="037A212D"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35AAF5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40</w:t>
            </w:r>
          </w:p>
        </w:tc>
        <w:tc>
          <w:tcPr>
            <w:tcW w:w="2619" w:type="dxa"/>
            <w:tcBorders>
              <w:top w:val="nil"/>
              <w:left w:val="nil"/>
              <w:bottom w:val="single" w:sz="4" w:space="0" w:color="auto"/>
              <w:right w:val="single" w:sz="4" w:space="0" w:color="auto"/>
            </w:tcBorders>
            <w:shd w:val="clear" w:color="auto" w:fill="FFFFFF"/>
            <w:vAlign w:val="center"/>
            <w:hideMark/>
          </w:tcPr>
          <w:p w14:paraId="3905C6C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Actions to improve value delivery</w:t>
            </w:r>
          </w:p>
        </w:tc>
        <w:tc>
          <w:tcPr>
            <w:tcW w:w="6677" w:type="dxa"/>
            <w:tcBorders>
              <w:top w:val="nil"/>
              <w:left w:val="nil"/>
              <w:bottom w:val="single" w:sz="4" w:space="0" w:color="auto"/>
              <w:right w:val="single" w:sz="4" w:space="0" w:color="auto"/>
            </w:tcBorders>
            <w:shd w:val="clear" w:color="auto" w:fill="auto"/>
            <w:noWrap/>
            <w:vAlign w:val="center"/>
            <w:hideMark/>
          </w:tcPr>
          <w:p w14:paraId="2DA73A7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[EDM02.04.04] Upon review of reports, ensure that appropriate management corrective action is initiated and controlled </w:t>
            </w:r>
          </w:p>
        </w:tc>
      </w:tr>
      <w:tr w:rsidR="00C56737" w:rsidRPr="00C56737" w14:paraId="75B9BED3"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F57753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41</w:t>
            </w:r>
          </w:p>
        </w:tc>
        <w:tc>
          <w:tcPr>
            <w:tcW w:w="2619" w:type="dxa"/>
            <w:tcBorders>
              <w:top w:val="nil"/>
              <w:left w:val="nil"/>
              <w:bottom w:val="single" w:sz="4" w:space="0" w:color="auto"/>
              <w:right w:val="single" w:sz="4" w:space="0" w:color="auto"/>
            </w:tcBorders>
            <w:shd w:val="clear" w:color="auto" w:fill="FFFFFF"/>
            <w:vAlign w:val="center"/>
            <w:hideMark/>
          </w:tcPr>
          <w:p w14:paraId="5937BB5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Feedback on portfolio and program performance</w:t>
            </w:r>
          </w:p>
        </w:tc>
        <w:tc>
          <w:tcPr>
            <w:tcW w:w="6677" w:type="dxa"/>
            <w:tcBorders>
              <w:top w:val="nil"/>
              <w:left w:val="nil"/>
              <w:bottom w:val="single" w:sz="4" w:space="0" w:color="auto"/>
              <w:right w:val="single" w:sz="4" w:space="0" w:color="auto"/>
            </w:tcBorders>
            <w:shd w:val="clear" w:color="auto" w:fill="auto"/>
            <w:noWrap/>
            <w:vAlign w:val="center"/>
            <w:hideMark/>
          </w:tcPr>
          <w:p w14:paraId="4A1A805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en-US"/>
                <w14:ligatures w14:val="none"/>
              </w:rPr>
              <w:t xml:space="preserve">[EDM02.04.02] Collect relevant, timely, complete, credible and accurate data to report on progress in delivering value against targets. Obtain a succinct, high-level, all-around view of portfolio, program and I&amp;T (technical and operational capabilities) performance that supports decision making. </w:t>
            </w:r>
            <w:r w:rsidRPr="00C56737">
              <w:rPr>
                <w:rFonts w:ascii="Calibri" w:eastAsia="Calibri" w:hAnsi="Calibri" w:cs="Calibri"/>
                <w:color w:val="000000"/>
                <w:kern w:val="0"/>
                <w:sz w:val="20"/>
                <w:szCs w:val="20"/>
                <w:lang w:val="nl-BE"/>
                <w14:ligatures w14:val="none"/>
              </w:rPr>
              <w:t xml:space="preserve">Ensure that expected results are being achieved </w:t>
            </w:r>
          </w:p>
        </w:tc>
      </w:tr>
      <w:tr w:rsidR="00C56737" w:rsidRPr="00C56737" w14:paraId="1EB358D9"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1DA9A3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42</w:t>
            </w:r>
          </w:p>
        </w:tc>
        <w:tc>
          <w:tcPr>
            <w:tcW w:w="2619" w:type="dxa"/>
            <w:tcBorders>
              <w:top w:val="nil"/>
              <w:left w:val="nil"/>
              <w:bottom w:val="single" w:sz="4" w:space="0" w:color="auto"/>
              <w:right w:val="single" w:sz="4" w:space="0" w:color="auto"/>
            </w:tcBorders>
            <w:shd w:val="clear" w:color="auto" w:fill="FFFFFF"/>
            <w:vAlign w:val="center"/>
            <w:hideMark/>
          </w:tcPr>
          <w:p w14:paraId="6A5B09A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Emerging risk issues and factors</w:t>
            </w:r>
          </w:p>
        </w:tc>
        <w:tc>
          <w:tcPr>
            <w:tcW w:w="6677" w:type="dxa"/>
            <w:tcBorders>
              <w:top w:val="nil"/>
              <w:left w:val="nil"/>
              <w:bottom w:val="single" w:sz="4" w:space="0" w:color="auto"/>
              <w:right w:val="single" w:sz="4" w:space="0" w:color="auto"/>
            </w:tcBorders>
            <w:shd w:val="clear" w:color="auto" w:fill="auto"/>
            <w:noWrap/>
            <w:vAlign w:val="center"/>
            <w:hideMark/>
          </w:tcPr>
          <w:p w14:paraId="418ECF4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APO12.01.08] Perform periodic event and risk factor analysis to identify new or emerging risk issues and to gain an understanding of the associated internal and external risk factors</w:t>
            </w:r>
          </w:p>
        </w:tc>
      </w:tr>
      <w:tr w:rsidR="00C56737" w:rsidRPr="00C56737" w14:paraId="4B08605A"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6164462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43</w:t>
            </w:r>
          </w:p>
        </w:tc>
        <w:tc>
          <w:tcPr>
            <w:tcW w:w="2619" w:type="dxa"/>
            <w:tcBorders>
              <w:top w:val="nil"/>
              <w:left w:val="nil"/>
              <w:bottom w:val="single" w:sz="4" w:space="0" w:color="auto"/>
              <w:right w:val="single" w:sz="4" w:space="0" w:color="auto"/>
            </w:tcBorders>
            <w:shd w:val="clear" w:color="auto" w:fill="FFFFFF"/>
            <w:vAlign w:val="center"/>
            <w:hideMark/>
          </w:tcPr>
          <w:p w14:paraId="5EE5729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Enterprise risk management (ERM) principles</w:t>
            </w:r>
          </w:p>
        </w:tc>
        <w:tc>
          <w:tcPr>
            <w:tcW w:w="6677" w:type="dxa"/>
            <w:tcBorders>
              <w:top w:val="nil"/>
              <w:left w:val="nil"/>
              <w:bottom w:val="single" w:sz="4" w:space="0" w:color="auto"/>
              <w:right w:val="single" w:sz="4" w:space="0" w:color="auto"/>
            </w:tcBorders>
            <w:shd w:val="clear" w:color="auto" w:fill="auto"/>
            <w:noWrap/>
            <w:vAlign w:val="center"/>
            <w:hideMark/>
          </w:tcPr>
          <w:p w14:paraId="236A95F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Outside] The overall ERM principles the organisation has adopted, e.g. COSO ERM Principles or equivalent.</w:t>
            </w:r>
          </w:p>
        </w:tc>
      </w:tr>
      <w:tr w:rsidR="00C56737" w:rsidRPr="00C56737" w14:paraId="2E71C26F"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1B652F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44</w:t>
            </w:r>
          </w:p>
        </w:tc>
        <w:tc>
          <w:tcPr>
            <w:tcW w:w="2619" w:type="dxa"/>
            <w:tcBorders>
              <w:top w:val="nil"/>
              <w:left w:val="nil"/>
              <w:bottom w:val="single" w:sz="4" w:space="0" w:color="auto"/>
              <w:right w:val="single" w:sz="4" w:space="0" w:color="auto"/>
            </w:tcBorders>
            <w:shd w:val="clear" w:color="auto" w:fill="FFFFFF"/>
            <w:vAlign w:val="center"/>
            <w:hideMark/>
          </w:tcPr>
          <w:p w14:paraId="13ED02D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Aggregated risk profile, including status of risk management actions</w:t>
            </w:r>
          </w:p>
        </w:tc>
        <w:tc>
          <w:tcPr>
            <w:tcW w:w="6677" w:type="dxa"/>
            <w:tcBorders>
              <w:top w:val="nil"/>
              <w:left w:val="nil"/>
              <w:bottom w:val="single" w:sz="4" w:space="0" w:color="auto"/>
              <w:right w:val="single" w:sz="4" w:space="0" w:color="auto"/>
            </w:tcBorders>
            <w:shd w:val="clear" w:color="auto" w:fill="auto"/>
            <w:noWrap/>
            <w:vAlign w:val="center"/>
            <w:hideMark/>
          </w:tcPr>
          <w:p w14:paraId="06921D1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APO12.03.04] Regularly capture all risk profile information and consolidate it into an aggregated risk profile</w:t>
            </w:r>
          </w:p>
        </w:tc>
      </w:tr>
      <w:tr w:rsidR="00C56737" w:rsidRPr="00C56737" w14:paraId="3D2E7C69"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5D3CEB1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45</w:t>
            </w:r>
          </w:p>
        </w:tc>
        <w:tc>
          <w:tcPr>
            <w:tcW w:w="2619" w:type="dxa"/>
            <w:tcBorders>
              <w:top w:val="nil"/>
              <w:left w:val="nil"/>
              <w:bottom w:val="single" w:sz="4" w:space="0" w:color="auto"/>
              <w:right w:val="single" w:sz="4" w:space="0" w:color="auto"/>
            </w:tcBorders>
            <w:shd w:val="clear" w:color="auto" w:fill="FFFFFF"/>
            <w:vAlign w:val="center"/>
            <w:hideMark/>
          </w:tcPr>
          <w:p w14:paraId="05130E1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Enterprise risk management (ERM) profiles and mitigation plans</w:t>
            </w:r>
          </w:p>
        </w:tc>
        <w:tc>
          <w:tcPr>
            <w:tcW w:w="6677" w:type="dxa"/>
            <w:tcBorders>
              <w:top w:val="nil"/>
              <w:left w:val="nil"/>
              <w:bottom w:val="single" w:sz="4" w:space="0" w:color="auto"/>
              <w:right w:val="single" w:sz="4" w:space="0" w:color="auto"/>
            </w:tcBorders>
            <w:shd w:val="clear" w:color="auto" w:fill="auto"/>
            <w:noWrap/>
            <w:vAlign w:val="center"/>
            <w:hideMark/>
          </w:tcPr>
          <w:p w14:paraId="470F9E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Outside] The overall risk appetite and profile of the organisation as well as the risk mitigation approach</w:t>
            </w:r>
          </w:p>
        </w:tc>
      </w:tr>
      <w:tr w:rsidR="00C56737" w:rsidRPr="00C56737" w14:paraId="39D75C3C"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B67AA6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46</w:t>
            </w:r>
          </w:p>
        </w:tc>
        <w:tc>
          <w:tcPr>
            <w:tcW w:w="2619" w:type="dxa"/>
            <w:tcBorders>
              <w:top w:val="nil"/>
              <w:left w:val="nil"/>
              <w:bottom w:val="single" w:sz="4" w:space="0" w:color="auto"/>
              <w:right w:val="single" w:sz="4" w:space="0" w:color="auto"/>
            </w:tcBorders>
            <w:shd w:val="clear" w:color="auto" w:fill="FFFFFF"/>
            <w:vAlign w:val="center"/>
            <w:hideMark/>
          </w:tcPr>
          <w:p w14:paraId="130003B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Risk analysis results</w:t>
            </w:r>
          </w:p>
        </w:tc>
        <w:tc>
          <w:tcPr>
            <w:tcW w:w="6677" w:type="dxa"/>
            <w:tcBorders>
              <w:top w:val="nil"/>
              <w:left w:val="nil"/>
              <w:bottom w:val="single" w:sz="4" w:space="0" w:color="auto"/>
              <w:right w:val="single" w:sz="4" w:space="0" w:color="auto"/>
            </w:tcBorders>
            <w:shd w:val="clear" w:color="auto" w:fill="auto"/>
            <w:noWrap/>
            <w:vAlign w:val="center"/>
            <w:hideMark/>
          </w:tcPr>
          <w:p w14:paraId="029C1B7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APO12.02.03] Estimate the frequency (or likelihood) and magnitude of loss or gain associated with I&amp;T risk scenarios. Take into account all applicable risk factors and evaluate known operational controls</w:t>
            </w:r>
          </w:p>
        </w:tc>
      </w:tr>
      <w:tr w:rsidR="00C56737" w:rsidRPr="00C56737" w14:paraId="23B9DEE7"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15FA2AC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47</w:t>
            </w:r>
          </w:p>
        </w:tc>
        <w:tc>
          <w:tcPr>
            <w:tcW w:w="2619" w:type="dxa"/>
            <w:tcBorders>
              <w:top w:val="nil"/>
              <w:left w:val="nil"/>
              <w:bottom w:val="single" w:sz="4" w:space="0" w:color="auto"/>
              <w:right w:val="single" w:sz="4" w:space="0" w:color="auto"/>
            </w:tcBorders>
            <w:shd w:val="clear" w:color="auto" w:fill="FFFFFF"/>
            <w:vAlign w:val="center"/>
            <w:hideMark/>
          </w:tcPr>
          <w:p w14:paraId="394757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Risk analysis and risk profile reports for stakeholders</w:t>
            </w:r>
          </w:p>
        </w:tc>
        <w:tc>
          <w:tcPr>
            <w:tcW w:w="6677" w:type="dxa"/>
            <w:tcBorders>
              <w:top w:val="nil"/>
              <w:left w:val="nil"/>
              <w:bottom w:val="single" w:sz="4" w:space="0" w:color="auto"/>
              <w:right w:val="single" w:sz="4" w:space="0" w:color="auto"/>
            </w:tcBorders>
            <w:shd w:val="clear" w:color="auto" w:fill="auto"/>
            <w:noWrap/>
            <w:vAlign w:val="center"/>
            <w:hideMark/>
          </w:tcPr>
          <w:p w14:paraId="0101237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APO12.04.01] Report the results of risk analysis to all affected stakeholders in terms and formats useful to support enterprise decisions. Whenever possible, include probabilities and ranges of loss or gain along with confidence levels, to enable management to balance risk-return</w:t>
            </w:r>
          </w:p>
        </w:tc>
      </w:tr>
      <w:tr w:rsidR="00C56737" w:rsidRPr="00C56737" w14:paraId="2F9DB1E8"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CA8FB8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lastRenderedPageBreak/>
              <w:t>48</w:t>
            </w:r>
          </w:p>
        </w:tc>
        <w:tc>
          <w:tcPr>
            <w:tcW w:w="2619" w:type="dxa"/>
            <w:tcBorders>
              <w:top w:val="nil"/>
              <w:left w:val="nil"/>
              <w:bottom w:val="single" w:sz="4" w:space="0" w:color="auto"/>
              <w:right w:val="single" w:sz="4" w:space="0" w:color="auto"/>
            </w:tcBorders>
            <w:shd w:val="clear" w:color="auto" w:fill="FFFFFF"/>
            <w:vAlign w:val="center"/>
            <w:hideMark/>
          </w:tcPr>
          <w:p w14:paraId="69C5D3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Results of third-party risk assessments</w:t>
            </w:r>
          </w:p>
        </w:tc>
        <w:tc>
          <w:tcPr>
            <w:tcW w:w="6677" w:type="dxa"/>
            <w:tcBorders>
              <w:top w:val="nil"/>
              <w:left w:val="nil"/>
              <w:bottom w:val="single" w:sz="4" w:space="0" w:color="auto"/>
              <w:right w:val="single" w:sz="4" w:space="0" w:color="auto"/>
            </w:tcBorders>
            <w:shd w:val="clear" w:color="auto" w:fill="auto"/>
            <w:noWrap/>
            <w:vAlign w:val="center"/>
            <w:hideMark/>
          </w:tcPr>
          <w:p w14:paraId="6559584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APO12.04.05] Review the results of objective third-party assessments and internal audit and quality assurance reviews. Include them in the risk profile. Review identified gaps and I&amp;T-related loss exposures to determine the need for additional risk analysis</w:t>
            </w:r>
          </w:p>
        </w:tc>
      </w:tr>
      <w:tr w:rsidR="00C56737" w:rsidRPr="00C56737" w14:paraId="71A3967C"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4FBED7A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49</w:t>
            </w:r>
          </w:p>
        </w:tc>
        <w:tc>
          <w:tcPr>
            <w:tcW w:w="2619" w:type="dxa"/>
            <w:tcBorders>
              <w:top w:val="nil"/>
              <w:left w:val="nil"/>
              <w:bottom w:val="single" w:sz="4" w:space="0" w:color="auto"/>
              <w:right w:val="single" w:sz="4" w:space="0" w:color="auto"/>
            </w:tcBorders>
            <w:shd w:val="clear" w:color="auto" w:fill="FFFFFF"/>
            <w:vAlign w:val="center"/>
            <w:hideMark/>
          </w:tcPr>
          <w:p w14:paraId="6763778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Opportunities for acceptance of greater risk</w:t>
            </w:r>
          </w:p>
        </w:tc>
        <w:tc>
          <w:tcPr>
            <w:tcW w:w="6677" w:type="dxa"/>
            <w:tcBorders>
              <w:top w:val="nil"/>
              <w:left w:val="nil"/>
              <w:bottom w:val="single" w:sz="4" w:space="0" w:color="auto"/>
              <w:right w:val="single" w:sz="4" w:space="0" w:color="auto"/>
            </w:tcBorders>
            <w:shd w:val="clear" w:color="auto" w:fill="auto"/>
            <w:noWrap/>
            <w:vAlign w:val="center"/>
            <w:hideMark/>
          </w:tcPr>
          <w:p w14:paraId="6DEE7FA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APO12.04.04] On a periodic basis, for areas with relative risk and risk capacity parity, identify I&amp;T-related opportunities that would allow the acceptance of greater risk and enhanced growth and return</w:t>
            </w:r>
          </w:p>
        </w:tc>
      </w:tr>
      <w:tr w:rsidR="00C56737" w:rsidRPr="00C56737" w14:paraId="0802D1D6"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BD1001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50</w:t>
            </w:r>
          </w:p>
        </w:tc>
        <w:tc>
          <w:tcPr>
            <w:tcW w:w="2619" w:type="dxa"/>
            <w:tcBorders>
              <w:top w:val="nil"/>
              <w:left w:val="nil"/>
              <w:bottom w:val="single" w:sz="4" w:space="0" w:color="auto"/>
              <w:right w:val="single" w:sz="4" w:space="0" w:color="auto"/>
            </w:tcBorders>
            <w:shd w:val="clear" w:color="auto" w:fill="FFFFFF"/>
            <w:vAlign w:val="center"/>
            <w:hideMark/>
          </w:tcPr>
          <w:p w14:paraId="0BFC711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Risk appetite guidance</w:t>
            </w:r>
          </w:p>
        </w:tc>
        <w:tc>
          <w:tcPr>
            <w:tcW w:w="6677" w:type="dxa"/>
            <w:tcBorders>
              <w:top w:val="nil"/>
              <w:left w:val="nil"/>
              <w:bottom w:val="single" w:sz="4" w:space="0" w:color="auto"/>
              <w:right w:val="single" w:sz="4" w:space="0" w:color="auto"/>
            </w:tcBorders>
            <w:shd w:val="clear" w:color="auto" w:fill="auto"/>
            <w:noWrap/>
            <w:vAlign w:val="center"/>
            <w:hideMark/>
          </w:tcPr>
          <w:p w14:paraId="6E8BE5F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[EDM03.01.02] Determine the risk appetite of the organization, i.e., the level of I&amp;T-related risk that the enterprise is willing to take in its pursuit of enterprise objectives</w:t>
            </w:r>
          </w:p>
        </w:tc>
      </w:tr>
      <w:tr w:rsidR="00C56737" w:rsidRPr="00C56737" w14:paraId="45BBA5C6"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6F38B7C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51</w:t>
            </w:r>
          </w:p>
        </w:tc>
        <w:tc>
          <w:tcPr>
            <w:tcW w:w="2619" w:type="dxa"/>
            <w:tcBorders>
              <w:top w:val="nil"/>
              <w:left w:val="nil"/>
              <w:bottom w:val="single" w:sz="4" w:space="0" w:color="auto"/>
              <w:right w:val="single" w:sz="4" w:space="0" w:color="auto"/>
            </w:tcBorders>
            <w:shd w:val="clear" w:color="auto" w:fill="FFFFFF"/>
            <w:vAlign w:val="center"/>
            <w:hideMark/>
          </w:tcPr>
          <w:p w14:paraId="6DEE967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Evaluation of risk management activities</w:t>
            </w:r>
          </w:p>
        </w:tc>
        <w:tc>
          <w:tcPr>
            <w:tcW w:w="6677" w:type="dxa"/>
            <w:tcBorders>
              <w:top w:val="nil"/>
              <w:left w:val="nil"/>
              <w:bottom w:val="single" w:sz="4" w:space="0" w:color="auto"/>
              <w:right w:val="single" w:sz="4" w:space="0" w:color="auto"/>
            </w:tcBorders>
            <w:shd w:val="clear" w:color="auto" w:fill="auto"/>
            <w:noWrap/>
            <w:vAlign w:val="center"/>
            <w:hideMark/>
          </w:tcPr>
          <w:p w14:paraId="750E6E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[EDM03.01.06] Evaluate risk management activities to ensure alignment with the enterprise’s capacity for I&amp;T-related loss and leadership’s tolerance of it.</w:t>
            </w:r>
          </w:p>
        </w:tc>
      </w:tr>
      <w:tr w:rsidR="00C56737" w:rsidRPr="00C56737" w14:paraId="490B37E1"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4AD377A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52</w:t>
            </w:r>
          </w:p>
        </w:tc>
        <w:tc>
          <w:tcPr>
            <w:tcW w:w="2619" w:type="dxa"/>
            <w:tcBorders>
              <w:top w:val="nil"/>
              <w:left w:val="nil"/>
              <w:bottom w:val="single" w:sz="4" w:space="0" w:color="auto"/>
              <w:right w:val="single" w:sz="4" w:space="0" w:color="auto"/>
            </w:tcBorders>
            <w:shd w:val="clear" w:color="auto" w:fill="FFFFFF"/>
            <w:vAlign w:val="center"/>
            <w:hideMark/>
          </w:tcPr>
          <w:p w14:paraId="2DA2B3B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Approved risk tolerance levels</w:t>
            </w:r>
          </w:p>
        </w:tc>
        <w:tc>
          <w:tcPr>
            <w:tcW w:w="6677" w:type="dxa"/>
            <w:tcBorders>
              <w:top w:val="nil"/>
              <w:left w:val="nil"/>
              <w:bottom w:val="single" w:sz="4" w:space="0" w:color="auto"/>
              <w:right w:val="single" w:sz="4" w:space="0" w:color="auto"/>
            </w:tcBorders>
            <w:shd w:val="clear" w:color="auto" w:fill="auto"/>
            <w:noWrap/>
            <w:vAlign w:val="center"/>
            <w:hideMark/>
          </w:tcPr>
          <w:p w14:paraId="55D4353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[EDM03.01.03] Determine risk tolerance levels against the risk appetite, i.e., temporarily acceptable deviations from the risk appetite</w:t>
            </w:r>
          </w:p>
        </w:tc>
      </w:tr>
      <w:tr w:rsidR="00C56737" w:rsidRPr="00C56737" w14:paraId="332BD1A5"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4E6BA0F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53</w:t>
            </w:r>
          </w:p>
        </w:tc>
        <w:tc>
          <w:tcPr>
            <w:tcW w:w="2619" w:type="dxa"/>
            <w:tcBorders>
              <w:top w:val="nil"/>
              <w:left w:val="nil"/>
              <w:bottom w:val="single" w:sz="4" w:space="0" w:color="auto"/>
              <w:right w:val="single" w:sz="4" w:space="0" w:color="auto"/>
            </w:tcBorders>
            <w:shd w:val="clear" w:color="auto" w:fill="FFFFFF"/>
            <w:vAlign w:val="center"/>
            <w:hideMark/>
          </w:tcPr>
          <w:p w14:paraId="120AB8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Approved process for measuring risk management</w:t>
            </w:r>
          </w:p>
        </w:tc>
        <w:tc>
          <w:tcPr>
            <w:tcW w:w="6677" w:type="dxa"/>
            <w:tcBorders>
              <w:top w:val="nil"/>
              <w:left w:val="nil"/>
              <w:bottom w:val="single" w:sz="4" w:space="0" w:color="auto"/>
              <w:right w:val="single" w:sz="4" w:space="0" w:color="auto"/>
            </w:tcBorders>
            <w:shd w:val="clear" w:color="auto" w:fill="auto"/>
            <w:noWrap/>
            <w:vAlign w:val="center"/>
            <w:hideMark/>
          </w:tcPr>
          <w:p w14:paraId="404BB35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[EDM03.02.03] Direct implementation of the appropriate mechanisms to respond quickly to changing risk and report immediately to appropriate levels of management, supported by agreed principles of escalation (what to report, when, where and how). </w:t>
            </w:r>
          </w:p>
        </w:tc>
      </w:tr>
      <w:tr w:rsidR="00C56737" w:rsidRPr="00C56737" w14:paraId="37CC1CB5"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31673E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54</w:t>
            </w:r>
          </w:p>
        </w:tc>
        <w:tc>
          <w:tcPr>
            <w:tcW w:w="2619" w:type="dxa"/>
            <w:tcBorders>
              <w:top w:val="nil"/>
              <w:left w:val="nil"/>
              <w:bottom w:val="single" w:sz="4" w:space="0" w:color="auto"/>
              <w:right w:val="single" w:sz="4" w:space="0" w:color="auto"/>
            </w:tcBorders>
            <w:shd w:val="clear" w:color="auto" w:fill="FFFFFF"/>
            <w:vAlign w:val="center"/>
            <w:hideMark/>
          </w:tcPr>
          <w:p w14:paraId="7F68E09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Key objectives to be monitored for risk management</w:t>
            </w:r>
          </w:p>
        </w:tc>
        <w:tc>
          <w:tcPr>
            <w:tcW w:w="6677" w:type="dxa"/>
            <w:tcBorders>
              <w:top w:val="nil"/>
              <w:left w:val="nil"/>
              <w:bottom w:val="single" w:sz="4" w:space="0" w:color="auto"/>
              <w:right w:val="single" w:sz="4" w:space="0" w:color="auto"/>
            </w:tcBorders>
            <w:shd w:val="clear" w:color="auto" w:fill="auto"/>
            <w:noWrap/>
            <w:vAlign w:val="center"/>
            <w:hideMark/>
          </w:tcPr>
          <w:p w14:paraId="757C2CB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[EDM03.02.05] Identify key goals and metrics of the risk governance and management processes to be monitored, and approve the approaches, methods, techniques and processes for capturing and reporting the measurement information</w:t>
            </w:r>
          </w:p>
        </w:tc>
      </w:tr>
      <w:tr w:rsidR="00C56737" w:rsidRPr="00C56737" w14:paraId="03EB6E9D"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C76167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55</w:t>
            </w:r>
          </w:p>
        </w:tc>
        <w:tc>
          <w:tcPr>
            <w:tcW w:w="2619" w:type="dxa"/>
            <w:tcBorders>
              <w:top w:val="nil"/>
              <w:left w:val="nil"/>
              <w:bottom w:val="single" w:sz="4" w:space="0" w:color="auto"/>
              <w:right w:val="single" w:sz="4" w:space="0" w:color="auto"/>
            </w:tcBorders>
            <w:shd w:val="clear" w:color="auto" w:fill="FFFFFF"/>
            <w:vAlign w:val="center"/>
            <w:hideMark/>
          </w:tcPr>
          <w:p w14:paraId="4948640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Risk management policies</w:t>
            </w:r>
          </w:p>
        </w:tc>
        <w:tc>
          <w:tcPr>
            <w:tcW w:w="6677" w:type="dxa"/>
            <w:tcBorders>
              <w:top w:val="nil"/>
              <w:left w:val="nil"/>
              <w:bottom w:val="single" w:sz="4" w:space="0" w:color="auto"/>
              <w:right w:val="single" w:sz="4" w:space="0" w:color="auto"/>
            </w:tcBorders>
            <w:shd w:val="clear" w:color="auto" w:fill="auto"/>
            <w:noWrap/>
            <w:vAlign w:val="center"/>
            <w:hideMark/>
          </w:tcPr>
          <w:p w14:paraId="7931BB4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[EDM03.02.04] Direct that risk, opportunities, issues and concerns may be identified and reported by anyone to the appropriate party at any time. Risk should be managed in accordance with published policies and procedures and escalated to the relevant decision makers.</w:t>
            </w:r>
          </w:p>
        </w:tc>
      </w:tr>
      <w:tr w:rsidR="00C56737" w:rsidRPr="00C56737" w14:paraId="657B188D"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9FF376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56</w:t>
            </w:r>
          </w:p>
        </w:tc>
        <w:tc>
          <w:tcPr>
            <w:tcW w:w="2619" w:type="dxa"/>
            <w:tcBorders>
              <w:top w:val="nil"/>
              <w:left w:val="nil"/>
              <w:bottom w:val="single" w:sz="4" w:space="0" w:color="auto"/>
              <w:right w:val="single" w:sz="4" w:space="0" w:color="auto"/>
            </w:tcBorders>
            <w:shd w:val="clear" w:color="auto" w:fill="FFFFFF"/>
            <w:vAlign w:val="center"/>
            <w:hideMark/>
          </w:tcPr>
          <w:p w14:paraId="4EFD575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Remedial actions to address risk management deviations</w:t>
            </w:r>
          </w:p>
        </w:tc>
        <w:tc>
          <w:tcPr>
            <w:tcW w:w="6677" w:type="dxa"/>
            <w:tcBorders>
              <w:top w:val="nil"/>
              <w:left w:val="nil"/>
              <w:bottom w:val="single" w:sz="4" w:space="0" w:color="auto"/>
              <w:right w:val="single" w:sz="4" w:space="0" w:color="auto"/>
            </w:tcBorders>
            <w:shd w:val="clear" w:color="auto" w:fill="auto"/>
            <w:noWrap/>
            <w:vAlign w:val="center"/>
            <w:hideMark/>
          </w:tcPr>
          <w:p w14:paraId="680D68D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[EDM03.03.03] Monitor key goals and metrics of risk governance and management processes against targets, analyze the cause of any deviations, and initiate remedial actions to address the underlying causes</w:t>
            </w:r>
          </w:p>
        </w:tc>
      </w:tr>
      <w:tr w:rsidR="00C56737" w:rsidRPr="00C56737" w14:paraId="62C63FF7"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E69D86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57</w:t>
            </w:r>
          </w:p>
        </w:tc>
        <w:tc>
          <w:tcPr>
            <w:tcW w:w="2619" w:type="dxa"/>
            <w:tcBorders>
              <w:top w:val="nil"/>
              <w:left w:val="nil"/>
              <w:bottom w:val="single" w:sz="4" w:space="0" w:color="auto"/>
              <w:right w:val="single" w:sz="4" w:space="0" w:color="auto"/>
            </w:tcBorders>
            <w:shd w:val="clear" w:color="auto" w:fill="FFFFFF"/>
            <w:vAlign w:val="center"/>
            <w:hideMark/>
          </w:tcPr>
          <w:p w14:paraId="7D9EBE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Risk management issues for the board</w:t>
            </w:r>
          </w:p>
        </w:tc>
        <w:tc>
          <w:tcPr>
            <w:tcW w:w="6677" w:type="dxa"/>
            <w:tcBorders>
              <w:top w:val="nil"/>
              <w:left w:val="nil"/>
              <w:bottom w:val="single" w:sz="4" w:space="0" w:color="auto"/>
              <w:right w:val="single" w:sz="4" w:space="0" w:color="auto"/>
            </w:tcBorders>
            <w:shd w:val="clear" w:color="auto" w:fill="auto"/>
            <w:noWrap/>
            <w:vAlign w:val="center"/>
            <w:hideMark/>
          </w:tcPr>
          <w:p w14:paraId="4DEEF1F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[EDM03.03.01] Report any risk management issues to the board or executive committee</w:t>
            </w:r>
          </w:p>
        </w:tc>
      </w:tr>
      <w:tr w:rsidR="00C56737" w:rsidRPr="00C56737" w14:paraId="39FD08CB"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6A90C4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58</w:t>
            </w:r>
          </w:p>
        </w:tc>
        <w:tc>
          <w:tcPr>
            <w:tcW w:w="2619" w:type="dxa"/>
            <w:tcBorders>
              <w:top w:val="nil"/>
              <w:left w:val="nil"/>
              <w:bottom w:val="single" w:sz="4" w:space="0" w:color="auto"/>
              <w:right w:val="single" w:sz="4" w:space="0" w:color="auto"/>
            </w:tcBorders>
            <w:shd w:val="clear" w:color="auto" w:fill="FFFFFF"/>
            <w:vAlign w:val="center"/>
            <w:hideMark/>
          </w:tcPr>
          <w:p w14:paraId="4ECB0C1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Gaps and changes required to realize target capability</w:t>
            </w:r>
          </w:p>
        </w:tc>
        <w:tc>
          <w:tcPr>
            <w:tcW w:w="6677" w:type="dxa"/>
            <w:tcBorders>
              <w:top w:val="nil"/>
              <w:left w:val="nil"/>
              <w:bottom w:val="single" w:sz="4" w:space="0" w:color="auto"/>
              <w:right w:val="single" w:sz="4" w:space="0" w:color="auto"/>
            </w:tcBorders>
            <w:shd w:val="clear" w:color="auto" w:fill="auto"/>
            <w:noWrap/>
            <w:vAlign w:val="center"/>
            <w:hideMark/>
          </w:tcPr>
          <w:p w14:paraId="5E9CA1E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APO02.04.01] Identify all gaps and changes required to realize the target environment</w:t>
            </w:r>
          </w:p>
        </w:tc>
      </w:tr>
      <w:tr w:rsidR="00C56737" w:rsidRPr="00C56737" w14:paraId="625C7A75"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B472BB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59</w:t>
            </w:r>
          </w:p>
        </w:tc>
        <w:tc>
          <w:tcPr>
            <w:tcW w:w="2619" w:type="dxa"/>
            <w:tcBorders>
              <w:top w:val="nil"/>
              <w:left w:val="nil"/>
              <w:bottom w:val="single" w:sz="4" w:space="0" w:color="auto"/>
              <w:right w:val="single" w:sz="4" w:space="0" w:color="auto"/>
            </w:tcBorders>
            <w:shd w:val="clear" w:color="auto" w:fill="FFFFFF"/>
            <w:vAlign w:val="center"/>
            <w:hideMark/>
          </w:tcPr>
          <w:p w14:paraId="3464C86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Skill development plans</w:t>
            </w:r>
          </w:p>
        </w:tc>
        <w:tc>
          <w:tcPr>
            <w:tcW w:w="6677" w:type="dxa"/>
            <w:tcBorders>
              <w:top w:val="nil"/>
              <w:left w:val="nil"/>
              <w:bottom w:val="single" w:sz="4" w:space="0" w:color="auto"/>
              <w:right w:val="single" w:sz="4" w:space="0" w:color="auto"/>
            </w:tcBorders>
            <w:shd w:val="clear" w:color="auto" w:fill="auto"/>
            <w:noWrap/>
            <w:vAlign w:val="center"/>
            <w:hideMark/>
          </w:tcPr>
          <w:p w14:paraId="1968BE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APO07.03.02] Identify gaps between required and available skills. Develop action plans, such as training (technical and behavioral skills), recruitment, redeployment and changed sourcing strategies, to address the gaps on an individual and collective basis</w:t>
            </w:r>
          </w:p>
        </w:tc>
      </w:tr>
      <w:tr w:rsidR="00C56737" w:rsidRPr="00C56737" w14:paraId="2A5051A2"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10D2D7F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60</w:t>
            </w:r>
          </w:p>
        </w:tc>
        <w:tc>
          <w:tcPr>
            <w:tcW w:w="2619" w:type="dxa"/>
            <w:tcBorders>
              <w:top w:val="nil"/>
              <w:left w:val="nil"/>
              <w:bottom w:val="single" w:sz="4" w:space="0" w:color="auto"/>
              <w:right w:val="single" w:sz="4" w:space="0" w:color="auto"/>
            </w:tcBorders>
            <w:shd w:val="clear" w:color="auto" w:fill="FFFFFF"/>
            <w:vAlign w:val="center"/>
            <w:hideMark/>
          </w:tcPr>
          <w:p w14:paraId="03B2C8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Decision results of vendor evaluations</w:t>
            </w:r>
          </w:p>
        </w:tc>
        <w:tc>
          <w:tcPr>
            <w:tcW w:w="6677" w:type="dxa"/>
            <w:tcBorders>
              <w:top w:val="nil"/>
              <w:left w:val="nil"/>
              <w:bottom w:val="single" w:sz="4" w:space="0" w:color="auto"/>
              <w:right w:val="single" w:sz="4" w:space="0" w:color="auto"/>
            </w:tcBorders>
            <w:shd w:val="clear" w:color="auto" w:fill="auto"/>
            <w:noWrap/>
            <w:vAlign w:val="center"/>
            <w:hideMark/>
          </w:tcPr>
          <w:p w14:paraId="7CB7980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APO10.02.03] Select the vendor that best fits the RFP. Document and communicate the decision, and sign the contract.</w:t>
            </w:r>
          </w:p>
        </w:tc>
      </w:tr>
      <w:tr w:rsidR="00C56737" w:rsidRPr="00C56737" w14:paraId="4E424B60"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66588EE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61</w:t>
            </w:r>
          </w:p>
        </w:tc>
        <w:tc>
          <w:tcPr>
            <w:tcW w:w="2619" w:type="dxa"/>
            <w:tcBorders>
              <w:top w:val="nil"/>
              <w:left w:val="nil"/>
              <w:bottom w:val="single" w:sz="4" w:space="0" w:color="auto"/>
              <w:right w:val="single" w:sz="4" w:space="0" w:color="auto"/>
            </w:tcBorders>
            <w:shd w:val="clear" w:color="auto" w:fill="FFFFFF"/>
            <w:vAlign w:val="center"/>
            <w:hideMark/>
          </w:tcPr>
          <w:p w14:paraId="6E6E8EE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Guiding principles for allocation of resources and capabilities</w:t>
            </w:r>
          </w:p>
        </w:tc>
        <w:tc>
          <w:tcPr>
            <w:tcW w:w="6677" w:type="dxa"/>
            <w:tcBorders>
              <w:top w:val="nil"/>
              <w:left w:val="nil"/>
              <w:bottom w:val="single" w:sz="4" w:space="0" w:color="auto"/>
              <w:right w:val="single" w:sz="4" w:space="0" w:color="auto"/>
            </w:tcBorders>
            <w:shd w:val="clear" w:color="auto" w:fill="auto"/>
            <w:noWrap/>
            <w:vAlign w:val="center"/>
            <w:hideMark/>
          </w:tcPr>
          <w:p w14:paraId="226D181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[EDM04.01.02] Define the key principles for resource allocation and management of resources and capabilities so I&amp;T can meet the needs of the enterprise according to the agreed priorities and budgetary constraints. For example, define preferred sourcing options for certain services and financial boundaries per sourcing option </w:t>
            </w:r>
          </w:p>
        </w:tc>
      </w:tr>
      <w:tr w:rsidR="00C56737" w:rsidRPr="00C56737" w14:paraId="7C091210"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605288F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62</w:t>
            </w:r>
          </w:p>
        </w:tc>
        <w:tc>
          <w:tcPr>
            <w:tcW w:w="2619" w:type="dxa"/>
            <w:tcBorders>
              <w:top w:val="nil"/>
              <w:left w:val="nil"/>
              <w:bottom w:val="single" w:sz="4" w:space="0" w:color="auto"/>
              <w:right w:val="single" w:sz="4" w:space="0" w:color="auto"/>
            </w:tcBorders>
            <w:shd w:val="clear" w:color="auto" w:fill="FFFFFF"/>
            <w:vAlign w:val="center"/>
            <w:hideMark/>
          </w:tcPr>
          <w:p w14:paraId="595DB64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Approved resources plan</w:t>
            </w:r>
          </w:p>
        </w:tc>
        <w:tc>
          <w:tcPr>
            <w:tcW w:w="6677" w:type="dxa"/>
            <w:tcBorders>
              <w:top w:val="nil"/>
              <w:left w:val="nil"/>
              <w:bottom w:val="single" w:sz="4" w:space="0" w:color="auto"/>
              <w:right w:val="single" w:sz="4" w:space="0" w:color="auto"/>
            </w:tcBorders>
            <w:shd w:val="clear" w:color="auto" w:fill="auto"/>
            <w:noWrap/>
            <w:vAlign w:val="center"/>
            <w:hideMark/>
          </w:tcPr>
          <w:p w14:paraId="7B26013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[EDM04.01.03] Review and approve the resource plan and enterprise architecture strategies for delivering value and mitigating risk with the allocated resources </w:t>
            </w:r>
          </w:p>
        </w:tc>
      </w:tr>
      <w:tr w:rsidR="00C56737" w:rsidRPr="00C56737" w14:paraId="36CB2CE7"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0306D87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63</w:t>
            </w:r>
          </w:p>
        </w:tc>
        <w:tc>
          <w:tcPr>
            <w:tcW w:w="2619" w:type="dxa"/>
            <w:tcBorders>
              <w:top w:val="nil"/>
              <w:left w:val="nil"/>
              <w:bottom w:val="single" w:sz="4" w:space="0" w:color="auto"/>
              <w:right w:val="single" w:sz="4" w:space="0" w:color="auto"/>
            </w:tcBorders>
            <w:shd w:val="clear" w:color="auto" w:fill="FFFFFF"/>
            <w:vAlign w:val="center"/>
            <w:hideMark/>
          </w:tcPr>
          <w:p w14:paraId="38AC03C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Guiding principles for enterprise architecture</w:t>
            </w:r>
          </w:p>
        </w:tc>
        <w:tc>
          <w:tcPr>
            <w:tcW w:w="6677" w:type="dxa"/>
            <w:tcBorders>
              <w:top w:val="nil"/>
              <w:left w:val="nil"/>
              <w:bottom w:val="single" w:sz="4" w:space="0" w:color="auto"/>
              <w:right w:val="single" w:sz="4" w:space="0" w:color="auto"/>
            </w:tcBorders>
            <w:shd w:val="clear" w:color="auto" w:fill="auto"/>
            <w:noWrap/>
            <w:vAlign w:val="center"/>
            <w:hideMark/>
          </w:tcPr>
          <w:p w14:paraId="3A1AF23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[EDM04.01.05] Define principles for the management and control of the enterprise architecture</w:t>
            </w:r>
          </w:p>
        </w:tc>
      </w:tr>
      <w:tr w:rsidR="00C56737" w:rsidRPr="00C56737" w14:paraId="40500651"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B867C9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64</w:t>
            </w:r>
          </w:p>
        </w:tc>
        <w:tc>
          <w:tcPr>
            <w:tcW w:w="2619" w:type="dxa"/>
            <w:tcBorders>
              <w:top w:val="nil"/>
              <w:left w:val="nil"/>
              <w:bottom w:val="single" w:sz="4" w:space="0" w:color="auto"/>
              <w:right w:val="single" w:sz="4" w:space="0" w:color="auto"/>
            </w:tcBorders>
            <w:shd w:val="clear" w:color="auto" w:fill="FFFFFF"/>
            <w:vAlign w:val="center"/>
            <w:hideMark/>
          </w:tcPr>
          <w:p w14:paraId="6166DBE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Principles for safeguarding resources</w:t>
            </w:r>
          </w:p>
        </w:tc>
        <w:tc>
          <w:tcPr>
            <w:tcW w:w="6677" w:type="dxa"/>
            <w:tcBorders>
              <w:top w:val="nil"/>
              <w:left w:val="nil"/>
              <w:bottom w:val="single" w:sz="4" w:space="0" w:color="auto"/>
              <w:right w:val="single" w:sz="4" w:space="0" w:color="auto"/>
            </w:tcBorders>
            <w:shd w:val="clear" w:color="auto" w:fill="auto"/>
            <w:noWrap/>
            <w:vAlign w:val="center"/>
            <w:hideMark/>
          </w:tcPr>
          <w:p w14:paraId="420E794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[EDM04.02.02] Establish principles related to safeguarding resources</w:t>
            </w:r>
          </w:p>
        </w:tc>
      </w:tr>
      <w:tr w:rsidR="00C56737" w:rsidRPr="00C56737" w14:paraId="75EA3F3E"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590F239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65</w:t>
            </w:r>
          </w:p>
        </w:tc>
        <w:tc>
          <w:tcPr>
            <w:tcW w:w="2619" w:type="dxa"/>
            <w:tcBorders>
              <w:top w:val="nil"/>
              <w:left w:val="nil"/>
              <w:bottom w:val="single" w:sz="4" w:space="0" w:color="auto"/>
              <w:right w:val="single" w:sz="4" w:space="0" w:color="auto"/>
            </w:tcBorders>
            <w:shd w:val="clear" w:color="auto" w:fill="FFFFFF"/>
            <w:vAlign w:val="center"/>
            <w:hideMark/>
          </w:tcPr>
          <w:p w14:paraId="34D66E9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Assigned responsibilities for resource management</w:t>
            </w:r>
          </w:p>
        </w:tc>
        <w:tc>
          <w:tcPr>
            <w:tcW w:w="6677" w:type="dxa"/>
            <w:tcBorders>
              <w:top w:val="nil"/>
              <w:left w:val="nil"/>
              <w:bottom w:val="single" w:sz="4" w:space="0" w:color="auto"/>
              <w:right w:val="single" w:sz="4" w:space="0" w:color="auto"/>
            </w:tcBorders>
            <w:shd w:val="clear" w:color="auto" w:fill="auto"/>
            <w:noWrap/>
            <w:vAlign w:val="center"/>
            <w:hideMark/>
          </w:tcPr>
          <w:p w14:paraId="215C886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[EDM04.02.01] Assign responsibilities for executing resource management.</w:t>
            </w:r>
          </w:p>
        </w:tc>
      </w:tr>
      <w:tr w:rsidR="00C56737" w:rsidRPr="00C56737" w14:paraId="629039B7"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6892D9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lastRenderedPageBreak/>
              <w:t>66</w:t>
            </w:r>
          </w:p>
        </w:tc>
        <w:tc>
          <w:tcPr>
            <w:tcW w:w="2619" w:type="dxa"/>
            <w:tcBorders>
              <w:top w:val="nil"/>
              <w:left w:val="nil"/>
              <w:bottom w:val="single" w:sz="4" w:space="0" w:color="auto"/>
              <w:right w:val="single" w:sz="4" w:space="0" w:color="auto"/>
            </w:tcBorders>
            <w:shd w:val="clear" w:color="auto" w:fill="FFFFFF"/>
            <w:vAlign w:val="center"/>
            <w:hideMark/>
          </w:tcPr>
          <w:p w14:paraId="47A64A9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Communication of resourcing strategies</w:t>
            </w:r>
          </w:p>
        </w:tc>
        <w:tc>
          <w:tcPr>
            <w:tcW w:w="6677" w:type="dxa"/>
            <w:tcBorders>
              <w:top w:val="nil"/>
              <w:left w:val="nil"/>
              <w:bottom w:val="single" w:sz="4" w:space="0" w:color="auto"/>
              <w:right w:val="single" w:sz="4" w:space="0" w:color="auto"/>
            </w:tcBorders>
            <w:shd w:val="clear" w:color="auto" w:fill="auto"/>
            <w:noWrap/>
            <w:vAlign w:val="center"/>
            <w:hideMark/>
          </w:tcPr>
          <w:p w14:paraId="5187D20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[EDM04.02.03] Communicate and drive the adoption of the resource management strategies, principles, and agreed resource plan and enterprise architecture strategies</w:t>
            </w:r>
          </w:p>
        </w:tc>
      </w:tr>
      <w:tr w:rsidR="00C56737" w:rsidRPr="00C56737" w14:paraId="3442B9F9"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52031B0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67</w:t>
            </w:r>
          </w:p>
        </w:tc>
        <w:tc>
          <w:tcPr>
            <w:tcW w:w="2619" w:type="dxa"/>
            <w:tcBorders>
              <w:top w:val="nil"/>
              <w:left w:val="nil"/>
              <w:bottom w:val="single" w:sz="4" w:space="0" w:color="auto"/>
              <w:right w:val="single" w:sz="4" w:space="0" w:color="auto"/>
            </w:tcBorders>
            <w:shd w:val="clear" w:color="auto" w:fill="FFFFFF"/>
            <w:vAlign w:val="center"/>
            <w:hideMark/>
          </w:tcPr>
          <w:p w14:paraId="5C3033C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Remedial actions to address resource management deviations</w:t>
            </w:r>
          </w:p>
        </w:tc>
        <w:tc>
          <w:tcPr>
            <w:tcW w:w="6677" w:type="dxa"/>
            <w:tcBorders>
              <w:top w:val="nil"/>
              <w:left w:val="nil"/>
              <w:bottom w:val="single" w:sz="4" w:space="0" w:color="auto"/>
              <w:right w:val="single" w:sz="4" w:space="0" w:color="auto"/>
            </w:tcBorders>
            <w:shd w:val="clear" w:color="auto" w:fill="auto"/>
            <w:noWrap/>
            <w:vAlign w:val="center"/>
            <w:hideMark/>
          </w:tcPr>
          <w:p w14:paraId="403E620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[EDM04.03.03] Monitor resource performance against targets, analyze the cause of deviations, and initiate remedial action to address the underlying causes</w:t>
            </w:r>
          </w:p>
        </w:tc>
      </w:tr>
      <w:tr w:rsidR="00C56737" w:rsidRPr="00C56737" w14:paraId="51A6B37A"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EE557B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68</w:t>
            </w:r>
          </w:p>
        </w:tc>
        <w:tc>
          <w:tcPr>
            <w:tcW w:w="2619" w:type="dxa"/>
            <w:tcBorders>
              <w:top w:val="nil"/>
              <w:left w:val="nil"/>
              <w:bottom w:val="single" w:sz="4" w:space="0" w:color="auto"/>
              <w:right w:val="single" w:sz="4" w:space="0" w:color="auto"/>
            </w:tcBorders>
            <w:shd w:val="clear" w:color="auto" w:fill="FFFFFF"/>
            <w:vAlign w:val="center"/>
            <w:hideMark/>
          </w:tcPr>
          <w:p w14:paraId="3F6365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Feedback on allocation and effectiveness of resources and capabilities</w:t>
            </w:r>
          </w:p>
        </w:tc>
        <w:tc>
          <w:tcPr>
            <w:tcW w:w="6677" w:type="dxa"/>
            <w:tcBorders>
              <w:top w:val="nil"/>
              <w:left w:val="nil"/>
              <w:bottom w:val="single" w:sz="4" w:space="0" w:color="auto"/>
              <w:right w:val="single" w:sz="4" w:space="0" w:color="auto"/>
            </w:tcBorders>
            <w:shd w:val="clear" w:color="auto" w:fill="auto"/>
            <w:noWrap/>
            <w:vAlign w:val="center"/>
            <w:hideMark/>
          </w:tcPr>
          <w:p w14:paraId="6333B4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[EDM04.03.02] Monitor I&amp;T-related sourcing strategies, enterprise architecture strategies, and business- and IT-related capabilities and resources to ensure that current and future needs and objectives of the enterprise can be met.</w:t>
            </w:r>
          </w:p>
        </w:tc>
      </w:tr>
      <w:tr w:rsidR="00C56737" w:rsidRPr="00C56737" w14:paraId="08609352"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0340215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69</w:t>
            </w:r>
          </w:p>
        </w:tc>
        <w:tc>
          <w:tcPr>
            <w:tcW w:w="2619" w:type="dxa"/>
            <w:tcBorders>
              <w:top w:val="nil"/>
              <w:left w:val="nil"/>
              <w:bottom w:val="single" w:sz="4" w:space="0" w:color="auto"/>
              <w:right w:val="single" w:sz="4" w:space="0" w:color="auto"/>
            </w:tcBorders>
            <w:shd w:val="clear" w:color="auto" w:fill="FFFFFF"/>
            <w:vAlign w:val="center"/>
            <w:hideMark/>
          </w:tcPr>
          <w:p w14:paraId="4E4CE90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Actions to improve value delivery</w:t>
            </w:r>
          </w:p>
        </w:tc>
        <w:tc>
          <w:tcPr>
            <w:tcW w:w="6677" w:type="dxa"/>
            <w:tcBorders>
              <w:top w:val="nil"/>
              <w:left w:val="nil"/>
              <w:bottom w:val="single" w:sz="4" w:space="0" w:color="auto"/>
              <w:right w:val="single" w:sz="4" w:space="0" w:color="auto"/>
            </w:tcBorders>
            <w:shd w:val="clear" w:color="auto" w:fill="auto"/>
            <w:noWrap/>
            <w:vAlign w:val="center"/>
            <w:hideMark/>
          </w:tcPr>
          <w:p w14:paraId="77941E6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EDM02.04.04 &amp; EDM02.04.05]  Upon review of reports, ensure that appropriate management corrective action is initiated and controlled. Upon review of reports, take appropriate management action as required to ensure that value is optimized</w:t>
            </w:r>
          </w:p>
        </w:tc>
      </w:tr>
      <w:tr w:rsidR="00C56737" w:rsidRPr="00C56737" w14:paraId="083D4AFF"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C00622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70</w:t>
            </w:r>
          </w:p>
        </w:tc>
        <w:tc>
          <w:tcPr>
            <w:tcW w:w="2619" w:type="dxa"/>
            <w:tcBorders>
              <w:top w:val="nil"/>
              <w:left w:val="nil"/>
              <w:bottom w:val="single" w:sz="4" w:space="0" w:color="auto"/>
              <w:right w:val="single" w:sz="4" w:space="0" w:color="auto"/>
            </w:tcBorders>
            <w:shd w:val="clear" w:color="auto" w:fill="FFFFFF"/>
            <w:vAlign w:val="center"/>
            <w:hideMark/>
          </w:tcPr>
          <w:p w14:paraId="35C2D9F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Feedback on allocation and effectiveness of resources and capabilities</w:t>
            </w:r>
          </w:p>
        </w:tc>
        <w:tc>
          <w:tcPr>
            <w:tcW w:w="6677" w:type="dxa"/>
            <w:tcBorders>
              <w:top w:val="nil"/>
              <w:left w:val="nil"/>
              <w:bottom w:val="single" w:sz="4" w:space="0" w:color="auto"/>
              <w:right w:val="single" w:sz="4" w:space="0" w:color="auto"/>
            </w:tcBorders>
            <w:shd w:val="clear" w:color="auto" w:fill="auto"/>
            <w:noWrap/>
            <w:vAlign w:val="center"/>
            <w:hideMark/>
          </w:tcPr>
          <w:p w14:paraId="0F31E57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EDM04.03] Monitor the key goals and metrics of the resource management processes. Determine how deviations or problems will be identified, tracked and reported for remediation</w:t>
            </w:r>
          </w:p>
        </w:tc>
      </w:tr>
      <w:tr w:rsidR="00C56737" w:rsidRPr="00C56737" w14:paraId="05FEFF07"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272CBA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71</w:t>
            </w:r>
          </w:p>
        </w:tc>
        <w:tc>
          <w:tcPr>
            <w:tcW w:w="2619" w:type="dxa"/>
            <w:tcBorders>
              <w:top w:val="nil"/>
              <w:left w:val="nil"/>
              <w:bottom w:val="single" w:sz="4" w:space="0" w:color="auto"/>
              <w:right w:val="single" w:sz="4" w:space="0" w:color="auto"/>
            </w:tcBorders>
            <w:shd w:val="clear" w:color="auto" w:fill="FFFFFF"/>
            <w:vAlign w:val="center"/>
            <w:hideMark/>
          </w:tcPr>
          <w:p w14:paraId="78FC06F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Assurance review results</w:t>
            </w:r>
          </w:p>
        </w:tc>
        <w:tc>
          <w:tcPr>
            <w:tcW w:w="6677" w:type="dxa"/>
            <w:tcBorders>
              <w:top w:val="nil"/>
              <w:left w:val="nil"/>
              <w:bottom w:val="single" w:sz="4" w:space="0" w:color="auto"/>
              <w:right w:val="single" w:sz="4" w:space="0" w:color="auto"/>
            </w:tcBorders>
            <w:shd w:val="clear" w:color="auto" w:fill="auto"/>
            <w:noWrap/>
            <w:vAlign w:val="center"/>
            <w:hideMark/>
          </w:tcPr>
          <w:p w14:paraId="77A4BD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MEA04.08.03] Provide management with a report (aligned with the terms of reference, scope and agreed reporting standards) that supports the results of the initiative and enables a clear focus on key issues and important actions</w:t>
            </w:r>
          </w:p>
        </w:tc>
      </w:tr>
      <w:tr w:rsidR="00C56737" w:rsidRPr="00C56737" w14:paraId="6566F8D1"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228A711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72</w:t>
            </w:r>
          </w:p>
        </w:tc>
        <w:tc>
          <w:tcPr>
            <w:tcW w:w="2619" w:type="dxa"/>
            <w:tcBorders>
              <w:top w:val="nil"/>
              <w:left w:val="nil"/>
              <w:bottom w:val="single" w:sz="4" w:space="0" w:color="auto"/>
              <w:right w:val="single" w:sz="4" w:space="0" w:color="auto"/>
            </w:tcBorders>
            <w:shd w:val="clear" w:color="auto" w:fill="FFFFFF"/>
            <w:vAlign w:val="center"/>
            <w:hideMark/>
          </w:tcPr>
          <w:p w14:paraId="3421F02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Assurance review report</w:t>
            </w:r>
          </w:p>
        </w:tc>
        <w:tc>
          <w:tcPr>
            <w:tcW w:w="6677" w:type="dxa"/>
            <w:tcBorders>
              <w:top w:val="nil"/>
              <w:left w:val="nil"/>
              <w:bottom w:val="single" w:sz="4" w:space="0" w:color="auto"/>
              <w:right w:val="single" w:sz="4" w:space="0" w:color="auto"/>
            </w:tcBorders>
            <w:shd w:val="clear" w:color="auto" w:fill="auto"/>
            <w:noWrap/>
            <w:vAlign w:val="center"/>
            <w:hideMark/>
          </w:tcPr>
          <w:p w14:paraId="1507C03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[From MEA04.08.03] Provide management with a report (aligned with the terms of reference, scope and agreed reporting standards) that supports the results of the initiative and enables a clear focus on key issues and important actions</w:t>
            </w:r>
          </w:p>
        </w:tc>
      </w:tr>
      <w:tr w:rsidR="00C56737" w:rsidRPr="00C56737" w14:paraId="52DBD55C"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3A64522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73</w:t>
            </w:r>
          </w:p>
        </w:tc>
        <w:tc>
          <w:tcPr>
            <w:tcW w:w="2619" w:type="dxa"/>
            <w:tcBorders>
              <w:top w:val="nil"/>
              <w:left w:val="nil"/>
              <w:bottom w:val="single" w:sz="4" w:space="0" w:color="auto"/>
              <w:right w:val="single" w:sz="4" w:space="0" w:color="auto"/>
            </w:tcBorders>
            <w:shd w:val="clear" w:color="auto" w:fill="FFFFFF"/>
            <w:vAlign w:val="center"/>
            <w:hideMark/>
          </w:tcPr>
          <w:p w14:paraId="35B06F0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Reporting and communications principles</w:t>
            </w:r>
          </w:p>
        </w:tc>
        <w:tc>
          <w:tcPr>
            <w:tcW w:w="6677" w:type="dxa"/>
            <w:tcBorders>
              <w:top w:val="nil"/>
              <w:left w:val="nil"/>
              <w:bottom w:val="single" w:sz="4" w:space="0" w:color="auto"/>
              <w:right w:val="single" w:sz="4" w:space="0" w:color="auto"/>
            </w:tcBorders>
            <w:shd w:val="clear" w:color="auto" w:fill="auto"/>
            <w:noWrap/>
            <w:vAlign w:val="center"/>
            <w:hideMark/>
          </w:tcPr>
          <w:p w14:paraId="4CA0E0C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[EDM05.01.04] Maintain principles for communication with external and internal stakeholders, including communication formats and channels, and for stakeholder acceptance and sign-off of reporting </w:t>
            </w:r>
          </w:p>
        </w:tc>
      </w:tr>
      <w:tr w:rsidR="00C56737" w:rsidRPr="00C56737" w14:paraId="26D4E9B9"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5695048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74</w:t>
            </w:r>
          </w:p>
        </w:tc>
        <w:tc>
          <w:tcPr>
            <w:tcW w:w="2619" w:type="dxa"/>
            <w:tcBorders>
              <w:top w:val="nil"/>
              <w:left w:val="nil"/>
              <w:bottom w:val="single" w:sz="4" w:space="0" w:color="auto"/>
              <w:right w:val="single" w:sz="4" w:space="0" w:color="auto"/>
            </w:tcBorders>
            <w:shd w:val="clear" w:color="auto" w:fill="FFFFFF"/>
            <w:vAlign w:val="center"/>
            <w:hideMark/>
          </w:tcPr>
          <w:p w14:paraId="2DDCCF7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Evaluation of enterprise reporting requirements</w:t>
            </w:r>
          </w:p>
        </w:tc>
        <w:tc>
          <w:tcPr>
            <w:tcW w:w="6677" w:type="dxa"/>
            <w:tcBorders>
              <w:top w:val="nil"/>
              <w:left w:val="nil"/>
              <w:bottom w:val="single" w:sz="4" w:space="0" w:color="auto"/>
              <w:right w:val="single" w:sz="4" w:space="0" w:color="auto"/>
            </w:tcBorders>
            <w:shd w:val="clear" w:color="auto" w:fill="auto"/>
            <w:noWrap/>
            <w:vAlign w:val="center"/>
            <w:hideMark/>
          </w:tcPr>
          <w:p w14:paraId="0B11040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[EDM05.01.02 &amp; EDM05.01.03] Examine and make judgment on the current and future mandatory reporting requirements relating to the use of I&amp;T within the enterprise (regulation, legislation, common law, contractual), including extent and frequency. Examine and make judgment on the current and future communication and reporting requirements for other stakeholders relating to the use of I&amp;T within the enterprise, including required level of involvement/consultation and extent of communication/level of detail and conditions</w:t>
            </w:r>
          </w:p>
        </w:tc>
      </w:tr>
      <w:tr w:rsidR="00C56737" w:rsidRPr="00C56737" w14:paraId="7938E7AB"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51171BD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75</w:t>
            </w:r>
          </w:p>
        </w:tc>
        <w:tc>
          <w:tcPr>
            <w:tcW w:w="2619" w:type="dxa"/>
            <w:tcBorders>
              <w:top w:val="nil"/>
              <w:left w:val="nil"/>
              <w:bottom w:val="single" w:sz="4" w:space="0" w:color="auto"/>
              <w:right w:val="single" w:sz="4" w:space="0" w:color="auto"/>
            </w:tcBorders>
            <w:shd w:val="clear" w:color="auto" w:fill="FFFFFF"/>
            <w:vAlign w:val="center"/>
            <w:hideMark/>
          </w:tcPr>
          <w:p w14:paraId="7E9526A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Rules for validating and approving mandatory reports</w:t>
            </w:r>
          </w:p>
        </w:tc>
        <w:tc>
          <w:tcPr>
            <w:tcW w:w="6677" w:type="dxa"/>
            <w:tcBorders>
              <w:top w:val="nil"/>
              <w:left w:val="nil"/>
              <w:bottom w:val="single" w:sz="4" w:space="0" w:color="auto"/>
              <w:right w:val="single" w:sz="4" w:space="0" w:color="auto"/>
            </w:tcBorders>
            <w:shd w:val="clear" w:color="auto" w:fill="auto"/>
            <w:noWrap/>
            <w:vAlign w:val="center"/>
            <w:hideMark/>
          </w:tcPr>
          <w:p w14:paraId="3AF8E36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 xml:space="preserve">[EDM05.02.03] Establish mechanisms for validation and approval of mandatory reporting </w:t>
            </w:r>
          </w:p>
        </w:tc>
      </w:tr>
      <w:tr w:rsidR="00C56737" w:rsidRPr="00C56737" w14:paraId="64BE56AC"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171C71A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76</w:t>
            </w:r>
          </w:p>
        </w:tc>
        <w:tc>
          <w:tcPr>
            <w:tcW w:w="2619" w:type="dxa"/>
            <w:tcBorders>
              <w:top w:val="nil"/>
              <w:left w:val="nil"/>
              <w:bottom w:val="single" w:sz="4" w:space="0" w:color="auto"/>
              <w:right w:val="single" w:sz="4" w:space="0" w:color="auto"/>
            </w:tcBorders>
            <w:shd w:val="clear" w:color="auto" w:fill="FFFFFF"/>
            <w:vAlign w:val="center"/>
            <w:hideMark/>
          </w:tcPr>
          <w:p w14:paraId="393FCD2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Escalation guidelines</w:t>
            </w:r>
          </w:p>
        </w:tc>
        <w:tc>
          <w:tcPr>
            <w:tcW w:w="6677" w:type="dxa"/>
            <w:tcBorders>
              <w:top w:val="nil"/>
              <w:left w:val="nil"/>
              <w:bottom w:val="single" w:sz="4" w:space="0" w:color="auto"/>
              <w:right w:val="single" w:sz="4" w:space="0" w:color="auto"/>
            </w:tcBorders>
            <w:shd w:val="clear" w:color="auto" w:fill="auto"/>
            <w:noWrap/>
            <w:vAlign w:val="center"/>
            <w:hideMark/>
          </w:tcPr>
          <w:p w14:paraId="5FAF578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[EDM05.02.04] Establish reporting escalation mechanisms</w:t>
            </w:r>
          </w:p>
        </w:tc>
      </w:tr>
      <w:tr w:rsidR="00C56737" w:rsidRPr="00C56737" w14:paraId="70C86788" w14:textId="77777777" w:rsidTr="00C56737">
        <w:trPr>
          <w:trHeight w:val="20"/>
        </w:trPr>
        <w:tc>
          <w:tcPr>
            <w:tcW w:w="480" w:type="dxa"/>
            <w:tcBorders>
              <w:top w:val="nil"/>
              <w:left w:val="single" w:sz="4" w:space="0" w:color="auto"/>
              <w:bottom w:val="single" w:sz="4" w:space="0" w:color="auto"/>
              <w:right w:val="single" w:sz="4" w:space="0" w:color="auto"/>
            </w:tcBorders>
            <w:shd w:val="clear" w:color="auto" w:fill="FFFFFF"/>
            <w:noWrap/>
            <w:vAlign w:val="center"/>
            <w:hideMark/>
          </w:tcPr>
          <w:p w14:paraId="750FE2E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77</w:t>
            </w:r>
          </w:p>
        </w:tc>
        <w:tc>
          <w:tcPr>
            <w:tcW w:w="2619" w:type="dxa"/>
            <w:tcBorders>
              <w:top w:val="nil"/>
              <w:left w:val="nil"/>
              <w:bottom w:val="single" w:sz="4" w:space="0" w:color="auto"/>
              <w:right w:val="single" w:sz="4" w:space="0" w:color="auto"/>
            </w:tcBorders>
            <w:shd w:val="clear" w:color="auto" w:fill="FFFFFF"/>
            <w:vAlign w:val="center"/>
            <w:hideMark/>
          </w:tcPr>
          <w:p w14:paraId="7D803FE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nl-BE"/>
                <w14:ligatures w14:val="none"/>
              </w:rPr>
            </w:pPr>
            <w:r w:rsidRPr="00C56737">
              <w:rPr>
                <w:rFonts w:ascii="Calibri" w:eastAsia="Calibri" w:hAnsi="Calibri" w:cs="Calibri"/>
                <w:color w:val="000000"/>
                <w:kern w:val="0"/>
                <w:sz w:val="20"/>
                <w:szCs w:val="20"/>
                <w:lang w:val="nl-BE"/>
                <w14:ligatures w14:val="none"/>
              </w:rPr>
              <w:t>Assessment of reporting effectiveness</w:t>
            </w:r>
          </w:p>
        </w:tc>
        <w:tc>
          <w:tcPr>
            <w:tcW w:w="6677" w:type="dxa"/>
            <w:tcBorders>
              <w:top w:val="nil"/>
              <w:left w:val="nil"/>
              <w:bottom w:val="single" w:sz="4" w:space="0" w:color="auto"/>
              <w:right w:val="single" w:sz="4" w:space="0" w:color="auto"/>
            </w:tcBorders>
            <w:shd w:val="clear" w:color="auto" w:fill="auto"/>
            <w:noWrap/>
            <w:vAlign w:val="center"/>
            <w:hideMark/>
          </w:tcPr>
          <w:p w14:paraId="3C219E7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20"/>
                <w:szCs w:val="20"/>
                <w:lang w:val="en-US"/>
                <w14:ligatures w14:val="none"/>
              </w:rPr>
            </w:pPr>
            <w:r w:rsidRPr="00C56737">
              <w:rPr>
                <w:rFonts w:ascii="Calibri" w:eastAsia="Calibri" w:hAnsi="Calibri" w:cs="Calibri"/>
                <w:color w:val="000000"/>
                <w:kern w:val="0"/>
                <w:sz w:val="20"/>
                <w:szCs w:val="20"/>
                <w:lang w:val="en-US"/>
                <w14:ligatures w14:val="none"/>
              </w:rPr>
              <w:t>[EDM05.03.01 &amp; EDM05.03.02] Periodically assess the effectiveness of the mechanisms for ensuring the accuracy and reliability of mandatory reporting. Periodically assess the effectiveness of the mechanisms for, and outcomes from, involvement of and communication with external and internal stakeholders</w:t>
            </w:r>
          </w:p>
        </w:tc>
      </w:tr>
    </w:tbl>
    <w:p w14:paraId="5338D0BB" w14:textId="6AEC1B86" w:rsidR="00C56737" w:rsidRPr="00C56737" w:rsidRDefault="00C56737" w:rsidP="00C56737">
      <w:pPr>
        <w:spacing w:before="240" w:after="0" w:line="360" w:lineRule="auto"/>
        <w:jc w:val="center"/>
        <w:rPr>
          <w:rFonts w:ascii="Times New Roman" w:eastAsia="Times New Roman" w:hAnsi="Times New Roman" w:cs="Times New Roman"/>
          <w:kern w:val="0"/>
          <w:lang w:val="en-US" w:eastAsia="en-GB"/>
          <w14:ligatures w14:val="none"/>
        </w:rPr>
      </w:pPr>
      <w:bookmarkStart w:id="13" w:name="_Ref99006984"/>
      <w:bookmarkStart w:id="14" w:name="_Toc118800911"/>
      <w:bookmarkStart w:id="15" w:name="_Toc156489306"/>
      <w:r w:rsidRPr="00C56737">
        <w:rPr>
          <w:rFonts w:ascii="Times New Roman" w:eastAsia="Times New Roman" w:hAnsi="Times New Roman" w:cs="Times New Roman"/>
          <w:kern w:val="0"/>
          <w:lang w:val="en-US" w:eastAsia="en-GB"/>
          <w14:ligatures w14:val="none"/>
        </w:rPr>
        <w:t xml:space="preserve">Table </w:t>
      </w:r>
      <w:r w:rsidRPr="00C56737">
        <w:rPr>
          <w:rFonts w:ascii="Times New Roman" w:eastAsia="Times New Roman" w:hAnsi="Times New Roman" w:cs="Times New Roman"/>
          <w:kern w:val="0"/>
          <w:lang w:val="en-US" w:eastAsia="en-GB"/>
          <w14:ligatures w14:val="none"/>
        </w:rPr>
        <w:fldChar w:fldCharType="begin"/>
      </w:r>
      <w:r w:rsidRPr="00C56737">
        <w:rPr>
          <w:rFonts w:ascii="Times New Roman" w:eastAsia="Times New Roman" w:hAnsi="Times New Roman" w:cs="Times New Roman"/>
          <w:kern w:val="0"/>
          <w:lang w:val="en-US" w:eastAsia="en-GB"/>
          <w14:ligatures w14:val="none"/>
        </w:rPr>
        <w:instrText xml:space="preserve"> SEQ Table \* ARABIC </w:instrText>
      </w:r>
      <w:r w:rsidRPr="00C56737">
        <w:rPr>
          <w:rFonts w:ascii="Times New Roman" w:eastAsia="Times New Roman" w:hAnsi="Times New Roman" w:cs="Times New Roman"/>
          <w:kern w:val="0"/>
          <w:lang w:val="en-US" w:eastAsia="en-GB"/>
          <w14:ligatures w14:val="none"/>
        </w:rPr>
        <w:fldChar w:fldCharType="separate"/>
      </w:r>
      <w:r w:rsidR="006A5B01">
        <w:rPr>
          <w:rFonts w:ascii="Times New Roman" w:eastAsia="Times New Roman" w:hAnsi="Times New Roman" w:cs="Times New Roman"/>
          <w:noProof/>
          <w:kern w:val="0"/>
          <w:lang w:val="en-US" w:eastAsia="en-GB"/>
          <w14:ligatures w14:val="none"/>
        </w:rPr>
        <w:t>1</w:t>
      </w:r>
      <w:r w:rsidRPr="00C56737">
        <w:rPr>
          <w:rFonts w:ascii="Times New Roman" w:eastAsia="Times New Roman" w:hAnsi="Times New Roman" w:cs="Times New Roman"/>
          <w:kern w:val="0"/>
          <w:lang w:val="en-US" w:eastAsia="en-GB"/>
          <w14:ligatures w14:val="none"/>
        </w:rPr>
        <w:fldChar w:fldCharType="end"/>
      </w:r>
      <w:r w:rsidRPr="00C56737">
        <w:rPr>
          <w:rFonts w:ascii="Times New Roman" w:eastAsia="Times New Roman" w:hAnsi="Times New Roman" w:cs="Times New Roman"/>
          <w:kern w:val="0"/>
          <w:lang w:val="en-US" w:eastAsia="en-GB"/>
          <w14:ligatures w14:val="none"/>
        </w:rPr>
        <w:t xml:space="preserve"> - List of IT Governance related Information Items according to COBIT 2019</w:t>
      </w:r>
      <w:bookmarkEnd w:id="13"/>
      <w:bookmarkEnd w:id="14"/>
      <w:bookmarkEnd w:id="15"/>
    </w:p>
    <w:p w14:paraId="45AC6761"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0206DF17" w14:textId="77777777"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r w:rsidRPr="00C56737">
        <w:rPr>
          <w:rFonts w:ascii="Times New Roman" w:eastAsia="Times New Roman" w:hAnsi="Times New Roman" w:cs="Arial"/>
          <w:b/>
          <w:bCs/>
          <w:caps/>
          <w:kern w:val="32"/>
          <w:szCs w:val="32"/>
          <w:lang w:val="en-GB" w:eastAsia="en-GB"/>
          <w14:ligatures w14:val="none"/>
        </w:rPr>
        <w:br w:type="page"/>
      </w:r>
    </w:p>
    <w:p w14:paraId="6E287E9F" w14:textId="08F498FB"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bookmarkStart w:id="16" w:name="_Toc181650863"/>
      <w:r w:rsidRPr="00C56737">
        <w:rPr>
          <w:rFonts w:ascii="Times New Roman" w:eastAsia="Times New Roman" w:hAnsi="Times New Roman" w:cs="Arial"/>
          <w:b/>
          <w:bCs/>
          <w:caps/>
          <w:kern w:val="32"/>
          <w:szCs w:val="32"/>
          <w:lang w:val="en-GB" w:eastAsia="en-GB"/>
          <w14:ligatures w14:val="none"/>
        </w:rPr>
        <w:lastRenderedPageBreak/>
        <w:t xml:space="preserve">Appendix </w:t>
      </w:r>
      <w:r w:rsidR="00B8510C">
        <w:rPr>
          <w:rFonts w:ascii="Times New Roman" w:eastAsia="Times New Roman" w:hAnsi="Times New Roman" w:cs="Arial"/>
          <w:b/>
          <w:bCs/>
          <w:caps/>
          <w:kern w:val="32"/>
          <w:szCs w:val="32"/>
          <w:lang w:val="en-GB" w:eastAsia="en-GB"/>
          <w14:ligatures w14:val="none"/>
        </w:rPr>
        <w:t>2</w:t>
      </w:r>
      <w:r w:rsidRPr="00C56737">
        <w:rPr>
          <w:rFonts w:ascii="Times New Roman" w:eastAsia="Times New Roman" w:hAnsi="Times New Roman" w:cs="Arial"/>
          <w:b/>
          <w:bCs/>
          <w:caps/>
          <w:kern w:val="32"/>
          <w:szCs w:val="32"/>
          <w:lang w:val="en-GB" w:eastAsia="en-GB"/>
          <w14:ligatures w14:val="none"/>
        </w:rPr>
        <w:t xml:space="preserve"> – Structured / Unstructured Information</w:t>
      </w:r>
      <w:bookmarkEnd w:id="16"/>
    </w:p>
    <w:p w14:paraId="228E94F2" w14:textId="77777777" w:rsidR="00C56737" w:rsidRPr="00C56737" w:rsidRDefault="00C56737" w:rsidP="00C56737">
      <w:pPr>
        <w:spacing w:after="0" w:line="480" w:lineRule="auto"/>
        <w:rPr>
          <w:rFonts w:ascii="Helvetica Neue" w:eastAsia="Times New Roman" w:hAnsi="Helvetica Neue" w:cs="Helvetica Neue"/>
          <w:color w:val="000000"/>
          <w:kern w:val="0"/>
          <w:sz w:val="26"/>
          <w:szCs w:val="26"/>
          <w:lang w:val="en-GB" w:eastAsia="en-GB"/>
          <w14:ligatures w14:val="none"/>
        </w:rPr>
      </w:pPr>
      <w:r w:rsidRPr="00C56737">
        <w:rPr>
          <w:rFonts w:ascii="Times New Roman" w:eastAsia="Times New Roman" w:hAnsi="Times New Roman" w:cs="Times New Roman"/>
          <w:kern w:val="0"/>
          <w:lang w:val="en-GB" w:eastAsia="en-GB"/>
          <w14:ligatures w14:val="none"/>
        </w:rPr>
        <w:t xml:space="preserve">The following definitions have been found for ‘structured’ information: </w:t>
      </w:r>
      <w:r w:rsidRPr="00C56737">
        <w:rPr>
          <w:rFonts w:ascii="Helvetica Neue" w:eastAsia="Times New Roman" w:hAnsi="Helvetica Neue" w:cs="Helvetica Neue"/>
          <w:color w:val="000000"/>
          <w:kern w:val="0"/>
          <w:sz w:val="26"/>
          <w:szCs w:val="26"/>
          <w:lang w:val="en-GB" w:eastAsia="en-GB"/>
          <w14:ligatures w14:val="none"/>
        </w:rPr>
        <w:t xml:space="preserve"> </w:t>
      </w:r>
    </w:p>
    <w:p w14:paraId="52F4D311" w14:textId="77777777" w:rsidR="00C56737" w:rsidRPr="00C56737" w:rsidRDefault="00C56737" w:rsidP="00C56737">
      <w:pPr>
        <w:spacing w:after="0" w:line="480" w:lineRule="auto"/>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“The term structured information describes the data contained in fields. It is called structured because its nature and function are identified by metadata tags.” (</w:t>
      </w:r>
      <w:hyperlink r:id="rId8" w:anchor=":~:text=The%20term%20structured%20information%20describes%20the%20data%20contained,%28ex.%3A%20list%20items%20and%20area%20listings%29%20is%20structured." w:history="1">
        <w:r w:rsidRPr="00C56737">
          <w:rPr>
            <w:rFonts w:ascii="Times New Roman" w:eastAsia="Times New Roman" w:hAnsi="Times New Roman" w:cs="Times New Roman"/>
            <w:color w:val="0000FF"/>
            <w:kern w:val="0"/>
            <w:u w:val="single"/>
            <w:lang w:val="en-GB" w:eastAsia="en-GB"/>
            <w14:ligatures w14:val="none"/>
          </w:rPr>
          <w:t>What Is the Difference between Structured and Unstructured Information? - Coveo Platform 7 - Online Help</w:t>
        </w:r>
      </w:hyperlink>
      <w:r w:rsidRPr="00C56737">
        <w:rPr>
          <w:rFonts w:ascii="Times New Roman" w:eastAsia="Times New Roman" w:hAnsi="Times New Roman" w:cs="Times New Roman"/>
          <w:kern w:val="0"/>
          <w:lang w:val="en-GB" w:eastAsia="en-GB"/>
          <w14:ligatures w14:val="none"/>
        </w:rPr>
        <w:t>-)</w:t>
      </w:r>
    </w:p>
    <w:p w14:paraId="15521423"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“Structured data is the data which conforms to a data model, has a well define structure, follows a consistent order and can be easily accessed and used by a person or a computer program. Structured data is usually stored in well-defined schemas such as Databases. It is generally tabular with column and rows that clearly define its attributes.  SQL (Structured Query language) is often used to manage structured data stored in databases.” (</w:t>
      </w:r>
      <w:hyperlink r:id="rId9" w:history="1">
        <w:r w:rsidRPr="00C56737">
          <w:rPr>
            <w:rFonts w:ascii="Times New Roman" w:eastAsia="Times New Roman" w:hAnsi="Times New Roman" w:cs="Times New Roman"/>
            <w:color w:val="0000FF"/>
            <w:kern w:val="0"/>
            <w:u w:val="single"/>
            <w:lang w:val="en-GB" w:eastAsia="en-GB"/>
            <w14:ligatures w14:val="none"/>
          </w:rPr>
          <w:t>What is Structured Data? - GeeksforGeeks</w:t>
        </w:r>
      </w:hyperlink>
      <w:r w:rsidRPr="00C56737">
        <w:rPr>
          <w:rFonts w:ascii="Times New Roman" w:eastAsia="Times New Roman" w:hAnsi="Times New Roman" w:cs="Times New Roman"/>
          <w:kern w:val="0"/>
          <w:lang w:val="en-GB" w:eastAsia="en-GB"/>
          <w14:ligatures w14:val="none"/>
        </w:rPr>
        <w:t>)</w:t>
      </w:r>
    </w:p>
    <w:p w14:paraId="08DB37D8"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“Structured data is data that has been organized into a formatted repository, typically a database, so that its elements can be made addressable for more effective processing and analysis.</w:t>
      </w:r>
    </w:p>
    <w:p w14:paraId="5CFA04A0"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A data structure is a kind of repository that organizes information for that purpose. In a database, for example, each field is discrete and its information can be retrieved either separately or along with data from other fields, in a variety of combinations. The power of the database is its ability to make data comprehensive, so that it yields useful information. A database query language, such as SQL (standard query language), allows a database administrator to interact with the database.</w:t>
      </w:r>
    </w:p>
    <w:p w14:paraId="7E905FF0"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Structured data contrasts with unstructured and semi-structured data. The three can be considered to exist on a continuum, with unstructured data being the least formatted and structured data being the most formatted. Data is increasingly amenable to processing as it is increasingly structured.” (</w:t>
      </w:r>
      <w:hyperlink r:id="rId10" w:history="1">
        <w:r w:rsidRPr="00C56737">
          <w:rPr>
            <w:rFonts w:ascii="Times New Roman" w:eastAsia="Times New Roman" w:hAnsi="Times New Roman" w:cs="Times New Roman"/>
            <w:color w:val="0000FF"/>
            <w:kern w:val="0"/>
            <w:u w:val="single"/>
            <w:lang w:val="en-GB" w:eastAsia="en-GB"/>
            <w14:ligatures w14:val="none"/>
          </w:rPr>
          <w:t>What is structured data? - Definition from WhatIs.com (techtarget.com)</w:t>
        </w:r>
      </w:hyperlink>
      <w:r w:rsidRPr="00C56737">
        <w:rPr>
          <w:rFonts w:ascii="Times New Roman" w:eastAsia="Times New Roman" w:hAnsi="Times New Roman" w:cs="Times New Roman"/>
          <w:kern w:val="0"/>
          <w:lang w:val="en-GB" w:eastAsia="en-GB"/>
          <w14:ligatures w14:val="none"/>
        </w:rPr>
        <w:t>)</w:t>
      </w:r>
    </w:p>
    <w:p w14:paraId="03BD7706"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“The difference between structured data, unstructured data and semi-structured data:</w:t>
      </w:r>
    </w:p>
    <w:p w14:paraId="168BC5F9"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Unstructured data has not been organized into a format that makes it easier to access and process. In reality, very little data is completely unstructured. Even things that are often considered unstructured data, such as documents and images, are structured to some extent. Structured data is basically the opposite of unstructured: It has been reformatted and its elements organized into a data structure so that elements can be addressed, organized and accessed in various combinations to make better use of the information. Semi-structured data lies somewhere between the two. It is not organized in a complex manner that makes sophisticated access and analysis possible; however, it may have information associated with it, such as metadata tagging, that allows elements contained to be addressed.</w:t>
      </w:r>
    </w:p>
    <w:p w14:paraId="0B369C0E"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Here is an example: A Word document is generally considered to be unstructured data. However, you can add metadata tags in the form of keywords and other metadata that represent the document content and make it easier for that document to be found when people search for those terms -- the data is now semi-structured. Nevertheless, the document still lacks the complex organization of the database, so falls short of being fully structured data.</w:t>
      </w:r>
    </w:p>
    <w:p w14:paraId="490D7A36"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In reality, there is considerable overlap between the boundaries of the three categories, which are sometimes described collectively as the data continuum.” (</w:t>
      </w:r>
      <w:hyperlink r:id="rId11" w:history="1">
        <w:r w:rsidRPr="00C56737">
          <w:rPr>
            <w:rFonts w:ascii="Times New Roman" w:eastAsia="Times New Roman" w:hAnsi="Times New Roman" w:cs="Times New Roman"/>
            <w:color w:val="0000FF"/>
            <w:kern w:val="0"/>
            <w:u w:val="single"/>
            <w:lang w:val="en-GB" w:eastAsia="en-GB"/>
            <w14:ligatures w14:val="none"/>
          </w:rPr>
          <w:t>What is semi-structured data? - Definition from WhatIs.com (techtarget.com)</w:t>
        </w:r>
      </w:hyperlink>
      <w:r w:rsidRPr="00C56737">
        <w:rPr>
          <w:rFonts w:ascii="Times New Roman" w:eastAsia="Times New Roman" w:hAnsi="Times New Roman" w:cs="Times New Roman"/>
          <w:kern w:val="0"/>
          <w:lang w:val="en-GB" w:eastAsia="en-GB"/>
          <w14:ligatures w14:val="none"/>
        </w:rPr>
        <w:t>)</w:t>
      </w:r>
    </w:p>
    <w:p w14:paraId="25163B24"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60E79F87"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30DFFAE0" w14:textId="77777777"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sectPr w:rsidR="00C56737" w:rsidRPr="00C56737" w:rsidSect="00C56737">
          <w:headerReference w:type="default" r:id="rId12"/>
          <w:footerReference w:type="default" r:id="rId13"/>
          <w:pgSz w:w="11906" w:h="16838" w:code="9"/>
          <w:pgMar w:top="1440" w:right="1440" w:bottom="1440" w:left="1440" w:header="720" w:footer="720" w:gutter="0"/>
          <w:cols w:space="720"/>
          <w:titlePg/>
          <w:docGrid w:linePitch="360"/>
        </w:sectPr>
      </w:pPr>
      <w:bookmarkStart w:id="17" w:name="_Toc154137772"/>
      <w:bookmarkStart w:id="18" w:name="_Toc155342752"/>
      <w:bookmarkStart w:id="19" w:name="_Toc155359249"/>
      <w:bookmarkStart w:id="20" w:name="_Toc155612359"/>
      <w:bookmarkStart w:id="21" w:name="_Toc155623164"/>
      <w:bookmarkStart w:id="22" w:name="_Toc155631653"/>
      <w:bookmarkStart w:id="23" w:name="_Toc155640211"/>
      <w:bookmarkStart w:id="24" w:name="_Toc155641920"/>
      <w:bookmarkEnd w:id="17"/>
      <w:bookmarkEnd w:id="18"/>
      <w:bookmarkEnd w:id="19"/>
      <w:bookmarkEnd w:id="20"/>
      <w:bookmarkEnd w:id="21"/>
      <w:bookmarkEnd w:id="22"/>
      <w:bookmarkEnd w:id="23"/>
      <w:bookmarkEnd w:id="24"/>
    </w:p>
    <w:p w14:paraId="1BA82E61" w14:textId="5D0975C9"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bookmarkStart w:id="25" w:name="_Toc155640212"/>
      <w:bookmarkStart w:id="26" w:name="_Toc155643132"/>
      <w:bookmarkStart w:id="27" w:name="_Toc156489276"/>
      <w:bookmarkStart w:id="28" w:name="_Toc163070894"/>
      <w:bookmarkStart w:id="29" w:name="_Toc181650864"/>
      <w:r w:rsidRPr="00C56737">
        <w:rPr>
          <w:rFonts w:ascii="Times New Roman" w:eastAsia="Times New Roman" w:hAnsi="Times New Roman" w:cs="Arial"/>
          <w:b/>
          <w:bCs/>
          <w:caps/>
          <w:kern w:val="32"/>
          <w:szCs w:val="32"/>
          <w:lang w:val="en-GB" w:eastAsia="en-GB"/>
          <w14:ligatures w14:val="none"/>
        </w:rPr>
        <w:t xml:space="preserve">Appendix </w:t>
      </w:r>
      <w:r w:rsidR="00D71A11">
        <w:rPr>
          <w:rFonts w:ascii="Times New Roman" w:eastAsia="Times New Roman" w:hAnsi="Times New Roman" w:cs="Arial"/>
          <w:b/>
          <w:bCs/>
          <w:caps/>
          <w:kern w:val="32"/>
          <w:szCs w:val="32"/>
          <w:lang w:val="en-GB" w:eastAsia="en-GB"/>
          <w14:ligatures w14:val="none"/>
        </w:rPr>
        <w:t>3</w:t>
      </w:r>
      <w:r w:rsidRPr="00C56737">
        <w:rPr>
          <w:rFonts w:ascii="Times New Roman" w:eastAsia="Times New Roman" w:hAnsi="Times New Roman" w:cs="Arial"/>
          <w:b/>
          <w:bCs/>
          <w:caps/>
          <w:kern w:val="32"/>
          <w:szCs w:val="32"/>
          <w:lang w:val="en-GB" w:eastAsia="en-GB"/>
          <w14:ligatures w14:val="none"/>
        </w:rPr>
        <w:t xml:space="preserve"> – Typology validation table</w:t>
      </w:r>
      <w:bookmarkEnd w:id="25"/>
      <w:bookmarkEnd w:id="26"/>
      <w:bookmarkEnd w:id="27"/>
      <w:bookmarkEnd w:id="28"/>
      <w:bookmarkEnd w:id="29"/>
    </w:p>
    <w:p w14:paraId="1E081243"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The table below shows the detailed results of the expert panel assessment of the typology for the information purpose dimension of IT Governance information items.</w:t>
      </w:r>
    </w:p>
    <w:tbl>
      <w:tblPr>
        <w:tblW w:w="1516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70" w:type="dxa"/>
          <w:right w:w="70" w:type="dxa"/>
        </w:tblCellMar>
        <w:tblLook w:val="04A0" w:firstRow="1" w:lastRow="0" w:firstColumn="1" w:lastColumn="0" w:noHBand="0" w:noVBand="1"/>
      </w:tblPr>
      <w:tblGrid>
        <w:gridCol w:w="480"/>
        <w:gridCol w:w="3910"/>
        <w:gridCol w:w="280"/>
        <w:gridCol w:w="995"/>
        <w:gridCol w:w="1101"/>
        <w:gridCol w:w="965"/>
        <w:gridCol w:w="971"/>
        <w:gridCol w:w="1007"/>
        <w:gridCol w:w="1127"/>
        <w:gridCol w:w="652"/>
        <w:gridCol w:w="767"/>
        <w:gridCol w:w="929"/>
        <w:gridCol w:w="472"/>
        <w:gridCol w:w="1003"/>
        <w:gridCol w:w="504"/>
      </w:tblGrid>
      <w:tr w:rsidR="00C56737" w:rsidRPr="00C56737" w14:paraId="40689064" w14:textId="77777777" w:rsidTr="00C56737">
        <w:trPr>
          <w:trHeight w:val="340"/>
          <w:tblHeader/>
        </w:trPr>
        <w:tc>
          <w:tcPr>
            <w:tcW w:w="480" w:type="dxa"/>
            <w:shd w:val="clear" w:color="auto" w:fill="auto"/>
            <w:noWrap/>
            <w:vAlign w:val="center"/>
            <w:hideMark/>
          </w:tcPr>
          <w:p w14:paraId="36B151B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p>
        </w:tc>
        <w:tc>
          <w:tcPr>
            <w:tcW w:w="3910" w:type="dxa"/>
            <w:shd w:val="clear" w:color="auto" w:fill="auto"/>
            <w:vAlign w:val="center"/>
            <w:hideMark/>
          </w:tcPr>
          <w:p w14:paraId="4B985D8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p>
        </w:tc>
        <w:tc>
          <w:tcPr>
            <w:tcW w:w="280" w:type="dxa"/>
            <w:shd w:val="clear" w:color="auto" w:fill="auto"/>
            <w:noWrap/>
            <w:vAlign w:val="bottom"/>
            <w:hideMark/>
          </w:tcPr>
          <w:p w14:paraId="2F48D68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p>
        </w:tc>
        <w:tc>
          <w:tcPr>
            <w:tcW w:w="5039" w:type="dxa"/>
            <w:gridSpan w:val="5"/>
            <w:shd w:val="clear" w:color="auto" w:fill="auto"/>
            <w:vAlign w:val="center"/>
            <w:hideMark/>
          </w:tcPr>
          <w:p w14:paraId="185B457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Assessors</w:t>
            </w:r>
          </w:p>
        </w:tc>
        <w:tc>
          <w:tcPr>
            <w:tcW w:w="3475" w:type="dxa"/>
            <w:gridSpan w:val="4"/>
            <w:shd w:val="clear" w:color="000000" w:fill="333F4F"/>
            <w:noWrap/>
            <w:vAlign w:val="center"/>
            <w:hideMark/>
          </w:tcPr>
          <w:p w14:paraId="0084140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Counts</w:t>
            </w:r>
          </w:p>
        </w:tc>
        <w:tc>
          <w:tcPr>
            <w:tcW w:w="472" w:type="dxa"/>
            <w:shd w:val="clear" w:color="000000" w:fill="333F4F"/>
            <w:noWrap/>
            <w:vAlign w:val="center"/>
            <w:hideMark/>
          </w:tcPr>
          <w:p w14:paraId="66016D2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 </w:t>
            </w:r>
          </w:p>
        </w:tc>
        <w:tc>
          <w:tcPr>
            <w:tcW w:w="1003" w:type="dxa"/>
            <w:shd w:val="clear" w:color="auto" w:fill="auto"/>
            <w:vAlign w:val="center"/>
            <w:hideMark/>
          </w:tcPr>
          <w:p w14:paraId="5FC4F00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Final</w:t>
            </w:r>
          </w:p>
        </w:tc>
        <w:tc>
          <w:tcPr>
            <w:tcW w:w="504" w:type="dxa"/>
            <w:shd w:val="clear" w:color="auto" w:fill="auto"/>
            <w:noWrap/>
            <w:vAlign w:val="bottom"/>
            <w:hideMark/>
          </w:tcPr>
          <w:p w14:paraId="2139C5D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p>
        </w:tc>
      </w:tr>
      <w:tr w:rsidR="00C56737" w:rsidRPr="00C56737" w14:paraId="7FB7744B" w14:textId="77777777" w:rsidTr="00C56737">
        <w:trPr>
          <w:trHeight w:val="340"/>
          <w:tblHeader/>
        </w:trPr>
        <w:tc>
          <w:tcPr>
            <w:tcW w:w="480" w:type="dxa"/>
            <w:shd w:val="clear" w:color="000000" w:fill="8496B0"/>
            <w:vAlign w:val="center"/>
            <w:hideMark/>
          </w:tcPr>
          <w:p w14:paraId="067835C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w:t>
            </w:r>
          </w:p>
        </w:tc>
        <w:tc>
          <w:tcPr>
            <w:tcW w:w="3910" w:type="dxa"/>
            <w:shd w:val="clear" w:color="000000" w:fill="8497B0"/>
            <w:vAlign w:val="center"/>
            <w:hideMark/>
          </w:tcPr>
          <w:p w14:paraId="4CB2F6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IT Governance Information Item</w:t>
            </w:r>
          </w:p>
        </w:tc>
        <w:tc>
          <w:tcPr>
            <w:tcW w:w="280" w:type="dxa"/>
            <w:shd w:val="clear" w:color="auto" w:fill="auto"/>
            <w:noWrap/>
            <w:vAlign w:val="center"/>
            <w:hideMark/>
          </w:tcPr>
          <w:p w14:paraId="08A34CE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 </w:t>
            </w:r>
          </w:p>
        </w:tc>
        <w:tc>
          <w:tcPr>
            <w:tcW w:w="995" w:type="dxa"/>
            <w:shd w:val="clear" w:color="auto" w:fill="auto"/>
            <w:vAlign w:val="center"/>
            <w:hideMark/>
          </w:tcPr>
          <w:p w14:paraId="7BC9BC9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Assessor 1</w:t>
            </w:r>
          </w:p>
        </w:tc>
        <w:tc>
          <w:tcPr>
            <w:tcW w:w="1101" w:type="dxa"/>
            <w:shd w:val="clear" w:color="auto" w:fill="auto"/>
            <w:vAlign w:val="center"/>
            <w:hideMark/>
          </w:tcPr>
          <w:p w14:paraId="0555C18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Assessor 2</w:t>
            </w:r>
          </w:p>
        </w:tc>
        <w:tc>
          <w:tcPr>
            <w:tcW w:w="965" w:type="dxa"/>
            <w:shd w:val="clear" w:color="auto" w:fill="auto"/>
            <w:vAlign w:val="center"/>
            <w:hideMark/>
          </w:tcPr>
          <w:p w14:paraId="45EF3B6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Assessor 3</w:t>
            </w:r>
          </w:p>
        </w:tc>
        <w:tc>
          <w:tcPr>
            <w:tcW w:w="971" w:type="dxa"/>
            <w:shd w:val="clear" w:color="auto" w:fill="auto"/>
            <w:vAlign w:val="center"/>
            <w:hideMark/>
          </w:tcPr>
          <w:p w14:paraId="05C7B27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Assessor 4</w:t>
            </w:r>
          </w:p>
        </w:tc>
        <w:tc>
          <w:tcPr>
            <w:tcW w:w="1007" w:type="dxa"/>
            <w:shd w:val="clear" w:color="auto" w:fill="auto"/>
            <w:vAlign w:val="center"/>
            <w:hideMark/>
          </w:tcPr>
          <w:p w14:paraId="59157D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Assessor 5</w:t>
            </w:r>
          </w:p>
        </w:tc>
        <w:tc>
          <w:tcPr>
            <w:tcW w:w="1127" w:type="dxa"/>
            <w:shd w:val="clear" w:color="000000" w:fill="8497B0"/>
            <w:vAlign w:val="center"/>
            <w:hideMark/>
          </w:tcPr>
          <w:p w14:paraId="2889139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Comm &amp; Ref</w:t>
            </w:r>
            <w:r w:rsidRPr="00C56737">
              <w:rPr>
                <w:rFonts w:ascii="Calibri" w:eastAsia="Times New Roman" w:hAnsi="Calibri" w:cs="Calibri"/>
                <w:b/>
                <w:bCs/>
                <w:color w:val="FFFFFF"/>
                <w:kern w:val="0"/>
                <w:sz w:val="15"/>
                <w:szCs w:val="15"/>
                <w:vertAlign w:val="superscript"/>
                <w:lang w:val="en-GB" w:eastAsia="nl-BE"/>
                <w14:ligatures w14:val="none"/>
              </w:rPr>
              <w:footnoteReference w:id="1"/>
            </w:r>
          </w:p>
        </w:tc>
        <w:tc>
          <w:tcPr>
            <w:tcW w:w="652" w:type="dxa"/>
            <w:shd w:val="clear" w:color="000000" w:fill="8497B0"/>
            <w:noWrap/>
            <w:vAlign w:val="center"/>
            <w:hideMark/>
          </w:tcPr>
          <w:p w14:paraId="2DC279E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Rules</w:t>
            </w:r>
          </w:p>
        </w:tc>
        <w:tc>
          <w:tcPr>
            <w:tcW w:w="767" w:type="dxa"/>
            <w:shd w:val="clear" w:color="000000" w:fill="8497B0"/>
            <w:noWrap/>
            <w:vAlign w:val="center"/>
            <w:hideMark/>
          </w:tcPr>
          <w:p w14:paraId="18CC57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Decisions</w:t>
            </w:r>
          </w:p>
        </w:tc>
        <w:tc>
          <w:tcPr>
            <w:tcW w:w="929" w:type="dxa"/>
            <w:shd w:val="clear" w:color="000000" w:fill="8497B0"/>
            <w:noWrap/>
            <w:vAlign w:val="center"/>
            <w:hideMark/>
          </w:tcPr>
          <w:p w14:paraId="724BAAB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Reporting</w:t>
            </w:r>
          </w:p>
        </w:tc>
        <w:tc>
          <w:tcPr>
            <w:tcW w:w="472" w:type="dxa"/>
            <w:shd w:val="clear" w:color="000000" w:fill="8497B0"/>
            <w:noWrap/>
            <w:vAlign w:val="center"/>
            <w:hideMark/>
          </w:tcPr>
          <w:p w14:paraId="5BE0EA6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p>
        </w:tc>
        <w:tc>
          <w:tcPr>
            <w:tcW w:w="1003" w:type="dxa"/>
            <w:vAlign w:val="center"/>
            <w:hideMark/>
          </w:tcPr>
          <w:p w14:paraId="5E8E170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p>
        </w:tc>
        <w:tc>
          <w:tcPr>
            <w:tcW w:w="504" w:type="dxa"/>
            <w:shd w:val="clear" w:color="auto" w:fill="auto"/>
            <w:noWrap/>
            <w:vAlign w:val="bottom"/>
            <w:hideMark/>
          </w:tcPr>
          <w:p w14:paraId="0C1794E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p>
        </w:tc>
      </w:tr>
      <w:tr w:rsidR="00C56737" w:rsidRPr="00C56737" w14:paraId="38EC9F90" w14:textId="77777777" w:rsidTr="00C56737">
        <w:trPr>
          <w:trHeight w:val="255"/>
        </w:trPr>
        <w:tc>
          <w:tcPr>
            <w:tcW w:w="480" w:type="dxa"/>
            <w:shd w:val="clear" w:color="000000" w:fill="A9D08E"/>
            <w:noWrap/>
            <w:vAlign w:val="center"/>
            <w:hideMark/>
          </w:tcPr>
          <w:p w14:paraId="3BF56B6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3910" w:type="dxa"/>
            <w:shd w:val="clear" w:color="000000" w:fill="A9D08E"/>
            <w:vAlign w:val="center"/>
            <w:hideMark/>
          </w:tcPr>
          <w:p w14:paraId="512699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Communications of changed compliance requirements</w:t>
            </w:r>
          </w:p>
        </w:tc>
        <w:tc>
          <w:tcPr>
            <w:tcW w:w="280" w:type="dxa"/>
            <w:shd w:val="clear" w:color="auto" w:fill="auto"/>
            <w:noWrap/>
            <w:vAlign w:val="center"/>
            <w:hideMark/>
          </w:tcPr>
          <w:p w14:paraId="50D1FAA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w:t>
            </w:r>
          </w:p>
        </w:tc>
        <w:tc>
          <w:tcPr>
            <w:tcW w:w="995" w:type="dxa"/>
            <w:shd w:val="clear" w:color="auto" w:fill="auto"/>
            <w:vAlign w:val="center"/>
            <w:hideMark/>
          </w:tcPr>
          <w:p w14:paraId="2288A5D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6F4E06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1F62630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1C7DD11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21CB5F7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121AE2C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652" w:type="dxa"/>
            <w:shd w:val="clear" w:color="000000" w:fill="D6DCE4"/>
            <w:noWrap/>
            <w:vAlign w:val="center"/>
            <w:hideMark/>
          </w:tcPr>
          <w:p w14:paraId="2C79BD4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555E813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258F04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7A9C2D7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5489CD0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458C78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07808350" w14:textId="77777777" w:rsidTr="00C56737">
        <w:trPr>
          <w:trHeight w:val="255"/>
        </w:trPr>
        <w:tc>
          <w:tcPr>
            <w:tcW w:w="480" w:type="dxa"/>
            <w:shd w:val="clear" w:color="000000" w:fill="FFFFFF"/>
            <w:noWrap/>
            <w:vAlign w:val="center"/>
            <w:hideMark/>
          </w:tcPr>
          <w:p w14:paraId="68B2190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3910" w:type="dxa"/>
            <w:shd w:val="clear" w:color="000000" w:fill="FFFFFF"/>
            <w:vAlign w:val="center"/>
            <w:hideMark/>
          </w:tcPr>
          <w:p w14:paraId="1376E07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Constitution/bylaws/statutes of organization</w:t>
            </w:r>
          </w:p>
        </w:tc>
        <w:tc>
          <w:tcPr>
            <w:tcW w:w="280" w:type="dxa"/>
            <w:shd w:val="clear" w:color="auto" w:fill="auto"/>
            <w:noWrap/>
            <w:vAlign w:val="center"/>
            <w:hideMark/>
          </w:tcPr>
          <w:p w14:paraId="528EBEB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4936C81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55A63BB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654DF23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7A52D3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5681BD5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4A4A8B3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28CB0B6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767" w:type="dxa"/>
            <w:shd w:val="clear" w:color="000000" w:fill="D6DCE4"/>
            <w:noWrap/>
            <w:vAlign w:val="center"/>
            <w:hideMark/>
          </w:tcPr>
          <w:p w14:paraId="108058A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26D53B3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5D4E345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1C3B4C7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29F06C8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5E71F64B" w14:textId="77777777" w:rsidTr="00C56737">
        <w:trPr>
          <w:trHeight w:val="255"/>
        </w:trPr>
        <w:tc>
          <w:tcPr>
            <w:tcW w:w="480" w:type="dxa"/>
            <w:shd w:val="clear" w:color="000000" w:fill="FFFFFF"/>
            <w:noWrap/>
            <w:vAlign w:val="center"/>
            <w:hideMark/>
          </w:tcPr>
          <w:p w14:paraId="683A48B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3910" w:type="dxa"/>
            <w:shd w:val="clear" w:color="000000" w:fill="FFFFFF"/>
            <w:vAlign w:val="center"/>
            <w:hideMark/>
          </w:tcPr>
          <w:p w14:paraId="1F0548B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Governance/decision making model</w:t>
            </w:r>
          </w:p>
        </w:tc>
        <w:tc>
          <w:tcPr>
            <w:tcW w:w="280" w:type="dxa"/>
            <w:shd w:val="clear" w:color="auto" w:fill="auto"/>
            <w:noWrap/>
            <w:vAlign w:val="center"/>
            <w:hideMark/>
          </w:tcPr>
          <w:p w14:paraId="28C4387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0AB7748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3AFEB2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5809B6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07A2273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72C6707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41D68EF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652" w:type="dxa"/>
            <w:shd w:val="clear" w:color="000000" w:fill="D6DCE4"/>
            <w:noWrap/>
            <w:vAlign w:val="center"/>
            <w:hideMark/>
          </w:tcPr>
          <w:p w14:paraId="5F37FAB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767" w:type="dxa"/>
            <w:shd w:val="clear" w:color="000000" w:fill="D6DCE4"/>
            <w:noWrap/>
            <w:vAlign w:val="center"/>
            <w:hideMark/>
          </w:tcPr>
          <w:p w14:paraId="019B106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34D147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5BA7BB3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4CC7201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0E25E29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44D90C36" w14:textId="77777777" w:rsidTr="00C56737">
        <w:trPr>
          <w:trHeight w:val="255"/>
        </w:trPr>
        <w:tc>
          <w:tcPr>
            <w:tcW w:w="480" w:type="dxa"/>
            <w:shd w:val="clear" w:color="000000" w:fill="FFFFFF"/>
            <w:noWrap/>
            <w:vAlign w:val="center"/>
            <w:hideMark/>
          </w:tcPr>
          <w:p w14:paraId="550293B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3910" w:type="dxa"/>
            <w:shd w:val="clear" w:color="000000" w:fill="FFFFFF"/>
            <w:vAlign w:val="center"/>
            <w:hideMark/>
          </w:tcPr>
          <w:p w14:paraId="5EEA49C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Laws/regulations</w:t>
            </w:r>
          </w:p>
        </w:tc>
        <w:tc>
          <w:tcPr>
            <w:tcW w:w="280" w:type="dxa"/>
            <w:shd w:val="clear" w:color="auto" w:fill="auto"/>
            <w:noWrap/>
            <w:vAlign w:val="center"/>
            <w:hideMark/>
          </w:tcPr>
          <w:p w14:paraId="5D1CE66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38C0D7F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5929D59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34F3671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78C7569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1250D7C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42721AA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2E751EB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767" w:type="dxa"/>
            <w:shd w:val="clear" w:color="000000" w:fill="D6DCE4"/>
            <w:noWrap/>
            <w:vAlign w:val="center"/>
            <w:hideMark/>
          </w:tcPr>
          <w:p w14:paraId="5E28D04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5ECA7C7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1916EC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1F69A4D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32E6370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2D86913E" w14:textId="77777777" w:rsidTr="00C56737">
        <w:trPr>
          <w:trHeight w:val="255"/>
        </w:trPr>
        <w:tc>
          <w:tcPr>
            <w:tcW w:w="480" w:type="dxa"/>
            <w:shd w:val="clear" w:color="000000" w:fill="FFFFFF"/>
            <w:noWrap/>
            <w:vAlign w:val="center"/>
            <w:hideMark/>
          </w:tcPr>
          <w:p w14:paraId="55B64E3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3910" w:type="dxa"/>
            <w:shd w:val="clear" w:color="000000" w:fill="FFFFFF"/>
            <w:vAlign w:val="center"/>
            <w:hideMark/>
          </w:tcPr>
          <w:p w14:paraId="4DE311E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Business environment trends</w:t>
            </w:r>
          </w:p>
        </w:tc>
        <w:tc>
          <w:tcPr>
            <w:tcW w:w="280" w:type="dxa"/>
            <w:shd w:val="clear" w:color="auto" w:fill="auto"/>
            <w:noWrap/>
            <w:vAlign w:val="center"/>
            <w:hideMark/>
          </w:tcPr>
          <w:p w14:paraId="1B31E1A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63AA48E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16BC07E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468833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72282A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09E8643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335A2D2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652" w:type="dxa"/>
            <w:shd w:val="clear" w:color="000000" w:fill="D6DCE4"/>
            <w:noWrap/>
            <w:vAlign w:val="center"/>
            <w:hideMark/>
          </w:tcPr>
          <w:p w14:paraId="25825B4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14F56CA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2656B1D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66F1572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53A9490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2063BE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27EC6A5D" w14:textId="77777777" w:rsidTr="00C56737">
        <w:trPr>
          <w:trHeight w:val="255"/>
        </w:trPr>
        <w:tc>
          <w:tcPr>
            <w:tcW w:w="480" w:type="dxa"/>
            <w:shd w:val="clear" w:color="000000" w:fill="FFFFFF"/>
            <w:noWrap/>
            <w:vAlign w:val="center"/>
            <w:hideMark/>
          </w:tcPr>
          <w:p w14:paraId="1E7EB1E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w:t>
            </w:r>
          </w:p>
        </w:tc>
        <w:tc>
          <w:tcPr>
            <w:tcW w:w="3910" w:type="dxa"/>
            <w:shd w:val="clear" w:color="000000" w:fill="FFFFFF"/>
            <w:vAlign w:val="center"/>
            <w:hideMark/>
          </w:tcPr>
          <w:p w14:paraId="7D7B64C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Performance reports</w:t>
            </w:r>
          </w:p>
        </w:tc>
        <w:tc>
          <w:tcPr>
            <w:tcW w:w="280" w:type="dxa"/>
            <w:shd w:val="clear" w:color="auto" w:fill="auto"/>
            <w:noWrap/>
            <w:vAlign w:val="center"/>
            <w:hideMark/>
          </w:tcPr>
          <w:p w14:paraId="01D5DDD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04AB655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3E5B2F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4B3AD04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2A5535F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22034BF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7385643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5F639CD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0B853AA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1126E76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1C87A3F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1AA952B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6CD7A54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833181C" w14:textId="77777777" w:rsidTr="00C56737">
        <w:trPr>
          <w:trHeight w:val="255"/>
        </w:trPr>
        <w:tc>
          <w:tcPr>
            <w:tcW w:w="480" w:type="dxa"/>
            <w:shd w:val="clear" w:color="000000" w:fill="FFFFFF"/>
            <w:noWrap/>
            <w:vAlign w:val="center"/>
            <w:hideMark/>
          </w:tcPr>
          <w:p w14:paraId="33B9360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7</w:t>
            </w:r>
          </w:p>
        </w:tc>
        <w:tc>
          <w:tcPr>
            <w:tcW w:w="3910" w:type="dxa"/>
            <w:shd w:val="clear" w:color="000000" w:fill="FFFFFF"/>
            <w:vAlign w:val="center"/>
            <w:hideMark/>
          </w:tcPr>
          <w:p w14:paraId="635B300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Status and results of actions</w:t>
            </w:r>
          </w:p>
        </w:tc>
        <w:tc>
          <w:tcPr>
            <w:tcW w:w="280" w:type="dxa"/>
            <w:shd w:val="clear" w:color="auto" w:fill="auto"/>
            <w:noWrap/>
            <w:vAlign w:val="center"/>
            <w:hideMark/>
          </w:tcPr>
          <w:p w14:paraId="3C4EECF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3AE67B5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3716220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6725331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19253E6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44D737A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0F7FCE4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351938E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23A80DB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122261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161C956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619B6D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22BA17E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C2EFB2F" w14:textId="77777777" w:rsidTr="00C56737">
        <w:trPr>
          <w:trHeight w:val="255"/>
        </w:trPr>
        <w:tc>
          <w:tcPr>
            <w:tcW w:w="480" w:type="dxa"/>
            <w:shd w:val="clear" w:color="000000" w:fill="FFFFFF"/>
            <w:noWrap/>
            <w:vAlign w:val="center"/>
            <w:hideMark/>
          </w:tcPr>
          <w:p w14:paraId="3B30D04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8</w:t>
            </w:r>
          </w:p>
        </w:tc>
        <w:tc>
          <w:tcPr>
            <w:tcW w:w="3910" w:type="dxa"/>
            <w:shd w:val="clear" w:color="000000" w:fill="FFFFFF"/>
            <w:vAlign w:val="center"/>
            <w:hideMark/>
          </w:tcPr>
          <w:p w14:paraId="5AB3E38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Results of internal control monitoring and reviews</w:t>
            </w:r>
          </w:p>
        </w:tc>
        <w:tc>
          <w:tcPr>
            <w:tcW w:w="280" w:type="dxa"/>
            <w:shd w:val="clear" w:color="auto" w:fill="auto"/>
            <w:noWrap/>
            <w:vAlign w:val="center"/>
            <w:hideMark/>
          </w:tcPr>
          <w:p w14:paraId="422D80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669FC8E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1AEB82A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58007C7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25B2B5D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53F7F60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6AA6C92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1B7FD01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115F8E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19DA48D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6628529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33F459F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402B678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6803BD6F" w14:textId="77777777" w:rsidTr="00C56737">
        <w:trPr>
          <w:trHeight w:val="255"/>
        </w:trPr>
        <w:tc>
          <w:tcPr>
            <w:tcW w:w="480" w:type="dxa"/>
            <w:shd w:val="clear" w:color="000000" w:fill="A9D08E"/>
            <w:noWrap/>
            <w:vAlign w:val="center"/>
            <w:hideMark/>
          </w:tcPr>
          <w:p w14:paraId="116717D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9</w:t>
            </w:r>
          </w:p>
        </w:tc>
        <w:tc>
          <w:tcPr>
            <w:tcW w:w="3910" w:type="dxa"/>
            <w:shd w:val="clear" w:color="000000" w:fill="A9D08E"/>
            <w:vAlign w:val="center"/>
            <w:hideMark/>
          </w:tcPr>
          <w:p w14:paraId="3B0942F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Results of benchmarking and other evaluations</w:t>
            </w:r>
          </w:p>
        </w:tc>
        <w:tc>
          <w:tcPr>
            <w:tcW w:w="280" w:type="dxa"/>
            <w:shd w:val="clear" w:color="auto" w:fill="auto"/>
            <w:noWrap/>
            <w:vAlign w:val="center"/>
            <w:hideMark/>
          </w:tcPr>
          <w:p w14:paraId="6D5A73E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w:t>
            </w:r>
          </w:p>
        </w:tc>
        <w:tc>
          <w:tcPr>
            <w:tcW w:w="995" w:type="dxa"/>
            <w:shd w:val="clear" w:color="auto" w:fill="auto"/>
            <w:vAlign w:val="center"/>
            <w:hideMark/>
          </w:tcPr>
          <w:p w14:paraId="421DB9B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096A75E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543AD3C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6FDB22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44B9259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0DE468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0E7986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672FA82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2A51F6A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472" w:type="dxa"/>
            <w:shd w:val="clear" w:color="000000" w:fill="70AD47"/>
            <w:noWrap/>
            <w:vAlign w:val="center"/>
            <w:hideMark/>
          </w:tcPr>
          <w:p w14:paraId="2570E18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7689B97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1C9DAD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55C212CE" w14:textId="77777777" w:rsidTr="00C56737">
        <w:trPr>
          <w:trHeight w:val="255"/>
        </w:trPr>
        <w:tc>
          <w:tcPr>
            <w:tcW w:w="480" w:type="dxa"/>
            <w:shd w:val="clear" w:color="000000" w:fill="FFFFFF"/>
            <w:noWrap/>
            <w:vAlign w:val="center"/>
            <w:hideMark/>
          </w:tcPr>
          <w:p w14:paraId="728727A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10</w:t>
            </w:r>
          </w:p>
        </w:tc>
        <w:tc>
          <w:tcPr>
            <w:tcW w:w="3910" w:type="dxa"/>
            <w:shd w:val="clear" w:color="000000" w:fill="FFFFFF"/>
            <w:vAlign w:val="center"/>
            <w:hideMark/>
          </w:tcPr>
          <w:p w14:paraId="460869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Results of reviews of self-assessments</w:t>
            </w:r>
          </w:p>
        </w:tc>
        <w:tc>
          <w:tcPr>
            <w:tcW w:w="280" w:type="dxa"/>
            <w:shd w:val="clear" w:color="auto" w:fill="auto"/>
            <w:noWrap/>
            <w:vAlign w:val="center"/>
            <w:hideMark/>
          </w:tcPr>
          <w:p w14:paraId="4BCA63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2E50FBF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73DFB90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68CB250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545765D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37E9BD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1D0CF35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14DF72C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5B43C61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5212385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20093ED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1DBCD65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707864D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427AD4FF" w14:textId="77777777" w:rsidTr="00C56737">
        <w:trPr>
          <w:trHeight w:val="255"/>
        </w:trPr>
        <w:tc>
          <w:tcPr>
            <w:tcW w:w="480" w:type="dxa"/>
            <w:shd w:val="clear" w:color="000000" w:fill="FFFFFF"/>
            <w:noWrap/>
            <w:vAlign w:val="center"/>
            <w:hideMark/>
          </w:tcPr>
          <w:p w14:paraId="11583C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11</w:t>
            </w:r>
          </w:p>
        </w:tc>
        <w:tc>
          <w:tcPr>
            <w:tcW w:w="3910" w:type="dxa"/>
            <w:shd w:val="clear" w:color="000000" w:fill="FFFFFF"/>
            <w:vAlign w:val="center"/>
            <w:hideMark/>
          </w:tcPr>
          <w:p w14:paraId="011143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Compliance confirmations</w:t>
            </w:r>
          </w:p>
        </w:tc>
        <w:tc>
          <w:tcPr>
            <w:tcW w:w="280" w:type="dxa"/>
            <w:shd w:val="clear" w:color="auto" w:fill="auto"/>
            <w:noWrap/>
            <w:vAlign w:val="center"/>
            <w:hideMark/>
          </w:tcPr>
          <w:p w14:paraId="0E52E0E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1C8A5FF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038FB97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3BCA032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4FE88C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275E623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6AEAD74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4E51D6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3497063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20D729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796C716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50481A0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791C01B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65A95604" w14:textId="77777777" w:rsidTr="00C56737">
        <w:trPr>
          <w:trHeight w:val="255"/>
        </w:trPr>
        <w:tc>
          <w:tcPr>
            <w:tcW w:w="480" w:type="dxa"/>
            <w:shd w:val="clear" w:color="000000" w:fill="FFFFFF"/>
            <w:noWrap/>
            <w:vAlign w:val="center"/>
            <w:hideMark/>
          </w:tcPr>
          <w:p w14:paraId="7D4A1CD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12</w:t>
            </w:r>
          </w:p>
        </w:tc>
        <w:tc>
          <w:tcPr>
            <w:tcW w:w="3910" w:type="dxa"/>
            <w:shd w:val="clear" w:color="000000" w:fill="FFFFFF"/>
            <w:vAlign w:val="center"/>
            <w:hideMark/>
          </w:tcPr>
          <w:p w14:paraId="1F424F8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Compliance assurance reports</w:t>
            </w:r>
          </w:p>
        </w:tc>
        <w:tc>
          <w:tcPr>
            <w:tcW w:w="280" w:type="dxa"/>
            <w:shd w:val="clear" w:color="auto" w:fill="auto"/>
            <w:noWrap/>
            <w:vAlign w:val="center"/>
            <w:hideMark/>
          </w:tcPr>
          <w:p w14:paraId="4DF1069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3295C86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3737296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5A3C67E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5A69E83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2BFDAE9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3E209ED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047993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47163B2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3AE8637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003CC8B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36EBD67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108F547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7CCC4188" w14:textId="77777777" w:rsidTr="00C56737">
        <w:trPr>
          <w:trHeight w:val="255"/>
        </w:trPr>
        <w:tc>
          <w:tcPr>
            <w:tcW w:w="480" w:type="dxa"/>
            <w:shd w:val="clear" w:color="000000" w:fill="FFFFFF"/>
            <w:noWrap/>
            <w:vAlign w:val="center"/>
            <w:hideMark/>
          </w:tcPr>
          <w:p w14:paraId="2C55B50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13</w:t>
            </w:r>
          </w:p>
        </w:tc>
        <w:tc>
          <w:tcPr>
            <w:tcW w:w="3910" w:type="dxa"/>
            <w:shd w:val="clear" w:color="000000" w:fill="FFFFFF"/>
            <w:vAlign w:val="center"/>
            <w:hideMark/>
          </w:tcPr>
          <w:p w14:paraId="6F0F157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Reports of noncompliance issues and root causes</w:t>
            </w:r>
          </w:p>
        </w:tc>
        <w:tc>
          <w:tcPr>
            <w:tcW w:w="280" w:type="dxa"/>
            <w:shd w:val="clear" w:color="auto" w:fill="auto"/>
            <w:noWrap/>
            <w:vAlign w:val="center"/>
            <w:hideMark/>
          </w:tcPr>
          <w:p w14:paraId="30B6CE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7014F44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6EEC2A3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751DA6C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0D94E0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236E2ED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55069B8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798A870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526BF03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11EB367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079432F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5B74041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0CCF03A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80B7E64" w14:textId="77777777" w:rsidTr="00C56737">
        <w:trPr>
          <w:trHeight w:val="255"/>
        </w:trPr>
        <w:tc>
          <w:tcPr>
            <w:tcW w:w="480" w:type="dxa"/>
            <w:shd w:val="clear" w:color="000000" w:fill="FFFFFF"/>
            <w:noWrap/>
            <w:vAlign w:val="center"/>
            <w:hideMark/>
          </w:tcPr>
          <w:p w14:paraId="42FB08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14</w:t>
            </w:r>
          </w:p>
        </w:tc>
        <w:tc>
          <w:tcPr>
            <w:tcW w:w="3910" w:type="dxa"/>
            <w:shd w:val="clear" w:color="000000" w:fill="FFFFFF"/>
            <w:vAlign w:val="center"/>
            <w:hideMark/>
          </w:tcPr>
          <w:p w14:paraId="3373881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Assurance plans</w:t>
            </w:r>
          </w:p>
        </w:tc>
        <w:tc>
          <w:tcPr>
            <w:tcW w:w="280" w:type="dxa"/>
            <w:shd w:val="clear" w:color="auto" w:fill="auto"/>
            <w:noWrap/>
            <w:vAlign w:val="center"/>
            <w:hideMark/>
          </w:tcPr>
          <w:p w14:paraId="7237E93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65FAB22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5D92686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54BBFB2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4A9EE8C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4D55CDF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6FCAB61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4EB7C5B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767" w:type="dxa"/>
            <w:shd w:val="clear" w:color="000000" w:fill="D6DCE4"/>
            <w:noWrap/>
            <w:vAlign w:val="center"/>
            <w:hideMark/>
          </w:tcPr>
          <w:p w14:paraId="7B294DB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929" w:type="dxa"/>
            <w:shd w:val="clear" w:color="000000" w:fill="D6DCE4"/>
            <w:noWrap/>
            <w:vAlign w:val="center"/>
            <w:hideMark/>
          </w:tcPr>
          <w:p w14:paraId="7A96EA1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0AA0B1A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51CC40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23CF054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12C2A506" w14:textId="77777777" w:rsidTr="00C56737">
        <w:trPr>
          <w:trHeight w:val="255"/>
        </w:trPr>
        <w:tc>
          <w:tcPr>
            <w:tcW w:w="480" w:type="dxa"/>
            <w:shd w:val="clear" w:color="000000" w:fill="FFFFFF"/>
            <w:noWrap/>
            <w:vAlign w:val="center"/>
            <w:hideMark/>
          </w:tcPr>
          <w:p w14:paraId="4BFCA23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15</w:t>
            </w:r>
          </w:p>
        </w:tc>
        <w:tc>
          <w:tcPr>
            <w:tcW w:w="3910" w:type="dxa"/>
            <w:shd w:val="clear" w:color="000000" w:fill="FFFFFF"/>
            <w:vAlign w:val="center"/>
            <w:hideMark/>
          </w:tcPr>
          <w:p w14:paraId="35E8C4D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Audit Reports</w:t>
            </w:r>
          </w:p>
        </w:tc>
        <w:tc>
          <w:tcPr>
            <w:tcW w:w="280" w:type="dxa"/>
            <w:shd w:val="clear" w:color="auto" w:fill="auto"/>
            <w:noWrap/>
            <w:vAlign w:val="center"/>
            <w:hideMark/>
          </w:tcPr>
          <w:p w14:paraId="3DD36AC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72B440D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08293FB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317D483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2E4904F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424FF8B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1104F91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06D4D02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2D4352F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AD2E14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5718BA2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6AA968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0013CD9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755AAA6A" w14:textId="77777777" w:rsidTr="00C56737">
        <w:trPr>
          <w:trHeight w:val="255"/>
        </w:trPr>
        <w:tc>
          <w:tcPr>
            <w:tcW w:w="480" w:type="dxa"/>
            <w:shd w:val="clear" w:color="000000" w:fill="FFFFFF"/>
            <w:noWrap/>
            <w:vAlign w:val="center"/>
            <w:hideMark/>
          </w:tcPr>
          <w:p w14:paraId="50418D2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16</w:t>
            </w:r>
          </w:p>
        </w:tc>
        <w:tc>
          <w:tcPr>
            <w:tcW w:w="3910" w:type="dxa"/>
            <w:shd w:val="clear" w:color="000000" w:fill="FFFFFF"/>
            <w:vAlign w:val="center"/>
            <w:hideMark/>
          </w:tcPr>
          <w:p w14:paraId="7DD00A1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Obligations</w:t>
            </w:r>
          </w:p>
        </w:tc>
        <w:tc>
          <w:tcPr>
            <w:tcW w:w="280" w:type="dxa"/>
            <w:shd w:val="clear" w:color="auto" w:fill="auto"/>
            <w:noWrap/>
            <w:vAlign w:val="center"/>
            <w:hideMark/>
          </w:tcPr>
          <w:p w14:paraId="311FF99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32B6B2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25E13B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4CAFFB4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164813D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662CC27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5E2C458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637391F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767" w:type="dxa"/>
            <w:shd w:val="clear" w:color="000000" w:fill="D6DCE4"/>
            <w:noWrap/>
            <w:vAlign w:val="center"/>
            <w:hideMark/>
          </w:tcPr>
          <w:p w14:paraId="63B3E01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6A7A12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67DE18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4E6877C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18C915E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5A169E48" w14:textId="77777777" w:rsidTr="00C56737">
        <w:trPr>
          <w:trHeight w:val="255"/>
        </w:trPr>
        <w:tc>
          <w:tcPr>
            <w:tcW w:w="480" w:type="dxa"/>
            <w:shd w:val="clear" w:color="000000" w:fill="FFFFFF"/>
            <w:noWrap/>
            <w:vAlign w:val="center"/>
            <w:hideMark/>
          </w:tcPr>
          <w:p w14:paraId="3248A0B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17</w:t>
            </w:r>
          </w:p>
        </w:tc>
        <w:tc>
          <w:tcPr>
            <w:tcW w:w="3910" w:type="dxa"/>
            <w:shd w:val="clear" w:color="000000" w:fill="FFFFFF"/>
            <w:vAlign w:val="center"/>
            <w:hideMark/>
          </w:tcPr>
          <w:p w14:paraId="274B52C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Enterprise governance guiding principles</w:t>
            </w:r>
          </w:p>
        </w:tc>
        <w:tc>
          <w:tcPr>
            <w:tcW w:w="280" w:type="dxa"/>
            <w:shd w:val="clear" w:color="auto" w:fill="auto"/>
            <w:noWrap/>
            <w:vAlign w:val="center"/>
            <w:hideMark/>
          </w:tcPr>
          <w:p w14:paraId="0FB4115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0A08DC3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10F40B2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7D5BEE3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4ACDBBA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51A48DD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30E3713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207A1BB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767" w:type="dxa"/>
            <w:shd w:val="clear" w:color="000000" w:fill="D6DCE4"/>
            <w:noWrap/>
            <w:vAlign w:val="center"/>
            <w:hideMark/>
          </w:tcPr>
          <w:p w14:paraId="078667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4A3E0E9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49C2965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490D64A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21DA986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212138ED" w14:textId="77777777" w:rsidTr="00C56737">
        <w:trPr>
          <w:trHeight w:val="255"/>
        </w:trPr>
        <w:tc>
          <w:tcPr>
            <w:tcW w:w="480" w:type="dxa"/>
            <w:shd w:val="clear" w:color="000000" w:fill="FFFFFF"/>
            <w:noWrap/>
            <w:vAlign w:val="center"/>
            <w:hideMark/>
          </w:tcPr>
          <w:p w14:paraId="30C326B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18</w:t>
            </w:r>
          </w:p>
        </w:tc>
        <w:tc>
          <w:tcPr>
            <w:tcW w:w="3910" w:type="dxa"/>
            <w:shd w:val="clear" w:color="000000" w:fill="FFFFFF"/>
            <w:vAlign w:val="center"/>
            <w:hideMark/>
          </w:tcPr>
          <w:p w14:paraId="49B03BC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Decision-making model</w:t>
            </w:r>
          </w:p>
        </w:tc>
        <w:tc>
          <w:tcPr>
            <w:tcW w:w="280" w:type="dxa"/>
            <w:shd w:val="clear" w:color="auto" w:fill="auto"/>
            <w:noWrap/>
            <w:vAlign w:val="center"/>
            <w:hideMark/>
          </w:tcPr>
          <w:p w14:paraId="08F215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4A24A33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7A97473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189393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7084AD6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2CFC45B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650C6C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652" w:type="dxa"/>
            <w:shd w:val="clear" w:color="000000" w:fill="D6DCE4"/>
            <w:noWrap/>
            <w:vAlign w:val="center"/>
            <w:hideMark/>
          </w:tcPr>
          <w:p w14:paraId="28A1D87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767" w:type="dxa"/>
            <w:shd w:val="clear" w:color="000000" w:fill="D6DCE4"/>
            <w:noWrap/>
            <w:vAlign w:val="center"/>
            <w:hideMark/>
          </w:tcPr>
          <w:p w14:paraId="63FA722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19F9EDA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241DFA7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2D1DFA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72116A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362E439D" w14:textId="77777777" w:rsidTr="00C56737">
        <w:trPr>
          <w:trHeight w:val="255"/>
        </w:trPr>
        <w:tc>
          <w:tcPr>
            <w:tcW w:w="480" w:type="dxa"/>
            <w:shd w:val="clear" w:color="000000" w:fill="A9D08E"/>
            <w:noWrap/>
            <w:vAlign w:val="center"/>
            <w:hideMark/>
          </w:tcPr>
          <w:p w14:paraId="129193C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19</w:t>
            </w:r>
          </w:p>
        </w:tc>
        <w:tc>
          <w:tcPr>
            <w:tcW w:w="3910" w:type="dxa"/>
            <w:shd w:val="clear" w:color="000000" w:fill="A9D08E"/>
            <w:vAlign w:val="center"/>
            <w:hideMark/>
          </w:tcPr>
          <w:p w14:paraId="75DEC4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Authority Levels</w:t>
            </w:r>
          </w:p>
        </w:tc>
        <w:tc>
          <w:tcPr>
            <w:tcW w:w="280" w:type="dxa"/>
            <w:shd w:val="clear" w:color="auto" w:fill="auto"/>
            <w:noWrap/>
            <w:vAlign w:val="center"/>
            <w:hideMark/>
          </w:tcPr>
          <w:p w14:paraId="7E31F82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w:t>
            </w:r>
          </w:p>
        </w:tc>
        <w:tc>
          <w:tcPr>
            <w:tcW w:w="995" w:type="dxa"/>
            <w:shd w:val="clear" w:color="auto" w:fill="auto"/>
            <w:vAlign w:val="center"/>
            <w:hideMark/>
          </w:tcPr>
          <w:p w14:paraId="5E0A6CE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5100A7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211FC09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5A2D40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150A4CB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472E76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5C91752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767" w:type="dxa"/>
            <w:shd w:val="clear" w:color="000000" w:fill="D6DCE4"/>
            <w:noWrap/>
            <w:vAlign w:val="center"/>
            <w:hideMark/>
          </w:tcPr>
          <w:p w14:paraId="53479C8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7D4DA91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275C7EF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2280B39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3E75544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35288872" w14:textId="77777777" w:rsidTr="00C56737">
        <w:trPr>
          <w:trHeight w:val="255"/>
        </w:trPr>
        <w:tc>
          <w:tcPr>
            <w:tcW w:w="480" w:type="dxa"/>
            <w:shd w:val="clear" w:color="000000" w:fill="FFFFFF"/>
            <w:noWrap/>
            <w:vAlign w:val="center"/>
            <w:hideMark/>
          </w:tcPr>
          <w:p w14:paraId="27E4BD7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20</w:t>
            </w:r>
          </w:p>
        </w:tc>
        <w:tc>
          <w:tcPr>
            <w:tcW w:w="3910" w:type="dxa"/>
            <w:shd w:val="clear" w:color="000000" w:fill="FFFFFF"/>
            <w:vAlign w:val="center"/>
            <w:hideMark/>
          </w:tcPr>
          <w:p w14:paraId="0D46745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Enterprise governance communication</w:t>
            </w:r>
          </w:p>
        </w:tc>
        <w:tc>
          <w:tcPr>
            <w:tcW w:w="280" w:type="dxa"/>
            <w:shd w:val="clear" w:color="auto" w:fill="auto"/>
            <w:noWrap/>
            <w:vAlign w:val="center"/>
            <w:hideMark/>
          </w:tcPr>
          <w:p w14:paraId="62EA518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5247522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1528A5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5358495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7D0348B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02090C0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301EBB3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652" w:type="dxa"/>
            <w:shd w:val="clear" w:color="000000" w:fill="D6DCE4"/>
            <w:noWrap/>
            <w:vAlign w:val="center"/>
            <w:hideMark/>
          </w:tcPr>
          <w:p w14:paraId="2600E49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0B4DEA1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4719620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33D23D7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238D14C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7662537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245EF6E7" w14:textId="77777777" w:rsidTr="00C56737">
        <w:trPr>
          <w:trHeight w:val="255"/>
        </w:trPr>
        <w:tc>
          <w:tcPr>
            <w:tcW w:w="480" w:type="dxa"/>
            <w:shd w:val="clear" w:color="000000" w:fill="FFFFFF"/>
            <w:noWrap/>
            <w:vAlign w:val="center"/>
            <w:hideMark/>
          </w:tcPr>
          <w:p w14:paraId="6F0748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21</w:t>
            </w:r>
          </w:p>
        </w:tc>
        <w:tc>
          <w:tcPr>
            <w:tcW w:w="3910" w:type="dxa"/>
            <w:shd w:val="clear" w:color="000000" w:fill="FFFFFF"/>
            <w:vAlign w:val="center"/>
            <w:hideMark/>
          </w:tcPr>
          <w:p w14:paraId="056C442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Reward system approach</w:t>
            </w:r>
          </w:p>
        </w:tc>
        <w:tc>
          <w:tcPr>
            <w:tcW w:w="280" w:type="dxa"/>
            <w:shd w:val="clear" w:color="auto" w:fill="auto"/>
            <w:noWrap/>
            <w:vAlign w:val="center"/>
            <w:hideMark/>
          </w:tcPr>
          <w:p w14:paraId="257F51E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2076CF0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08F243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511DD3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003FED7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2F84D1E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1576750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7C75309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767" w:type="dxa"/>
            <w:shd w:val="clear" w:color="000000" w:fill="D6DCE4"/>
            <w:noWrap/>
            <w:vAlign w:val="center"/>
            <w:hideMark/>
          </w:tcPr>
          <w:p w14:paraId="36D4F10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222FAF5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1A65E0D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516E675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137FAEB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6C3EAE13" w14:textId="77777777" w:rsidTr="00C56737">
        <w:trPr>
          <w:trHeight w:val="255"/>
        </w:trPr>
        <w:tc>
          <w:tcPr>
            <w:tcW w:w="480" w:type="dxa"/>
            <w:shd w:val="clear" w:color="000000" w:fill="FFFFFF"/>
            <w:noWrap/>
            <w:vAlign w:val="center"/>
            <w:hideMark/>
          </w:tcPr>
          <w:p w14:paraId="6A32D3E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22</w:t>
            </w:r>
          </w:p>
        </w:tc>
        <w:tc>
          <w:tcPr>
            <w:tcW w:w="3910" w:type="dxa"/>
            <w:shd w:val="clear" w:color="000000" w:fill="FFFFFF"/>
            <w:vAlign w:val="center"/>
            <w:hideMark/>
          </w:tcPr>
          <w:p w14:paraId="3AF768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Feedback on governance effectiveness and performance</w:t>
            </w:r>
          </w:p>
        </w:tc>
        <w:tc>
          <w:tcPr>
            <w:tcW w:w="280" w:type="dxa"/>
            <w:shd w:val="clear" w:color="auto" w:fill="auto"/>
            <w:noWrap/>
            <w:vAlign w:val="center"/>
            <w:hideMark/>
          </w:tcPr>
          <w:p w14:paraId="406C44E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149D235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6B60D7D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7D45C8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793AC46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5E8D913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7807BC5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5BD0867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69C3FDB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1EE937F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7413BF9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34A9CFA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71913F8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17BB1232" w14:textId="77777777" w:rsidTr="00C56737">
        <w:trPr>
          <w:trHeight w:val="255"/>
        </w:trPr>
        <w:tc>
          <w:tcPr>
            <w:tcW w:w="480" w:type="dxa"/>
            <w:shd w:val="clear" w:color="000000" w:fill="FFFFFF"/>
            <w:noWrap/>
            <w:vAlign w:val="center"/>
            <w:hideMark/>
          </w:tcPr>
          <w:p w14:paraId="3BA90A4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23</w:t>
            </w:r>
          </w:p>
        </w:tc>
        <w:tc>
          <w:tcPr>
            <w:tcW w:w="3910" w:type="dxa"/>
            <w:shd w:val="clear" w:color="000000" w:fill="FFFFFF"/>
            <w:vAlign w:val="center"/>
            <w:hideMark/>
          </w:tcPr>
          <w:p w14:paraId="5EFD58D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Definition of strategic initiatives</w:t>
            </w:r>
          </w:p>
        </w:tc>
        <w:tc>
          <w:tcPr>
            <w:tcW w:w="280" w:type="dxa"/>
            <w:shd w:val="clear" w:color="auto" w:fill="auto"/>
            <w:noWrap/>
            <w:vAlign w:val="center"/>
            <w:hideMark/>
          </w:tcPr>
          <w:p w14:paraId="3845BE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66BAFC0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2E63F95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4C60E25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3BD8AAE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022144B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515546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4F75843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6A5EC0F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929" w:type="dxa"/>
            <w:shd w:val="clear" w:color="000000" w:fill="D6DCE4"/>
            <w:noWrap/>
            <w:vAlign w:val="center"/>
            <w:hideMark/>
          </w:tcPr>
          <w:p w14:paraId="501ED0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49280A6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202310F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7C4FAD5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760B1E24" w14:textId="77777777" w:rsidTr="00C56737">
        <w:trPr>
          <w:trHeight w:val="255"/>
        </w:trPr>
        <w:tc>
          <w:tcPr>
            <w:tcW w:w="480" w:type="dxa"/>
            <w:shd w:val="clear" w:color="000000" w:fill="FFFFFF"/>
            <w:noWrap/>
            <w:vAlign w:val="center"/>
            <w:hideMark/>
          </w:tcPr>
          <w:p w14:paraId="7EB5C53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24</w:t>
            </w:r>
          </w:p>
        </w:tc>
        <w:tc>
          <w:tcPr>
            <w:tcW w:w="3910" w:type="dxa"/>
            <w:shd w:val="clear" w:color="000000" w:fill="FFFFFF"/>
            <w:vAlign w:val="center"/>
            <w:hideMark/>
          </w:tcPr>
          <w:p w14:paraId="1E5C43B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Risk assessment initiatives</w:t>
            </w:r>
          </w:p>
        </w:tc>
        <w:tc>
          <w:tcPr>
            <w:tcW w:w="280" w:type="dxa"/>
            <w:shd w:val="clear" w:color="auto" w:fill="auto"/>
            <w:noWrap/>
            <w:vAlign w:val="center"/>
            <w:hideMark/>
          </w:tcPr>
          <w:p w14:paraId="549DE6C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48ABDF8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04A9FE9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089930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77DD5DC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026329D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31488D2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475BAA3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229D244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929" w:type="dxa"/>
            <w:shd w:val="clear" w:color="000000" w:fill="D6DCE4"/>
            <w:noWrap/>
            <w:vAlign w:val="center"/>
            <w:hideMark/>
          </w:tcPr>
          <w:p w14:paraId="0185385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6ECE5FA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7E3971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7CC03DA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D4A3AD5" w14:textId="77777777" w:rsidTr="00C56737">
        <w:trPr>
          <w:trHeight w:val="255"/>
        </w:trPr>
        <w:tc>
          <w:tcPr>
            <w:tcW w:w="480" w:type="dxa"/>
            <w:shd w:val="clear" w:color="000000" w:fill="A9D08E"/>
            <w:noWrap/>
            <w:vAlign w:val="center"/>
            <w:hideMark/>
          </w:tcPr>
          <w:p w14:paraId="2390348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25</w:t>
            </w:r>
          </w:p>
        </w:tc>
        <w:tc>
          <w:tcPr>
            <w:tcW w:w="3910" w:type="dxa"/>
            <w:shd w:val="clear" w:color="000000" w:fill="A9D08E"/>
            <w:vAlign w:val="center"/>
            <w:hideMark/>
          </w:tcPr>
          <w:p w14:paraId="6E3B02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Strategic Roadmap</w:t>
            </w:r>
          </w:p>
        </w:tc>
        <w:tc>
          <w:tcPr>
            <w:tcW w:w="280" w:type="dxa"/>
            <w:shd w:val="clear" w:color="auto" w:fill="auto"/>
            <w:noWrap/>
            <w:vAlign w:val="center"/>
            <w:hideMark/>
          </w:tcPr>
          <w:p w14:paraId="68D0F18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w:t>
            </w:r>
          </w:p>
        </w:tc>
        <w:tc>
          <w:tcPr>
            <w:tcW w:w="995" w:type="dxa"/>
            <w:shd w:val="clear" w:color="auto" w:fill="auto"/>
            <w:vAlign w:val="center"/>
            <w:hideMark/>
          </w:tcPr>
          <w:p w14:paraId="32CE206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28BE0C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1DE8BE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04D796A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5DBAA89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5CE22CE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6BE16C6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4208F7D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929" w:type="dxa"/>
            <w:shd w:val="clear" w:color="000000" w:fill="D6DCE4"/>
            <w:noWrap/>
            <w:vAlign w:val="center"/>
            <w:hideMark/>
          </w:tcPr>
          <w:p w14:paraId="6D1820E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51B35A8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68A46C1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06D2BA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310CEDA8" w14:textId="77777777" w:rsidTr="00C56737">
        <w:trPr>
          <w:trHeight w:val="255"/>
        </w:trPr>
        <w:tc>
          <w:tcPr>
            <w:tcW w:w="480" w:type="dxa"/>
            <w:shd w:val="clear" w:color="000000" w:fill="FFFFFF"/>
            <w:noWrap/>
            <w:vAlign w:val="center"/>
            <w:hideMark/>
          </w:tcPr>
          <w:p w14:paraId="03BFF8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26</w:t>
            </w:r>
          </w:p>
        </w:tc>
        <w:tc>
          <w:tcPr>
            <w:tcW w:w="3910" w:type="dxa"/>
            <w:shd w:val="clear" w:color="000000" w:fill="FFFFFF"/>
            <w:vAlign w:val="center"/>
            <w:hideMark/>
          </w:tcPr>
          <w:p w14:paraId="76A3F7F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Definitions of standard services</w:t>
            </w:r>
          </w:p>
        </w:tc>
        <w:tc>
          <w:tcPr>
            <w:tcW w:w="280" w:type="dxa"/>
            <w:shd w:val="clear" w:color="auto" w:fill="auto"/>
            <w:noWrap/>
            <w:vAlign w:val="center"/>
            <w:hideMark/>
          </w:tcPr>
          <w:p w14:paraId="0B6D49A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7AAE594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0DA34CE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4CC969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65E1F0F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27E6829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512D61B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550A17B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7F3CEC2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929" w:type="dxa"/>
            <w:shd w:val="clear" w:color="000000" w:fill="D6DCE4"/>
            <w:noWrap/>
            <w:vAlign w:val="center"/>
            <w:hideMark/>
          </w:tcPr>
          <w:p w14:paraId="5F3D374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4A7DF91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5DCA4CA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34EADC2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96AACDB" w14:textId="77777777" w:rsidTr="00C56737">
        <w:trPr>
          <w:trHeight w:val="255"/>
        </w:trPr>
        <w:tc>
          <w:tcPr>
            <w:tcW w:w="480" w:type="dxa"/>
            <w:shd w:val="clear" w:color="000000" w:fill="FFFFFF"/>
            <w:noWrap/>
            <w:vAlign w:val="center"/>
            <w:hideMark/>
          </w:tcPr>
          <w:p w14:paraId="58061AE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27</w:t>
            </w:r>
          </w:p>
        </w:tc>
        <w:tc>
          <w:tcPr>
            <w:tcW w:w="3910" w:type="dxa"/>
            <w:shd w:val="clear" w:color="000000" w:fill="FFFFFF"/>
            <w:vAlign w:val="center"/>
            <w:hideMark/>
          </w:tcPr>
          <w:p w14:paraId="7D43C8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Service Definitions</w:t>
            </w:r>
          </w:p>
        </w:tc>
        <w:tc>
          <w:tcPr>
            <w:tcW w:w="280" w:type="dxa"/>
            <w:shd w:val="clear" w:color="auto" w:fill="auto"/>
            <w:noWrap/>
            <w:vAlign w:val="center"/>
            <w:hideMark/>
          </w:tcPr>
          <w:p w14:paraId="2C64E92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365265A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1212664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66EA648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491F1B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495CDE2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0AC2FBE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7547555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767" w:type="dxa"/>
            <w:shd w:val="clear" w:color="000000" w:fill="D6DCE4"/>
            <w:noWrap/>
            <w:vAlign w:val="center"/>
            <w:hideMark/>
          </w:tcPr>
          <w:p w14:paraId="4CA1C4D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929" w:type="dxa"/>
            <w:shd w:val="clear" w:color="000000" w:fill="D6DCE4"/>
            <w:noWrap/>
            <w:vAlign w:val="center"/>
            <w:hideMark/>
          </w:tcPr>
          <w:p w14:paraId="75087A7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614E05D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0942B2F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5ED9825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66375E5E" w14:textId="77777777" w:rsidTr="00C56737">
        <w:trPr>
          <w:trHeight w:val="255"/>
        </w:trPr>
        <w:tc>
          <w:tcPr>
            <w:tcW w:w="480" w:type="dxa"/>
            <w:shd w:val="clear" w:color="000000" w:fill="FFFFFF"/>
            <w:noWrap/>
            <w:vAlign w:val="center"/>
            <w:hideMark/>
          </w:tcPr>
          <w:p w14:paraId="6C76388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28</w:t>
            </w:r>
          </w:p>
        </w:tc>
        <w:tc>
          <w:tcPr>
            <w:tcW w:w="3910" w:type="dxa"/>
            <w:shd w:val="clear" w:color="000000" w:fill="FFFFFF"/>
            <w:vAlign w:val="center"/>
            <w:hideMark/>
          </w:tcPr>
          <w:p w14:paraId="0E64881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Investment types and criteria</w:t>
            </w:r>
          </w:p>
        </w:tc>
        <w:tc>
          <w:tcPr>
            <w:tcW w:w="280" w:type="dxa"/>
            <w:shd w:val="clear" w:color="auto" w:fill="auto"/>
            <w:noWrap/>
            <w:vAlign w:val="center"/>
            <w:hideMark/>
          </w:tcPr>
          <w:p w14:paraId="41C682F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779C4EE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428B945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7FC7804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23915BD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1A7C3EF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2B883BA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24648EA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767" w:type="dxa"/>
            <w:shd w:val="clear" w:color="000000" w:fill="D6DCE4"/>
            <w:noWrap/>
            <w:vAlign w:val="center"/>
            <w:hideMark/>
          </w:tcPr>
          <w:p w14:paraId="40C10CC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4914416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291CEF3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56120E0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0DB14F2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739B45B1" w14:textId="77777777" w:rsidTr="00C56737">
        <w:trPr>
          <w:trHeight w:val="255"/>
        </w:trPr>
        <w:tc>
          <w:tcPr>
            <w:tcW w:w="480" w:type="dxa"/>
            <w:shd w:val="clear" w:color="000000" w:fill="FFFFFF"/>
            <w:noWrap/>
            <w:vAlign w:val="center"/>
            <w:hideMark/>
          </w:tcPr>
          <w:p w14:paraId="752C210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29</w:t>
            </w:r>
          </w:p>
        </w:tc>
        <w:tc>
          <w:tcPr>
            <w:tcW w:w="3910" w:type="dxa"/>
            <w:shd w:val="clear" w:color="000000" w:fill="FFFFFF"/>
            <w:vAlign w:val="center"/>
            <w:hideMark/>
          </w:tcPr>
          <w:p w14:paraId="38FAE99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Investment return expectations</w:t>
            </w:r>
          </w:p>
        </w:tc>
        <w:tc>
          <w:tcPr>
            <w:tcW w:w="280" w:type="dxa"/>
            <w:shd w:val="clear" w:color="auto" w:fill="auto"/>
            <w:noWrap/>
            <w:vAlign w:val="center"/>
            <w:hideMark/>
          </w:tcPr>
          <w:p w14:paraId="0CDF678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71933F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38ED22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7C4CD7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2AFDCBE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658406C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1505D4E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652" w:type="dxa"/>
            <w:shd w:val="clear" w:color="000000" w:fill="D6DCE4"/>
            <w:noWrap/>
            <w:vAlign w:val="center"/>
            <w:hideMark/>
          </w:tcPr>
          <w:p w14:paraId="1BC60B2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17A75B9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0A72A4E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6B2DDA7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59239E5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467E3A9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621AD362" w14:textId="77777777" w:rsidTr="00C56737">
        <w:trPr>
          <w:trHeight w:val="255"/>
        </w:trPr>
        <w:tc>
          <w:tcPr>
            <w:tcW w:w="480" w:type="dxa"/>
            <w:shd w:val="clear" w:color="000000" w:fill="FFFFFF"/>
            <w:noWrap/>
            <w:vAlign w:val="center"/>
            <w:hideMark/>
          </w:tcPr>
          <w:p w14:paraId="26CD7B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30</w:t>
            </w:r>
          </w:p>
        </w:tc>
        <w:tc>
          <w:tcPr>
            <w:tcW w:w="3910" w:type="dxa"/>
            <w:shd w:val="clear" w:color="000000" w:fill="FFFFFF"/>
            <w:vAlign w:val="center"/>
            <w:hideMark/>
          </w:tcPr>
          <w:p w14:paraId="33F5B2C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Selected programs with ROI milestones</w:t>
            </w:r>
          </w:p>
        </w:tc>
        <w:tc>
          <w:tcPr>
            <w:tcW w:w="280" w:type="dxa"/>
            <w:shd w:val="clear" w:color="auto" w:fill="auto"/>
            <w:noWrap/>
            <w:vAlign w:val="center"/>
            <w:hideMark/>
          </w:tcPr>
          <w:p w14:paraId="73D76F9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2AE055F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7B4E861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0E7A5A3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06E415F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772ACB9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3FD04DA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35408AC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08192FE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929" w:type="dxa"/>
            <w:shd w:val="clear" w:color="000000" w:fill="D6DCE4"/>
            <w:noWrap/>
            <w:vAlign w:val="center"/>
            <w:hideMark/>
          </w:tcPr>
          <w:p w14:paraId="494FF7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1BCD4AE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2DBEAAE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06AE270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62FCC651" w14:textId="77777777" w:rsidTr="00C56737">
        <w:trPr>
          <w:trHeight w:val="255"/>
        </w:trPr>
        <w:tc>
          <w:tcPr>
            <w:tcW w:w="480" w:type="dxa"/>
            <w:shd w:val="clear" w:color="000000" w:fill="FFFFFF"/>
            <w:noWrap/>
            <w:vAlign w:val="center"/>
            <w:hideMark/>
          </w:tcPr>
          <w:p w14:paraId="3A2C532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31</w:t>
            </w:r>
          </w:p>
        </w:tc>
        <w:tc>
          <w:tcPr>
            <w:tcW w:w="3910" w:type="dxa"/>
            <w:shd w:val="clear" w:color="000000" w:fill="FFFFFF"/>
            <w:vAlign w:val="center"/>
            <w:hideMark/>
          </w:tcPr>
          <w:p w14:paraId="517E14D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Benefit results and related communications</w:t>
            </w:r>
          </w:p>
        </w:tc>
        <w:tc>
          <w:tcPr>
            <w:tcW w:w="280" w:type="dxa"/>
            <w:shd w:val="clear" w:color="auto" w:fill="auto"/>
            <w:noWrap/>
            <w:vAlign w:val="center"/>
            <w:hideMark/>
          </w:tcPr>
          <w:p w14:paraId="6CF285F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2F0A83B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416AD5D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3A9BAB2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010284B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58A9154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69A207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652" w:type="dxa"/>
            <w:shd w:val="clear" w:color="000000" w:fill="D6DCE4"/>
            <w:noWrap/>
            <w:vAlign w:val="center"/>
            <w:hideMark/>
          </w:tcPr>
          <w:p w14:paraId="07FD325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1780F26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48DFEEC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472" w:type="dxa"/>
            <w:shd w:val="clear" w:color="000000" w:fill="FFFF00"/>
            <w:noWrap/>
            <w:vAlign w:val="center"/>
            <w:hideMark/>
          </w:tcPr>
          <w:p w14:paraId="51D7F2D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648C75A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7B89728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00809FD3" w14:textId="77777777" w:rsidTr="00C56737">
        <w:trPr>
          <w:trHeight w:val="255"/>
        </w:trPr>
        <w:tc>
          <w:tcPr>
            <w:tcW w:w="480" w:type="dxa"/>
            <w:shd w:val="clear" w:color="000000" w:fill="FFFFFF"/>
            <w:noWrap/>
            <w:vAlign w:val="center"/>
            <w:hideMark/>
          </w:tcPr>
          <w:p w14:paraId="165100B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32</w:t>
            </w:r>
          </w:p>
        </w:tc>
        <w:tc>
          <w:tcPr>
            <w:tcW w:w="3910" w:type="dxa"/>
            <w:shd w:val="clear" w:color="000000" w:fill="FFFFFF"/>
            <w:vAlign w:val="center"/>
            <w:hideMark/>
          </w:tcPr>
          <w:p w14:paraId="3C947C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Stage-gate review results</w:t>
            </w:r>
          </w:p>
        </w:tc>
        <w:tc>
          <w:tcPr>
            <w:tcW w:w="280" w:type="dxa"/>
            <w:shd w:val="clear" w:color="auto" w:fill="auto"/>
            <w:noWrap/>
            <w:vAlign w:val="center"/>
            <w:hideMark/>
          </w:tcPr>
          <w:p w14:paraId="2774C5F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45DC8DE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393D58B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0182723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0463EE1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08B0A5F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7BDCDFD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6385130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03370B2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71B4497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472" w:type="dxa"/>
            <w:shd w:val="clear" w:color="000000" w:fill="70AD47"/>
            <w:noWrap/>
            <w:vAlign w:val="center"/>
            <w:hideMark/>
          </w:tcPr>
          <w:p w14:paraId="2C7404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79D2D7F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28B3459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734BA67A" w14:textId="77777777" w:rsidTr="00C56737">
        <w:trPr>
          <w:trHeight w:val="255"/>
        </w:trPr>
        <w:tc>
          <w:tcPr>
            <w:tcW w:w="480" w:type="dxa"/>
            <w:shd w:val="clear" w:color="000000" w:fill="FFFFFF"/>
            <w:noWrap/>
            <w:vAlign w:val="center"/>
            <w:hideMark/>
          </w:tcPr>
          <w:p w14:paraId="6180147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33</w:t>
            </w:r>
          </w:p>
        </w:tc>
        <w:tc>
          <w:tcPr>
            <w:tcW w:w="3910" w:type="dxa"/>
            <w:shd w:val="clear" w:color="000000" w:fill="FFFFFF"/>
            <w:vAlign w:val="center"/>
            <w:hideMark/>
          </w:tcPr>
          <w:p w14:paraId="099D85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Investment portfolio performance reports</w:t>
            </w:r>
          </w:p>
        </w:tc>
        <w:tc>
          <w:tcPr>
            <w:tcW w:w="280" w:type="dxa"/>
            <w:shd w:val="clear" w:color="auto" w:fill="auto"/>
            <w:noWrap/>
            <w:vAlign w:val="center"/>
            <w:hideMark/>
          </w:tcPr>
          <w:p w14:paraId="7B23D33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286B67A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3B738C9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5AE5556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2B0ADE8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5B08007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5D07A9A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0A0366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3F897E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18C25D0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7376BC5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2D2337C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3B20C5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0DDC66F9" w14:textId="77777777" w:rsidTr="00C56737">
        <w:trPr>
          <w:trHeight w:val="255"/>
        </w:trPr>
        <w:tc>
          <w:tcPr>
            <w:tcW w:w="480" w:type="dxa"/>
            <w:shd w:val="clear" w:color="000000" w:fill="FFFFFF"/>
            <w:noWrap/>
            <w:vAlign w:val="center"/>
            <w:hideMark/>
          </w:tcPr>
          <w:p w14:paraId="383E9E7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34</w:t>
            </w:r>
          </w:p>
        </w:tc>
        <w:tc>
          <w:tcPr>
            <w:tcW w:w="3910" w:type="dxa"/>
            <w:shd w:val="clear" w:color="000000" w:fill="FFFFFF"/>
            <w:vAlign w:val="center"/>
            <w:hideMark/>
          </w:tcPr>
          <w:p w14:paraId="555216B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Defined investment mix</w:t>
            </w:r>
          </w:p>
        </w:tc>
        <w:tc>
          <w:tcPr>
            <w:tcW w:w="280" w:type="dxa"/>
            <w:shd w:val="clear" w:color="auto" w:fill="auto"/>
            <w:noWrap/>
            <w:vAlign w:val="center"/>
            <w:hideMark/>
          </w:tcPr>
          <w:p w14:paraId="493E625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79507B9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1FA2996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3BE442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3EDE2E5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6CA50E2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131DF29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7EF0A3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767" w:type="dxa"/>
            <w:shd w:val="clear" w:color="000000" w:fill="D6DCE4"/>
            <w:noWrap/>
            <w:vAlign w:val="center"/>
            <w:hideMark/>
          </w:tcPr>
          <w:p w14:paraId="70AB66B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929" w:type="dxa"/>
            <w:shd w:val="clear" w:color="000000" w:fill="D6DCE4"/>
            <w:noWrap/>
            <w:vAlign w:val="center"/>
            <w:hideMark/>
          </w:tcPr>
          <w:p w14:paraId="7A912BC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2E4AAB9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01A5C8C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5013421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1C3DBFFC" w14:textId="77777777" w:rsidTr="00C56737">
        <w:trPr>
          <w:trHeight w:val="255"/>
        </w:trPr>
        <w:tc>
          <w:tcPr>
            <w:tcW w:w="480" w:type="dxa"/>
            <w:shd w:val="clear" w:color="000000" w:fill="FFFFFF"/>
            <w:noWrap/>
            <w:vAlign w:val="center"/>
            <w:hideMark/>
          </w:tcPr>
          <w:p w14:paraId="5B6716E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35</w:t>
            </w:r>
          </w:p>
        </w:tc>
        <w:tc>
          <w:tcPr>
            <w:tcW w:w="3910" w:type="dxa"/>
            <w:shd w:val="clear" w:color="000000" w:fill="FFFFFF"/>
            <w:vAlign w:val="center"/>
            <w:hideMark/>
          </w:tcPr>
          <w:p w14:paraId="1CE586F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Feedback on strategy and goals</w:t>
            </w:r>
          </w:p>
        </w:tc>
        <w:tc>
          <w:tcPr>
            <w:tcW w:w="280" w:type="dxa"/>
            <w:shd w:val="clear" w:color="auto" w:fill="auto"/>
            <w:noWrap/>
            <w:vAlign w:val="center"/>
            <w:hideMark/>
          </w:tcPr>
          <w:p w14:paraId="2C77615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7ADCFAA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0A88A22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36C2532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57FD62A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2EBE65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5955429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652" w:type="dxa"/>
            <w:shd w:val="clear" w:color="000000" w:fill="D6DCE4"/>
            <w:noWrap/>
            <w:vAlign w:val="center"/>
            <w:hideMark/>
          </w:tcPr>
          <w:p w14:paraId="36E88D1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127AB82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8F86EF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472" w:type="dxa"/>
            <w:shd w:val="clear" w:color="000000" w:fill="FFFF00"/>
            <w:noWrap/>
            <w:vAlign w:val="center"/>
            <w:hideMark/>
          </w:tcPr>
          <w:p w14:paraId="3DC6B52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0B21745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1D77E9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1B98C094" w14:textId="77777777" w:rsidTr="00C56737">
        <w:trPr>
          <w:trHeight w:val="255"/>
        </w:trPr>
        <w:tc>
          <w:tcPr>
            <w:tcW w:w="480" w:type="dxa"/>
            <w:shd w:val="clear" w:color="000000" w:fill="FFFFFF"/>
            <w:noWrap/>
            <w:vAlign w:val="center"/>
            <w:hideMark/>
          </w:tcPr>
          <w:p w14:paraId="07FAE2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36</w:t>
            </w:r>
          </w:p>
        </w:tc>
        <w:tc>
          <w:tcPr>
            <w:tcW w:w="3910" w:type="dxa"/>
            <w:shd w:val="clear" w:color="000000" w:fill="FFFFFF"/>
            <w:vAlign w:val="center"/>
            <w:hideMark/>
          </w:tcPr>
          <w:p w14:paraId="3EE0FA7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Identified resources and capabilities required to support strategy</w:t>
            </w:r>
          </w:p>
        </w:tc>
        <w:tc>
          <w:tcPr>
            <w:tcW w:w="280" w:type="dxa"/>
            <w:shd w:val="clear" w:color="auto" w:fill="auto"/>
            <w:noWrap/>
            <w:vAlign w:val="center"/>
            <w:hideMark/>
          </w:tcPr>
          <w:p w14:paraId="57F5629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7BD375D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7A5CD48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56514E9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084045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24A4FF6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68E6CE6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652" w:type="dxa"/>
            <w:shd w:val="clear" w:color="000000" w:fill="D6DCE4"/>
            <w:noWrap/>
            <w:vAlign w:val="center"/>
            <w:hideMark/>
          </w:tcPr>
          <w:p w14:paraId="798A651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4D56263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7D04B84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472" w:type="dxa"/>
            <w:shd w:val="clear" w:color="000000" w:fill="FFFF00"/>
            <w:noWrap/>
            <w:vAlign w:val="center"/>
            <w:hideMark/>
          </w:tcPr>
          <w:p w14:paraId="391DC99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46CB8B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09AF0D2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6E26E90B" w14:textId="77777777" w:rsidTr="00C56737">
        <w:trPr>
          <w:trHeight w:val="255"/>
        </w:trPr>
        <w:tc>
          <w:tcPr>
            <w:tcW w:w="480" w:type="dxa"/>
            <w:shd w:val="clear" w:color="000000" w:fill="FFFFFF"/>
            <w:noWrap/>
            <w:vAlign w:val="center"/>
            <w:hideMark/>
          </w:tcPr>
          <w:p w14:paraId="4E20A9B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37</w:t>
            </w:r>
          </w:p>
        </w:tc>
        <w:tc>
          <w:tcPr>
            <w:tcW w:w="3910" w:type="dxa"/>
            <w:shd w:val="clear" w:color="000000" w:fill="FFFFFF"/>
            <w:vAlign w:val="center"/>
            <w:hideMark/>
          </w:tcPr>
          <w:p w14:paraId="561B6A9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Evaluation of strategic alignment</w:t>
            </w:r>
          </w:p>
        </w:tc>
        <w:tc>
          <w:tcPr>
            <w:tcW w:w="280" w:type="dxa"/>
            <w:shd w:val="clear" w:color="auto" w:fill="auto"/>
            <w:noWrap/>
            <w:vAlign w:val="center"/>
            <w:hideMark/>
          </w:tcPr>
          <w:p w14:paraId="74D4AA3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1D9238B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0D96F51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73452BB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3FAA62A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06972E1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70CFA2C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652" w:type="dxa"/>
            <w:shd w:val="clear" w:color="000000" w:fill="D6DCE4"/>
            <w:noWrap/>
            <w:vAlign w:val="center"/>
            <w:hideMark/>
          </w:tcPr>
          <w:p w14:paraId="68A5CE7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3BEEA1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4CB2645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472" w:type="dxa"/>
            <w:shd w:val="clear" w:color="000000" w:fill="FFFF00"/>
            <w:noWrap/>
            <w:vAlign w:val="center"/>
            <w:hideMark/>
          </w:tcPr>
          <w:p w14:paraId="72BFACA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3E50519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2A57320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20FA73C6" w14:textId="77777777" w:rsidTr="00C56737">
        <w:trPr>
          <w:trHeight w:val="255"/>
        </w:trPr>
        <w:tc>
          <w:tcPr>
            <w:tcW w:w="480" w:type="dxa"/>
            <w:shd w:val="clear" w:color="000000" w:fill="FFFFFF"/>
            <w:noWrap/>
            <w:vAlign w:val="center"/>
            <w:hideMark/>
          </w:tcPr>
          <w:p w14:paraId="65C7352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38</w:t>
            </w:r>
          </w:p>
        </w:tc>
        <w:tc>
          <w:tcPr>
            <w:tcW w:w="3910" w:type="dxa"/>
            <w:shd w:val="clear" w:color="000000" w:fill="FFFFFF"/>
            <w:vAlign w:val="center"/>
            <w:hideMark/>
          </w:tcPr>
          <w:p w14:paraId="264F9B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Evaluation of investment and services portfolios</w:t>
            </w:r>
          </w:p>
        </w:tc>
        <w:tc>
          <w:tcPr>
            <w:tcW w:w="280" w:type="dxa"/>
            <w:shd w:val="clear" w:color="auto" w:fill="auto"/>
            <w:noWrap/>
            <w:vAlign w:val="center"/>
            <w:hideMark/>
          </w:tcPr>
          <w:p w14:paraId="570582E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097CD9E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15BF320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62F0081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2D7365B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3F123E5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39EEDBD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652" w:type="dxa"/>
            <w:shd w:val="clear" w:color="000000" w:fill="D6DCE4"/>
            <w:noWrap/>
            <w:vAlign w:val="center"/>
            <w:hideMark/>
          </w:tcPr>
          <w:p w14:paraId="1B75669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01EE206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275EC07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472" w:type="dxa"/>
            <w:shd w:val="clear" w:color="000000" w:fill="FFFF00"/>
            <w:noWrap/>
            <w:vAlign w:val="center"/>
            <w:hideMark/>
          </w:tcPr>
          <w:p w14:paraId="7909E7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0BF878A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563A988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3FCA0B69" w14:textId="77777777" w:rsidTr="00C56737">
        <w:trPr>
          <w:trHeight w:val="255"/>
        </w:trPr>
        <w:tc>
          <w:tcPr>
            <w:tcW w:w="480" w:type="dxa"/>
            <w:shd w:val="clear" w:color="000000" w:fill="A9D08E"/>
            <w:noWrap/>
            <w:vAlign w:val="center"/>
            <w:hideMark/>
          </w:tcPr>
          <w:p w14:paraId="433828A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39</w:t>
            </w:r>
          </w:p>
        </w:tc>
        <w:tc>
          <w:tcPr>
            <w:tcW w:w="3910" w:type="dxa"/>
            <w:shd w:val="clear" w:color="000000" w:fill="A9D08E"/>
            <w:vAlign w:val="center"/>
            <w:hideMark/>
          </w:tcPr>
          <w:p w14:paraId="5C7C719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Requirements for stage-gate reviews</w:t>
            </w:r>
          </w:p>
        </w:tc>
        <w:tc>
          <w:tcPr>
            <w:tcW w:w="280" w:type="dxa"/>
            <w:shd w:val="clear" w:color="auto" w:fill="auto"/>
            <w:noWrap/>
            <w:vAlign w:val="center"/>
            <w:hideMark/>
          </w:tcPr>
          <w:p w14:paraId="2D1DE5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w:t>
            </w:r>
          </w:p>
        </w:tc>
        <w:tc>
          <w:tcPr>
            <w:tcW w:w="995" w:type="dxa"/>
            <w:shd w:val="clear" w:color="auto" w:fill="auto"/>
            <w:vAlign w:val="center"/>
            <w:hideMark/>
          </w:tcPr>
          <w:p w14:paraId="6EF0A1B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2078BEA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5337BA8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1BFCACE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478219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6519E9F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2E31A31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767" w:type="dxa"/>
            <w:shd w:val="clear" w:color="000000" w:fill="D6DCE4"/>
            <w:noWrap/>
            <w:vAlign w:val="center"/>
            <w:hideMark/>
          </w:tcPr>
          <w:p w14:paraId="414A749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6067600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78DCD07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4A35C40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0BAE7BA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40B32DC" w14:textId="77777777" w:rsidTr="00C56737">
        <w:trPr>
          <w:trHeight w:val="255"/>
        </w:trPr>
        <w:tc>
          <w:tcPr>
            <w:tcW w:w="480" w:type="dxa"/>
            <w:shd w:val="clear" w:color="000000" w:fill="FFFFFF"/>
            <w:noWrap/>
            <w:vAlign w:val="center"/>
            <w:hideMark/>
          </w:tcPr>
          <w:p w14:paraId="452483E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40</w:t>
            </w:r>
          </w:p>
        </w:tc>
        <w:tc>
          <w:tcPr>
            <w:tcW w:w="3910" w:type="dxa"/>
            <w:shd w:val="clear" w:color="000000" w:fill="FFFFFF"/>
            <w:vAlign w:val="center"/>
            <w:hideMark/>
          </w:tcPr>
          <w:p w14:paraId="24E4F6B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Actions to improve value delivery</w:t>
            </w:r>
          </w:p>
        </w:tc>
        <w:tc>
          <w:tcPr>
            <w:tcW w:w="280" w:type="dxa"/>
            <w:shd w:val="clear" w:color="auto" w:fill="auto"/>
            <w:noWrap/>
            <w:vAlign w:val="center"/>
            <w:hideMark/>
          </w:tcPr>
          <w:p w14:paraId="7ED943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7005964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2163844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01D75BB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3DE6118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3E3A918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67ECD43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0395E70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28CB942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929" w:type="dxa"/>
            <w:shd w:val="clear" w:color="000000" w:fill="D6DCE4"/>
            <w:noWrap/>
            <w:vAlign w:val="center"/>
            <w:hideMark/>
          </w:tcPr>
          <w:p w14:paraId="24FED1D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5EC4F7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4561680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44DFAD6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3F9E018B" w14:textId="77777777" w:rsidTr="00C56737">
        <w:trPr>
          <w:trHeight w:val="255"/>
        </w:trPr>
        <w:tc>
          <w:tcPr>
            <w:tcW w:w="480" w:type="dxa"/>
            <w:shd w:val="clear" w:color="000000" w:fill="FFFFFF"/>
            <w:noWrap/>
            <w:vAlign w:val="center"/>
            <w:hideMark/>
          </w:tcPr>
          <w:p w14:paraId="4CAB0CD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41</w:t>
            </w:r>
          </w:p>
        </w:tc>
        <w:tc>
          <w:tcPr>
            <w:tcW w:w="3910" w:type="dxa"/>
            <w:shd w:val="clear" w:color="000000" w:fill="FFFFFF"/>
            <w:vAlign w:val="center"/>
            <w:hideMark/>
          </w:tcPr>
          <w:p w14:paraId="59189C0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Feedback on portfolio and program performance</w:t>
            </w:r>
          </w:p>
        </w:tc>
        <w:tc>
          <w:tcPr>
            <w:tcW w:w="280" w:type="dxa"/>
            <w:shd w:val="clear" w:color="auto" w:fill="auto"/>
            <w:noWrap/>
            <w:vAlign w:val="center"/>
            <w:hideMark/>
          </w:tcPr>
          <w:p w14:paraId="20267F0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7FE4ECA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0C571E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0527D34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63E1116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4C646DC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43D39C2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281AFEA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2EA82F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524AC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472" w:type="dxa"/>
            <w:shd w:val="clear" w:color="000000" w:fill="70AD47"/>
            <w:noWrap/>
            <w:vAlign w:val="center"/>
            <w:hideMark/>
          </w:tcPr>
          <w:p w14:paraId="6AE8545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6DF9937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1A9ACC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0222F9AA" w14:textId="77777777" w:rsidTr="00C56737">
        <w:trPr>
          <w:trHeight w:val="255"/>
        </w:trPr>
        <w:tc>
          <w:tcPr>
            <w:tcW w:w="480" w:type="dxa"/>
            <w:shd w:val="clear" w:color="000000" w:fill="A9D08E"/>
            <w:noWrap/>
            <w:vAlign w:val="center"/>
            <w:hideMark/>
          </w:tcPr>
          <w:p w14:paraId="2BAE067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42</w:t>
            </w:r>
          </w:p>
        </w:tc>
        <w:tc>
          <w:tcPr>
            <w:tcW w:w="3910" w:type="dxa"/>
            <w:shd w:val="clear" w:color="000000" w:fill="A9D08E"/>
            <w:vAlign w:val="center"/>
            <w:hideMark/>
          </w:tcPr>
          <w:p w14:paraId="4E3ADC5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Emerging risk issues and factors</w:t>
            </w:r>
          </w:p>
        </w:tc>
        <w:tc>
          <w:tcPr>
            <w:tcW w:w="280" w:type="dxa"/>
            <w:shd w:val="clear" w:color="auto" w:fill="auto"/>
            <w:noWrap/>
            <w:vAlign w:val="center"/>
            <w:hideMark/>
          </w:tcPr>
          <w:p w14:paraId="43230E8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w:t>
            </w:r>
          </w:p>
        </w:tc>
        <w:tc>
          <w:tcPr>
            <w:tcW w:w="995" w:type="dxa"/>
            <w:shd w:val="clear" w:color="auto" w:fill="auto"/>
            <w:vAlign w:val="center"/>
            <w:hideMark/>
          </w:tcPr>
          <w:p w14:paraId="32F0471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46E47AE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464C9EB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0471399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06BBBD7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6B601CA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652" w:type="dxa"/>
            <w:shd w:val="clear" w:color="000000" w:fill="D6DCE4"/>
            <w:noWrap/>
            <w:vAlign w:val="center"/>
            <w:hideMark/>
          </w:tcPr>
          <w:p w14:paraId="613802C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3CCEF9C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6B51730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2EB6B9A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32FDC52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4C80BEC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EBF5D84" w14:textId="77777777" w:rsidTr="00C56737">
        <w:trPr>
          <w:trHeight w:val="255"/>
        </w:trPr>
        <w:tc>
          <w:tcPr>
            <w:tcW w:w="480" w:type="dxa"/>
            <w:shd w:val="clear" w:color="000000" w:fill="FFFFFF"/>
            <w:noWrap/>
            <w:vAlign w:val="center"/>
            <w:hideMark/>
          </w:tcPr>
          <w:p w14:paraId="12D0926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43</w:t>
            </w:r>
          </w:p>
        </w:tc>
        <w:tc>
          <w:tcPr>
            <w:tcW w:w="3910" w:type="dxa"/>
            <w:shd w:val="clear" w:color="000000" w:fill="FFFFFF"/>
            <w:vAlign w:val="center"/>
            <w:hideMark/>
          </w:tcPr>
          <w:p w14:paraId="668E24C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Enterprise risk management (ERM) principles</w:t>
            </w:r>
          </w:p>
        </w:tc>
        <w:tc>
          <w:tcPr>
            <w:tcW w:w="280" w:type="dxa"/>
            <w:shd w:val="clear" w:color="auto" w:fill="auto"/>
            <w:noWrap/>
            <w:vAlign w:val="center"/>
            <w:hideMark/>
          </w:tcPr>
          <w:p w14:paraId="76250A0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05FFA44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3B4E5F4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48A93F8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1FF785C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75D4B5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7C50743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3588032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767" w:type="dxa"/>
            <w:shd w:val="clear" w:color="000000" w:fill="D6DCE4"/>
            <w:noWrap/>
            <w:vAlign w:val="center"/>
            <w:hideMark/>
          </w:tcPr>
          <w:p w14:paraId="3DECE1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4381B3C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61DB3BF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3297C4E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036898E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55AB809" w14:textId="77777777" w:rsidTr="00C56737">
        <w:trPr>
          <w:trHeight w:val="255"/>
        </w:trPr>
        <w:tc>
          <w:tcPr>
            <w:tcW w:w="480" w:type="dxa"/>
            <w:shd w:val="clear" w:color="000000" w:fill="FFFFFF"/>
            <w:noWrap/>
            <w:vAlign w:val="center"/>
            <w:hideMark/>
          </w:tcPr>
          <w:p w14:paraId="6E736B3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44</w:t>
            </w:r>
          </w:p>
        </w:tc>
        <w:tc>
          <w:tcPr>
            <w:tcW w:w="3910" w:type="dxa"/>
            <w:shd w:val="clear" w:color="000000" w:fill="FFFFFF"/>
            <w:vAlign w:val="center"/>
            <w:hideMark/>
          </w:tcPr>
          <w:p w14:paraId="5CE5FEA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Aggregated risk profile, including status of risk management actions</w:t>
            </w:r>
          </w:p>
        </w:tc>
        <w:tc>
          <w:tcPr>
            <w:tcW w:w="280" w:type="dxa"/>
            <w:shd w:val="clear" w:color="auto" w:fill="auto"/>
            <w:noWrap/>
            <w:vAlign w:val="center"/>
            <w:hideMark/>
          </w:tcPr>
          <w:p w14:paraId="7E66C09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46F7CAC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2B2B37C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3408381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3A5DBAC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38D3430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1BBE479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6DCE527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1F3E5F7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929" w:type="dxa"/>
            <w:shd w:val="clear" w:color="000000" w:fill="D6DCE4"/>
            <w:noWrap/>
            <w:vAlign w:val="center"/>
            <w:hideMark/>
          </w:tcPr>
          <w:p w14:paraId="36E0658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472" w:type="dxa"/>
            <w:shd w:val="clear" w:color="000000" w:fill="FF0000"/>
            <w:noWrap/>
            <w:vAlign w:val="center"/>
            <w:hideMark/>
          </w:tcPr>
          <w:p w14:paraId="59A34F4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2</w:t>
            </w:r>
          </w:p>
        </w:tc>
        <w:tc>
          <w:tcPr>
            <w:tcW w:w="1003" w:type="dxa"/>
            <w:shd w:val="clear" w:color="000000" w:fill="F8CBAD"/>
            <w:vAlign w:val="center"/>
            <w:hideMark/>
          </w:tcPr>
          <w:p w14:paraId="6924ED7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48B7FC6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40%</w:t>
            </w:r>
          </w:p>
        </w:tc>
      </w:tr>
      <w:tr w:rsidR="00C56737" w:rsidRPr="00C56737" w14:paraId="681D66AF" w14:textId="77777777" w:rsidTr="00C56737">
        <w:trPr>
          <w:trHeight w:val="255"/>
        </w:trPr>
        <w:tc>
          <w:tcPr>
            <w:tcW w:w="480" w:type="dxa"/>
            <w:shd w:val="clear" w:color="000000" w:fill="FFFFFF"/>
            <w:noWrap/>
            <w:vAlign w:val="center"/>
            <w:hideMark/>
          </w:tcPr>
          <w:p w14:paraId="1453091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45</w:t>
            </w:r>
          </w:p>
        </w:tc>
        <w:tc>
          <w:tcPr>
            <w:tcW w:w="3910" w:type="dxa"/>
            <w:shd w:val="clear" w:color="000000" w:fill="FFFFFF"/>
            <w:vAlign w:val="center"/>
            <w:hideMark/>
          </w:tcPr>
          <w:p w14:paraId="5090665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Enterprise risk management (ERM) profiles and mitigation plans</w:t>
            </w:r>
          </w:p>
        </w:tc>
        <w:tc>
          <w:tcPr>
            <w:tcW w:w="280" w:type="dxa"/>
            <w:shd w:val="clear" w:color="auto" w:fill="auto"/>
            <w:noWrap/>
            <w:vAlign w:val="center"/>
            <w:hideMark/>
          </w:tcPr>
          <w:p w14:paraId="4EB2C6C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3B81DDA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0021ED9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30A4BF7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3B5199D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44868C2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78BC0B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61183B8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767" w:type="dxa"/>
            <w:shd w:val="clear" w:color="000000" w:fill="D6DCE4"/>
            <w:noWrap/>
            <w:vAlign w:val="center"/>
            <w:hideMark/>
          </w:tcPr>
          <w:p w14:paraId="79B0312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775AD58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72BF4C2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2FDA3EF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62AED48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0EC1FFB9" w14:textId="77777777" w:rsidTr="00C56737">
        <w:trPr>
          <w:trHeight w:val="255"/>
        </w:trPr>
        <w:tc>
          <w:tcPr>
            <w:tcW w:w="480" w:type="dxa"/>
            <w:shd w:val="clear" w:color="000000" w:fill="A9D08E"/>
            <w:noWrap/>
            <w:vAlign w:val="center"/>
            <w:hideMark/>
          </w:tcPr>
          <w:p w14:paraId="4AF947A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46</w:t>
            </w:r>
          </w:p>
        </w:tc>
        <w:tc>
          <w:tcPr>
            <w:tcW w:w="3910" w:type="dxa"/>
            <w:shd w:val="clear" w:color="000000" w:fill="A9D08E"/>
            <w:vAlign w:val="center"/>
            <w:hideMark/>
          </w:tcPr>
          <w:p w14:paraId="583DAF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Risk analysis results</w:t>
            </w:r>
          </w:p>
        </w:tc>
        <w:tc>
          <w:tcPr>
            <w:tcW w:w="280" w:type="dxa"/>
            <w:shd w:val="clear" w:color="auto" w:fill="auto"/>
            <w:noWrap/>
            <w:vAlign w:val="center"/>
            <w:hideMark/>
          </w:tcPr>
          <w:p w14:paraId="5177FF5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w:t>
            </w:r>
          </w:p>
        </w:tc>
        <w:tc>
          <w:tcPr>
            <w:tcW w:w="995" w:type="dxa"/>
            <w:shd w:val="clear" w:color="auto" w:fill="auto"/>
            <w:vAlign w:val="center"/>
            <w:hideMark/>
          </w:tcPr>
          <w:p w14:paraId="038B7A1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18D74A6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164F066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70B63A5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19EA1FE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45D6052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3E8FAFA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2951C23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409505E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300F8EA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5FDFCD6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27D76EC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08F1B97D" w14:textId="77777777" w:rsidTr="00C56737">
        <w:trPr>
          <w:trHeight w:val="255"/>
        </w:trPr>
        <w:tc>
          <w:tcPr>
            <w:tcW w:w="480" w:type="dxa"/>
            <w:shd w:val="clear" w:color="000000" w:fill="FFFFFF"/>
            <w:noWrap/>
            <w:vAlign w:val="center"/>
            <w:hideMark/>
          </w:tcPr>
          <w:p w14:paraId="437C027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47</w:t>
            </w:r>
          </w:p>
        </w:tc>
        <w:tc>
          <w:tcPr>
            <w:tcW w:w="3910" w:type="dxa"/>
            <w:shd w:val="clear" w:color="000000" w:fill="FFFFFF"/>
            <w:vAlign w:val="center"/>
            <w:hideMark/>
          </w:tcPr>
          <w:p w14:paraId="0778950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Risk analysis and risk profile reports for stakeholders</w:t>
            </w:r>
          </w:p>
        </w:tc>
        <w:tc>
          <w:tcPr>
            <w:tcW w:w="280" w:type="dxa"/>
            <w:shd w:val="clear" w:color="auto" w:fill="auto"/>
            <w:noWrap/>
            <w:vAlign w:val="center"/>
            <w:hideMark/>
          </w:tcPr>
          <w:p w14:paraId="37F943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70A01E5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49B874A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445EFE8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0B58850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5DF3FF2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74919D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114B28D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0B69E8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7909DC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0A6998C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10176D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6DC7115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2C11B7F0" w14:textId="77777777" w:rsidTr="00C56737">
        <w:trPr>
          <w:trHeight w:val="255"/>
        </w:trPr>
        <w:tc>
          <w:tcPr>
            <w:tcW w:w="480" w:type="dxa"/>
            <w:shd w:val="clear" w:color="000000" w:fill="FFFFFF"/>
            <w:noWrap/>
            <w:vAlign w:val="center"/>
            <w:hideMark/>
          </w:tcPr>
          <w:p w14:paraId="3C65936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48</w:t>
            </w:r>
          </w:p>
        </w:tc>
        <w:tc>
          <w:tcPr>
            <w:tcW w:w="3910" w:type="dxa"/>
            <w:shd w:val="clear" w:color="000000" w:fill="FFFFFF"/>
            <w:vAlign w:val="center"/>
            <w:hideMark/>
          </w:tcPr>
          <w:p w14:paraId="1FD4A99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Results of third-party risk assessments</w:t>
            </w:r>
          </w:p>
        </w:tc>
        <w:tc>
          <w:tcPr>
            <w:tcW w:w="280" w:type="dxa"/>
            <w:shd w:val="clear" w:color="auto" w:fill="auto"/>
            <w:noWrap/>
            <w:vAlign w:val="center"/>
            <w:hideMark/>
          </w:tcPr>
          <w:p w14:paraId="3C7AD12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4EB6DA6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57E65AD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3B37E2B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6A02576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76E110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3353E2A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342B6A0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008E5E7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70CAB4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2B71DDD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4A59016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5398E8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D734435" w14:textId="77777777" w:rsidTr="00C56737">
        <w:trPr>
          <w:trHeight w:val="255"/>
        </w:trPr>
        <w:tc>
          <w:tcPr>
            <w:tcW w:w="480" w:type="dxa"/>
            <w:shd w:val="clear" w:color="000000" w:fill="FFFFFF"/>
            <w:noWrap/>
            <w:vAlign w:val="center"/>
            <w:hideMark/>
          </w:tcPr>
          <w:p w14:paraId="3ECA34E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49</w:t>
            </w:r>
          </w:p>
        </w:tc>
        <w:tc>
          <w:tcPr>
            <w:tcW w:w="3910" w:type="dxa"/>
            <w:shd w:val="clear" w:color="000000" w:fill="FFFFFF"/>
            <w:vAlign w:val="center"/>
            <w:hideMark/>
          </w:tcPr>
          <w:p w14:paraId="6E5B422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Opportunities for acceptance of greater risk</w:t>
            </w:r>
          </w:p>
        </w:tc>
        <w:tc>
          <w:tcPr>
            <w:tcW w:w="280" w:type="dxa"/>
            <w:shd w:val="clear" w:color="auto" w:fill="auto"/>
            <w:noWrap/>
            <w:vAlign w:val="center"/>
            <w:hideMark/>
          </w:tcPr>
          <w:p w14:paraId="3E06992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1E2E611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744F3C6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1ECCB96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2EF1354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7695B99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68FE873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652" w:type="dxa"/>
            <w:shd w:val="clear" w:color="000000" w:fill="D6DCE4"/>
            <w:noWrap/>
            <w:vAlign w:val="center"/>
            <w:hideMark/>
          </w:tcPr>
          <w:p w14:paraId="07951D7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7E98670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37B62B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472" w:type="dxa"/>
            <w:shd w:val="clear" w:color="000000" w:fill="FFFF00"/>
            <w:noWrap/>
            <w:vAlign w:val="center"/>
            <w:hideMark/>
          </w:tcPr>
          <w:p w14:paraId="62A1368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5DB5B2F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1E9F39A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58BD3C08" w14:textId="77777777" w:rsidTr="00C56737">
        <w:trPr>
          <w:trHeight w:val="255"/>
        </w:trPr>
        <w:tc>
          <w:tcPr>
            <w:tcW w:w="480" w:type="dxa"/>
            <w:shd w:val="clear" w:color="000000" w:fill="FFFFFF"/>
            <w:noWrap/>
            <w:vAlign w:val="center"/>
            <w:hideMark/>
          </w:tcPr>
          <w:p w14:paraId="2A0C9A3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50</w:t>
            </w:r>
          </w:p>
        </w:tc>
        <w:tc>
          <w:tcPr>
            <w:tcW w:w="3910" w:type="dxa"/>
            <w:shd w:val="clear" w:color="000000" w:fill="FFFFFF"/>
            <w:vAlign w:val="center"/>
            <w:hideMark/>
          </w:tcPr>
          <w:p w14:paraId="40851E9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Risk appetite guidance</w:t>
            </w:r>
          </w:p>
        </w:tc>
        <w:tc>
          <w:tcPr>
            <w:tcW w:w="280" w:type="dxa"/>
            <w:shd w:val="clear" w:color="auto" w:fill="auto"/>
            <w:noWrap/>
            <w:vAlign w:val="center"/>
            <w:hideMark/>
          </w:tcPr>
          <w:p w14:paraId="4DF2CB2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7667E07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0A1B44D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532DDA6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2121896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1E9FF26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7924358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7D269ED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767" w:type="dxa"/>
            <w:shd w:val="clear" w:color="000000" w:fill="D6DCE4"/>
            <w:noWrap/>
            <w:vAlign w:val="center"/>
            <w:hideMark/>
          </w:tcPr>
          <w:p w14:paraId="4DA952E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73DD96C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16EDE84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3FF47DB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218725A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4C8D5449" w14:textId="77777777" w:rsidTr="00C56737">
        <w:trPr>
          <w:trHeight w:val="255"/>
        </w:trPr>
        <w:tc>
          <w:tcPr>
            <w:tcW w:w="480" w:type="dxa"/>
            <w:shd w:val="clear" w:color="000000" w:fill="FFFFFF"/>
            <w:noWrap/>
            <w:vAlign w:val="center"/>
            <w:hideMark/>
          </w:tcPr>
          <w:p w14:paraId="6EB4E51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51</w:t>
            </w:r>
          </w:p>
        </w:tc>
        <w:tc>
          <w:tcPr>
            <w:tcW w:w="3910" w:type="dxa"/>
            <w:shd w:val="clear" w:color="000000" w:fill="FFFFFF"/>
            <w:vAlign w:val="center"/>
            <w:hideMark/>
          </w:tcPr>
          <w:p w14:paraId="2CC633B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Evaluation of risk management activities</w:t>
            </w:r>
          </w:p>
        </w:tc>
        <w:tc>
          <w:tcPr>
            <w:tcW w:w="280" w:type="dxa"/>
            <w:shd w:val="clear" w:color="auto" w:fill="auto"/>
            <w:noWrap/>
            <w:vAlign w:val="center"/>
            <w:hideMark/>
          </w:tcPr>
          <w:p w14:paraId="4ABAFDD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02AA40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587F556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27FC519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15D32AC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611C159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0D7515C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5FD1378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784D08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3E43160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472" w:type="dxa"/>
            <w:shd w:val="clear" w:color="000000" w:fill="70AD47"/>
            <w:noWrap/>
            <w:vAlign w:val="center"/>
            <w:hideMark/>
          </w:tcPr>
          <w:p w14:paraId="2EB212F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008D8B0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511C7A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70F9480D" w14:textId="77777777" w:rsidTr="00C56737">
        <w:trPr>
          <w:trHeight w:val="255"/>
        </w:trPr>
        <w:tc>
          <w:tcPr>
            <w:tcW w:w="480" w:type="dxa"/>
            <w:shd w:val="clear" w:color="000000" w:fill="FFFFFF"/>
            <w:noWrap/>
            <w:vAlign w:val="center"/>
            <w:hideMark/>
          </w:tcPr>
          <w:p w14:paraId="64E7582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52</w:t>
            </w:r>
          </w:p>
        </w:tc>
        <w:tc>
          <w:tcPr>
            <w:tcW w:w="3910" w:type="dxa"/>
            <w:shd w:val="clear" w:color="000000" w:fill="FFFFFF"/>
            <w:vAlign w:val="center"/>
            <w:hideMark/>
          </w:tcPr>
          <w:p w14:paraId="1A2E802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Approved risk tolerance levels</w:t>
            </w:r>
          </w:p>
        </w:tc>
        <w:tc>
          <w:tcPr>
            <w:tcW w:w="280" w:type="dxa"/>
            <w:shd w:val="clear" w:color="auto" w:fill="auto"/>
            <w:noWrap/>
            <w:vAlign w:val="center"/>
            <w:hideMark/>
          </w:tcPr>
          <w:p w14:paraId="04F72EC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19CAADF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0F80812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4FE74CE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777EC37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551D7BE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672643D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4206B9B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767" w:type="dxa"/>
            <w:shd w:val="clear" w:color="000000" w:fill="D6DCE4"/>
            <w:noWrap/>
            <w:vAlign w:val="center"/>
            <w:hideMark/>
          </w:tcPr>
          <w:p w14:paraId="1710B84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7779E76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1AAF97C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5D5DEDF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777F7D5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0EE7677D" w14:textId="77777777" w:rsidTr="00C56737">
        <w:trPr>
          <w:trHeight w:val="255"/>
        </w:trPr>
        <w:tc>
          <w:tcPr>
            <w:tcW w:w="480" w:type="dxa"/>
            <w:shd w:val="clear" w:color="000000" w:fill="FFFFFF"/>
            <w:noWrap/>
            <w:vAlign w:val="center"/>
            <w:hideMark/>
          </w:tcPr>
          <w:p w14:paraId="264E10E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53</w:t>
            </w:r>
          </w:p>
        </w:tc>
        <w:tc>
          <w:tcPr>
            <w:tcW w:w="3910" w:type="dxa"/>
            <w:shd w:val="clear" w:color="000000" w:fill="FFFFFF"/>
            <w:vAlign w:val="center"/>
            <w:hideMark/>
          </w:tcPr>
          <w:p w14:paraId="1BEA992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Approved process for measuring risk management</w:t>
            </w:r>
          </w:p>
        </w:tc>
        <w:tc>
          <w:tcPr>
            <w:tcW w:w="280" w:type="dxa"/>
            <w:shd w:val="clear" w:color="auto" w:fill="auto"/>
            <w:noWrap/>
            <w:vAlign w:val="center"/>
            <w:hideMark/>
          </w:tcPr>
          <w:p w14:paraId="12031C7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1C6858F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6A2939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4AA0C05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13FEE79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3507C24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05B60F7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347D107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767" w:type="dxa"/>
            <w:shd w:val="clear" w:color="000000" w:fill="D6DCE4"/>
            <w:noWrap/>
            <w:vAlign w:val="center"/>
            <w:hideMark/>
          </w:tcPr>
          <w:p w14:paraId="3CEE82B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929" w:type="dxa"/>
            <w:shd w:val="clear" w:color="000000" w:fill="D6DCE4"/>
            <w:noWrap/>
            <w:vAlign w:val="center"/>
            <w:hideMark/>
          </w:tcPr>
          <w:p w14:paraId="2518C71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429ADB2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49D6558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3E9C57F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5039B122" w14:textId="77777777" w:rsidTr="00C56737">
        <w:trPr>
          <w:trHeight w:val="255"/>
        </w:trPr>
        <w:tc>
          <w:tcPr>
            <w:tcW w:w="480" w:type="dxa"/>
            <w:shd w:val="clear" w:color="000000" w:fill="FFFFFF"/>
            <w:noWrap/>
            <w:vAlign w:val="center"/>
            <w:hideMark/>
          </w:tcPr>
          <w:p w14:paraId="5E79E83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54</w:t>
            </w:r>
          </w:p>
        </w:tc>
        <w:tc>
          <w:tcPr>
            <w:tcW w:w="3910" w:type="dxa"/>
            <w:shd w:val="clear" w:color="000000" w:fill="FFFFFF"/>
            <w:vAlign w:val="center"/>
            <w:hideMark/>
          </w:tcPr>
          <w:p w14:paraId="05CDB27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Key objectives to be monitored for risk management</w:t>
            </w:r>
          </w:p>
        </w:tc>
        <w:tc>
          <w:tcPr>
            <w:tcW w:w="280" w:type="dxa"/>
            <w:shd w:val="clear" w:color="auto" w:fill="auto"/>
            <w:noWrap/>
            <w:vAlign w:val="center"/>
            <w:hideMark/>
          </w:tcPr>
          <w:p w14:paraId="3F4338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10D0ABC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305A358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0FC34B4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522C1CE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015E1E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12BEC79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3BFB0F5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767" w:type="dxa"/>
            <w:shd w:val="clear" w:color="000000" w:fill="D6DCE4"/>
            <w:noWrap/>
            <w:vAlign w:val="center"/>
            <w:hideMark/>
          </w:tcPr>
          <w:p w14:paraId="2987959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929" w:type="dxa"/>
            <w:shd w:val="clear" w:color="000000" w:fill="D6DCE4"/>
            <w:noWrap/>
            <w:vAlign w:val="center"/>
            <w:hideMark/>
          </w:tcPr>
          <w:p w14:paraId="5183A1D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41E5A8D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228A851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371F8B8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22A08521" w14:textId="77777777" w:rsidTr="00C56737">
        <w:trPr>
          <w:trHeight w:val="255"/>
        </w:trPr>
        <w:tc>
          <w:tcPr>
            <w:tcW w:w="480" w:type="dxa"/>
            <w:shd w:val="clear" w:color="000000" w:fill="FFFFFF"/>
            <w:noWrap/>
            <w:vAlign w:val="center"/>
            <w:hideMark/>
          </w:tcPr>
          <w:p w14:paraId="504D4A6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55</w:t>
            </w:r>
          </w:p>
        </w:tc>
        <w:tc>
          <w:tcPr>
            <w:tcW w:w="3910" w:type="dxa"/>
            <w:shd w:val="clear" w:color="000000" w:fill="FFFFFF"/>
            <w:vAlign w:val="center"/>
            <w:hideMark/>
          </w:tcPr>
          <w:p w14:paraId="402D391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Risk management policies</w:t>
            </w:r>
          </w:p>
        </w:tc>
        <w:tc>
          <w:tcPr>
            <w:tcW w:w="280" w:type="dxa"/>
            <w:shd w:val="clear" w:color="auto" w:fill="auto"/>
            <w:noWrap/>
            <w:vAlign w:val="center"/>
            <w:hideMark/>
          </w:tcPr>
          <w:p w14:paraId="21F362F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1127BDF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3CAFCE0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3F80A55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45539B3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3375CDE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49687FE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490016E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767" w:type="dxa"/>
            <w:shd w:val="clear" w:color="000000" w:fill="D6DCE4"/>
            <w:noWrap/>
            <w:vAlign w:val="center"/>
            <w:hideMark/>
          </w:tcPr>
          <w:p w14:paraId="237BDFD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6247AE0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72EBF15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6097B78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3767C29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6890812" w14:textId="77777777" w:rsidTr="00C56737">
        <w:trPr>
          <w:trHeight w:val="255"/>
        </w:trPr>
        <w:tc>
          <w:tcPr>
            <w:tcW w:w="480" w:type="dxa"/>
            <w:shd w:val="clear" w:color="000000" w:fill="FFFFFF"/>
            <w:noWrap/>
            <w:vAlign w:val="center"/>
            <w:hideMark/>
          </w:tcPr>
          <w:p w14:paraId="032002E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56</w:t>
            </w:r>
          </w:p>
        </w:tc>
        <w:tc>
          <w:tcPr>
            <w:tcW w:w="3910" w:type="dxa"/>
            <w:shd w:val="clear" w:color="000000" w:fill="FFFFFF"/>
            <w:vAlign w:val="center"/>
            <w:hideMark/>
          </w:tcPr>
          <w:p w14:paraId="7E1C2F6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Remedial actions to address risk management deviations</w:t>
            </w:r>
          </w:p>
        </w:tc>
        <w:tc>
          <w:tcPr>
            <w:tcW w:w="280" w:type="dxa"/>
            <w:shd w:val="clear" w:color="auto" w:fill="auto"/>
            <w:noWrap/>
            <w:vAlign w:val="center"/>
            <w:hideMark/>
          </w:tcPr>
          <w:p w14:paraId="1A54952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39EB1C9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0BB4866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2794E4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15FE91C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622A85A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14576BF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78D65B1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52726D0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929" w:type="dxa"/>
            <w:shd w:val="clear" w:color="000000" w:fill="D6DCE4"/>
            <w:noWrap/>
            <w:vAlign w:val="center"/>
            <w:hideMark/>
          </w:tcPr>
          <w:p w14:paraId="0ACEA64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34CEA73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76F2FC7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62CC669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5E6C7F15" w14:textId="77777777" w:rsidTr="00C56737">
        <w:trPr>
          <w:trHeight w:val="255"/>
        </w:trPr>
        <w:tc>
          <w:tcPr>
            <w:tcW w:w="480" w:type="dxa"/>
            <w:shd w:val="clear" w:color="000000" w:fill="FFFFFF"/>
            <w:noWrap/>
            <w:vAlign w:val="center"/>
            <w:hideMark/>
          </w:tcPr>
          <w:p w14:paraId="62078A7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57</w:t>
            </w:r>
          </w:p>
        </w:tc>
        <w:tc>
          <w:tcPr>
            <w:tcW w:w="3910" w:type="dxa"/>
            <w:shd w:val="clear" w:color="000000" w:fill="FFFFFF"/>
            <w:vAlign w:val="center"/>
            <w:hideMark/>
          </w:tcPr>
          <w:p w14:paraId="565878C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Risk management issues for the board</w:t>
            </w:r>
          </w:p>
        </w:tc>
        <w:tc>
          <w:tcPr>
            <w:tcW w:w="280" w:type="dxa"/>
            <w:shd w:val="clear" w:color="auto" w:fill="auto"/>
            <w:noWrap/>
            <w:vAlign w:val="center"/>
            <w:hideMark/>
          </w:tcPr>
          <w:p w14:paraId="1B1D8FC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5821B54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203586B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407F083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646AA34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6A06ECA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26B29BC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2D0F604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41EDAA6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55B03CF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651FA4F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0A09BF9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33083F2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43695897" w14:textId="77777777" w:rsidTr="00C56737">
        <w:trPr>
          <w:trHeight w:val="255"/>
        </w:trPr>
        <w:tc>
          <w:tcPr>
            <w:tcW w:w="480" w:type="dxa"/>
            <w:shd w:val="clear" w:color="000000" w:fill="FFFFFF"/>
            <w:noWrap/>
            <w:vAlign w:val="center"/>
            <w:hideMark/>
          </w:tcPr>
          <w:p w14:paraId="03542B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58</w:t>
            </w:r>
          </w:p>
        </w:tc>
        <w:tc>
          <w:tcPr>
            <w:tcW w:w="3910" w:type="dxa"/>
            <w:shd w:val="clear" w:color="000000" w:fill="FFFFFF"/>
            <w:vAlign w:val="center"/>
            <w:hideMark/>
          </w:tcPr>
          <w:p w14:paraId="4F1137E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Gaps and changes required to realize target capability</w:t>
            </w:r>
          </w:p>
        </w:tc>
        <w:tc>
          <w:tcPr>
            <w:tcW w:w="280" w:type="dxa"/>
            <w:shd w:val="clear" w:color="auto" w:fill="auto"/>
            <w:noWrap/>
            <w:vAlign w:val="center"/>
            <w:hideMark/>
          </w:tcPr>
          <w:p w14:paraId="62996E1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332107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15194FE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071A146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0E8D669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61A5B16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2C92C01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652" w:type="dxa"/>
            <w:shd w:val="clear" w:color="000000" w:fill="D6DCE4"/>
            <w:noWrap/>
            <w:vAlign w:val="center"/>
            <w:hideMark/>
          </w:tcPr>
          <w:p w14:paraId="14E0E5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12C8152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20E157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472" w:type="dxa"/>
            <w:shd w:val="clear" w:color="000000" w:fill="FF0000"/>
            <w:noWrap/>
            <w:vAlign w:val="center"/>
            <w:hideMark/>
          </w:tcPr>
          <w:p w14:paraId="7FE223F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2</w:t>
            </w:r>
          </w:p>
        </w:tc>
        <w:tc>
          <w:tcPr>
            <w:tcW w:w="1003" w:type="dxa"/>
            <w:shd w:val="clear" w:color="000000" w:fill="F8CBAD"/>
            <w:vAlign w:val="center"/>
            <w:hideMark/>
          </w:tcPr>
          <w:p w14:paraId="218B958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02F31B4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40%</w:t>
            </w:r>
          </w:p>
        </w:tc>
      </w:tr>
      <w:tr w:rsidR="00C56737" w:rsidRPr="00C56737" w14:paraId="0DDEE849" w14:textId="77777777" w:rsidTr="00C56737">
        <w:trPr>
          <w:trHeight w:val="255"/>
        </w:trPr>
        <w:tc>
          <w:tcPr>
            <w:tcW w:w="480" w:type="dxa"/>
            <w:shd w:val="clear" w:color="000000" w:fill="FFFFFF"/>
            <w:noWrap/>
            <w:vAlign w:val="center"/>
            <w:hideMark/>
          </w:tcPr>
          <w:p w14:paraId="3B7879B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59</w:t>
            </w:r>
          </w:p>
        </w:tc>
        <w:tc>
          <w:tcPr>
            <w:tcW w:w="3910" w:type="dxa"/>
            <w:shd w:val="clear" w:color="000000" w:fill="FFFFFF"/>
            <w:vAlign w:val="center"/>
            <w:hideMark/>
          </w:tcPr>
          <w:p w14:paraId="17E3332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Skill development plans</w:t>
            </w:r>
          </w:p>
        </w:tc>
        <w:tc>
          <w:tcPr>
            <w:tcW w:w="280" w:type="dxa"/>
            <w:shd w:val="clear" w:color="auto" w:fill="auto"/>
            <w:noWrap/>
            <w:vAlign w:val="center"/>
            <w:hideMark/>
          </w:tcPr>
          <w:p w14:paraId="022F5EA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6E4EF89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66A2D2F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0F83CA5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4DF6FE9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1791D88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512C553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2CCDCBD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767" w:type="dxa"/>
            <w:shd w:val="clear" w:color="000000" w:fill="D6DCE4"/>
            <w:noWrap/>
            <w:vAlign w:val="center"/>
            <w:hideMark/>
          </w:tcPr>
          <w:p w14:paraId="6E12AF8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929" w:type="dxa"/>
            <w:shd w:val="clear" w:color="000000" w:fill="D6DCE4"/>
            <w:noWrap/>
            <w:vAlign w:val="center"/>
            <w:hideMark/>
          </w:tcPr>
          <w:p w14:paraId="5DE5C55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FFFF00"/>
            <w:noWrap/>
            <w:vAlign w:val="center"/>
            <w:hideMark/>
          </w:tcPr>
          <w:p w14:paraId="52D12E1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3DE30A9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4A1B217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00AFB54A" w14:textId="77777777" w:rsidTr="00C56737">
        <w:trPr>
          <w:trHeight w:val="255"/>
        </w:trPr>
        <w:tc>
          <w:tcPr>
            <w:tcW w:w="480" w:type="dxa"/>
            <w:shd w:val="clear" w:color="000000" w:fill="A9D08E"/>
            <w:noWrap/>
            <w:vAlign w:val="center"/>
            <w:hideMark/>
          </w:tcPr>
          <w:p w14:paraId="3B81F22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60</w:t>
            </w:r>
          </w:p>
        </w:tc>
        <w:tc>
          <w:tcPr>
            <w:tcW w:w="3910" w:type="dxa"/>
            <w:shd w:val="clear" w:color="000000" w:fill="A9D08E"/>
            <w:vAlign w:val="center"/>
            <w:hideMark/>
          </w:tcPr>
          <w:p w14:paraId="03331CB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Decision results of vendor evaluations</w:t>
            </w:r>
          </w:p>
        </w:tc>
        <w:tc>
          <w:tcPr>
            <w:tcW w:w="280" w:type="dxa"/>
            <w:shd w:val="clear" w:color="auto" w:fill="auto"/>
            <w:noWrap/>
            <w:vAlign w:val="center"/>
            <w:hideMark/>
          </w:tcPr>
          <w:p w14:paraId="5AE1061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S</w:t>
            </w:r>
          </w:p>
        </w:tc>
        <w:tc>
          <w:tcPr>
            <w:tcW w:w="995" w:type="dxa"/>
            <w:shd w:val="clear" w:color="auto" w:fill="auto"/>
            <w:vAlign w:val="center"/>
            <w:hideMark/>
          </w:tcPr>
          <w:p w14:paraId="05B4C0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023EA62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38789AB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05D3CD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2975E34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2A9CB1C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585DAFE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1D31439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929" w:type="dxa"/>
            <w:shd w:val="clear" w:color="000000" w:fill="D6DCE4"/>
            <w:noWrap/>
            <w:vAlign w:val="center"/>
            <w:hideMark/>
          </w:tcPr>
          <w:p w14:paraId="05FB1DE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472" w:type="dxa"/>
            <w:shd w:val="clear" w:color="000000" w:fill="70AD47"/>
            <w:noWrap/>
            <w:vAlign w:val="center"/>
            <w:hideMark/>
          </w:tcPr>
          <w:p w14:paraId="0DB6C7D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381C467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2FC7024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44B62BA0" w14:textId="77777777" w:rsidTr="00C56737">
        <w:trPr>
          <w:trHeight w:val="255"/>
        </w:trPr>
        <w:tc>
          <w:tcPr>
            <w:tcW w:w="480" w:type="dxa"/>
            <w:shd w:val="clear" w:color="000000" w:fill="FFFFFF"/>
            <w:noWrap/>
            <w:vAlign w:val="center"/>
            <w:hideMark/>
          </w:tcPr>
          <w:p w14:paraId="6FCA9AA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61</w:t>
            </w:r>
          </w:p>
        </w:tc>
        <w:tc>
          <w:tcPr>
            <w:tcW w:w="3910" w:type="dxa"/>
            <w:shd w:val="clear" w:color="000000" w:fill="FFFFFF"/>
            <w:vAlign w:val="center"/>
            <w:hideMark/>
          </w:tcPr>
          <w:p w14:paraId="4A9B7FB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Guiding principles for allocation of resources and capabilities</w:t>
            </w:r>
          </w:p>
        </w:tc>
        <w:tc>
          <w:tcPr>
            <w:tcW w:w="280" w:type="dxa"/>
            <w:shd w:val="clear" w:color="auto" w:fill="auto"/>
            <w:noWrap/>
            <w:vAlign w:val="center"/>
            <w:hideMark/>
          </w:tcPr>
          <w:p w14:paraId="4A7F51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116069D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3AC96B3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5C2419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6FEC129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4E910BD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2D80BFF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3F51B77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767" w:type="dxa"/>
            <w:shd w:val="clear" w:color="000000" w:fill="D6DCE4"/>
            <w:noWrap/>
            <w:vAlign w:val="center"/>
            <w:hideMark/>
          </w:tcPr>
          <w:p w14:paraId="3CF8C57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2EBC79F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0FA0C03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24FBE27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6E2CB8B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18352F03" w14:textId="77777777" w:rsidTr="00C56737">
        <w:trPr>
          <w:trHeight w:val="255"/>
        </w:trPr>
        <w:tc>
          <w:tcPr>
            <w:tcW w:w="480" w:type="dxa"/>
            <w:shd w:val="clear" w:color="000000" w:fill="FFFFFF"/>
            <w:noWrap/>
            <w:vAlign w:val="center"/>
            <w:hideMark/>
          </w:tcPr>
          <w:p w14:paraId="1BB4845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62</w:t>
            </w:r>
          </w:p>
        </w:tc>
        <w:tc>
          <w:tcPr>
            <w:tcW w:w="3910" w:type="dxa"/>
            <w:shd w:val="clear" w:color="000000" w:fill="FFFFFF"/>
            <w:vAlign w:val="center"/>
            <w:hideMark/>
          </w:tcPr>
          <w:p w14:paraId="774621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Approved resources plan</w:t>
            </w:r>
          </w:p>
        </w:tc>
        <w:tc>
          <w:tcPr>
            <w:tcW w:w="280" w:type="dxa"/>
            <w:shd w:val="clear" w:color="auto" w:fill="auto"/>
            <w:noWrap/>
            <w:vAlign w:val="center"/>
            <w:hideMark/>
          </w:tcPr>
          <w:p w14:paraId="587C227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2D42218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5D0D98D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6DACD3D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1A48666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668D62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5902BD8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592D018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767" w:type="dxa"/>
            <w:shd w:val="clear" w:color="000000" w:fill="D6DCE4"/>
            <w:noWrap/>
            <w:vAlign w:val="center"/>
            <w:hideMark/>
          </w:tcPr>
          <w:p w14:paraId="2E9FDDE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929" w:type="dxa"/>
            <w:shd w:val="clear" w:color="000000" w:fill="D6DCE4"/>
            <w:noWrap/>
            <w:vAlign w:val="center"/>
            <w:hideMark/>
          </w:tcPr>
          <w:p w14:paraId="46109C3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0644E34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1BCF448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7985AC7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2C860EB7" w14:textId="77777777" w:rsidTr="00C56737">
        <w:trPr>
          <w:trHeight w:val="255"/>
        </w:trPr>
        <w:tc>
          <w:tcPr>
            <w:tcW w:w="480" w:type="dxa"/>
            <w:shd w:val="clear" w:color="000000" w:fill="FFFFFF"/>
            <w:noWrap/>
            <w:vAlign w:val="center"/>
            <w:hideMark/>
          </w:tcPr>
          <w:p w14:paraId="4B59565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63</w:t>
            </w:r>
          </w:p>
        </w:tc>
        <w:tc>
          <w:tcPr>
            <w:tcW w:w="3910" w:type="dxa"/>
            <w:shd w:val="clear" w:color="000000" w:fill="FFFFFF"/>
            <w:vAlign w:val="center"/>
            <w:hideMark/>
          </w:tcPr>
          <w:p w14:paraId="3D520FB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Guiding principles for enterprise architecture</w:t>
            </w:r>
          </w:p>
        </w:tc>
        <w:tc>
          <w:tcPr>
            <w:tcW w:w="280" w:type="dxa"/>
            <w:shd w:val="clear" w:color="auto" w:fill="auto"/>
            <w:noWrap/>
            <w:vAlign w:val="center"/>
            <w:hideMark/>
          </w:tcPr>
          <w:p w14:paraId="1030A2B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34DFF1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0E38B2C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302F18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19C4B2B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2A0907C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377C02F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2B8B3F0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767" w:type="dxa"/>
            <w:shd w:val="clear" w:color="000000" w:fill="D6DCE4"/>
            <w:noWrap/>
            <w:vAlign w:val="center"/>
            <w:hideMark/>
          </w:tcPr>
          <w:p w14:paraId="17FE0CA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838D22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06E276A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38EE109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1FFF9F1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2021A44A" w14:textId="77777777" w:rsidTr="00C56737">
        <w:trPr>
          <w:trHeight w:val="255"/>
        </w:trPr>
        <w:tc>
          <w:tcPr>
            <w:tcW w:w="480" w:type="dxa"/>
            <w:shd w:val="clear" w:color="000000" w:fill="FFFFFF"/>
            <w:noWrap/>
            <w:vAlign w:val="center"/>
            <w:hideMark/>
          </w:tcPr>
          <w:p w14:paraId="2DEF5D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64</w:t>
            </w:r>
          </w:p>
        </w:tc>
        <w:tc>
          <w:tcPr>
            <w:tcW w:w="3910" w:type="dxa"/>
            <w:shd w:val="clear" w:color="000000" w:fill="FFFFFF"/>
            <w:vAlign w:val="center"/>
            <w:hideMark/>
          </w:tcPr>
          <w:p w14:paraId="52E3856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Principles for safeguarding resources</w:t>
            </w:r>
          </w:p>
        </w:tc>
        <w:tc>
          <w:tcPr>
            <w:tcW w:w="280" w:type="dxa"/>
            <w:shd w:val="clear" w:color="auto" w:fill="auto"/>
            <w:noWrap/>
            <w:vAlign w:val="center"/>
            <w:hideMark/>
          </w:tcPr>
          <w:p w14:paraId="7D81318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60551C7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3C31218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43E0D36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231BAEB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780ADCE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53C960C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6F91E0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767" w:type="dxa"/>
            <w:shd w:val="clear" w:color="000000" w:fill="D6DCE4"/>
            <w:noWrap/>
            <w:vAlign w:val="center"/>
            <w:hideMark/>
          </w:tcPr>
          <w:p w14:paraId="4A5A6E7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A4BA05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1252374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771EFE7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7B16435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30E9F68A" w14:textId="77777777" w:rsidTr="00C56737">
        <w:trPr>
          <w:trHeight w:val="255"/>
        </w:trPr>
        <w:tc>
          <w:tcPr>
            <w:tcW w:w="480" w:type="dxa"/>
            <w:shd w:val="clear" w:color="000000" w:fill="FFFFFF"/>
            <w:noWrap/>
            <w:vAlign w:val="center"/>
            <w:hideMark/>
          </w:tcPr>
          <w:p w14:paraId="45A87C5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65</w:t>
            </w:r>
          </w:p>
        </w:tc>
        <w:tc>
          <w:tcPr>
            <w:tcW w:w="3910" w:type="dxa"/>
            <w:shd w:val="clear" w:color="000000" w:fill="FFFFFF"/>
            <w:vAlign w:val="center"/>
            <w:hideMark/>
          </w:tcPr>
          <w:p w14:paraId="6BB68D5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Assigned responsibilities for resource management</w:t>
            </w:r>
          </w:p>
        </w:tc>
        <w:tc>
          <w:tcPr>
            <w:tcW w:w="280" w:type="dxa"/>
            <w:shd w:val="clear" w:color="auto" w:fill="auto"/>
            <w:noWrap/>
            <w:vAlign w:val="center"/>
            <w:hideMark/>
          </w:tcPr>
          <w:p w14:paraId="555A035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7940449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3193BF4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0C1DD4A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6F738D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3EFD579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18150E6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7AD625C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767" w:type="dxa"/>
            <w:shd w:val="clear" w:color="000000" w:fill="D6DCE4"/>
            <w:noWrap/>
            <w:vAlign w:val="center"/>
            <w:hideMark/>
          </w:tcPr>
          <w:p w14:paraId="04747BD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929" w:type="dxa"/>
            <w:shd w:val="clear" w:color="000000" w:fill="D6DCE4"/>
            <w:noWrap/>
            <w:vAlign w:val="center"/>
            <w:hideMark/>
          </w:tcPr>
          <w:p w14:paraId="03BFCFA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708D3C3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754CC77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1D8C782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00133247" w14:textId="77777777" w:rsidTr="00C56737">
        <w:trPr>
          <w:trHeight w:val="255"/>
        </w:trPr>
        <w:tc>
          <w:tcPr>
            <w:tcW w:w="480" w:type="dxa"/>
            <w:shd w:val="clear" w:color="000000" w:fill="FFFFFF"/>
            <w:noWrap/>
            <w:vAlign w:val="center"/>
            <w:hideMark/>
          </w:tcPr>
          <w:p w14:paraId="1AA3D07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66</w:t>
            </w:r>
          </w:p>
        </w:tc>
        <w:tc>
          <w:tcPr>
            <w:tcW w:w="3910" w:type="dxa"/>
            <w:shd w:val="clear" w:color="000000" w:fill="FFFFFF"/>
            <w:vAlign w:val="center"/>
            <w:hideMark/>
          </w:tcPr>
          <w:p w14:paraId="198158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Communication of resourcing strategies</w:t>
            </w:r>
          </w:p>
        </w:tc>
        <w:tc>
          <w:tcPr>
            <w:tcW w:w="280" w:type="dxa"/>
            <w:shd w:val="clear" w:color="auto" w:fill="auto"/>
            <w:noWrap/>
            <w:vAlign w:val="center"/>
            <w:hideMark/>
          </w:tcPr>
          <w:p w14:paraId="12233BC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6CB857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01" w:type="dxa"/>
            <w:shd w:val="clear" w:color="auto" w:fill="auto"/>
            <w:vAlign w:val="center"/>
            <w:hideMark/>
          </w:tcPr>
          <w:p w14:paraId="76F8CB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65" w:type="dxa"/>
            <w:shd w:val="clear" w:color="auto" w:fill="auto"/>
            <w:vAlign w:val="center"/>
            <w:hideMark/>
          </w:tcPr>
          <w:p w14:paraId="4193B66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971" w:type="dxa"/>
            <w:shd w:val="clear" w:color="auto" w:fill="auto"/>
            <w:vAlign w:val="center"/>
            <w:hideMark/>
          </w:tcPr>
          <w:p w14:paraId="5AC8614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5449E4C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31DA47F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652" w:type="dxa"/>
            <w:shd w:val="clear" w:color="000000" w:fill="D6DCE4"/>
            <w:noWrap/>
            <w:vAlign w:val="center"/>
            <w:hideMark/>
          </w:tcPr>
          <w:p w14:paraId="1E068B0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7C10079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DFF543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174DA1D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184748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504" w:type="dxa"/>
            <w:shd w:val="clear" w:color="000000" w:fill="333F4F"/>
            <w:noWrap/>
            <w:vAlign w:val="center"/>
            <w:hideMark/>
          </w:tcPr>
          <w:p w14:paraId="01B10B8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46BF8A9C" w14:textId="77777777" w:rsidTr="00C56737">
        <w:trPr>
          <w:trHeight w:val="255"/>
        </w:trPr>
        <w:tc>
          <w:tcPr>
            <w:tcW w:w="480" w:type="dxa"/>
            <w:shd w:val="clear" w:color="000000" w:fill="FFFFFF"/>
            <w:noWrap/>
            <w:vAlign w:val="center"/>
            <w:hideMark/>
          </w:tcPr>
          <w:p w14:paraId="7B7C7C2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67</w:t>
            </w:r>
          </w:p>
        </w:tc>
        <w:tc>
          <w:tcPr>
            <w:tcW w:w="3910" w:type="dxa"/>
            <w:shd w:val="clear" w:color="000000" w:fill="FFFFFF"/>
            <w:vAlign w:val="center"/>
            <w:hideMark/>
          </w:tcPr>
          <w:p w14:paraId="71B4A58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Remedial actions to address resource management deviations</w:t>
            </w:r>
          </w:p>
        </w:tc>
        <w:tc>
          <w:tcPr>
            <w:tcW w:w="280" w:type="dxa"/>
            <w:shd w:val="clear" w:color="auto" w:fill="auto"/>
            <w:noWrap/>
            <w:vAlign w:val="center"/>
            <w:hideMark/>
          </w:tcPr>
          <w:p w14:paraId="3A3F1D8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225DD7F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05339AA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27C052F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183C330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587DCD0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6D2FAF0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595A9AC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03F17CA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929" w:type="dxa"/>
            <w:shd w:val="clear" w:color="000000" w:fill="D6DCE4"/>
            <w:noWrap/>
            <w:vAlign w:val="center"/>
            <w:hideMark/>
          </w:tcPr>
          <w:p w14:paraId="62488FE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14C64ED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16CB5C7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12A7B46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286B0EB0" w14:textId="77777777" w:rsidTr="00C56737">
        <w:trPr>
          <w:trHeight w:val="255"/>
        </w:trPr>
        <w:tc>
          <w:tcPr>
            <w:tcW w:w="480" w:type="dxa"/>
            <w:shd w:val="clear" w:color="000000" w:fill="FFFFFF"/>
            <w:noWrap/>
            <w:vAlign w:val="center"/>
            <w:hideMark/>
          </w:tcPr>
          <w:p w14:paraId="3D35644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68</w:t>
            </w:r>
          </w:p>
        </w:tc>
        <w:tc>
          <w:tcPr>
            <w:tcW w:w="3910" w:type="dxa"/>
            <w:shd w:val="clear" w:color="000000" w:fill="FFFFFF"/>
            <w:vAlign w:val="center"/>
            <w:hideMark/>
          </w:tcPr>
          <w:p w14:paraId="4455D1D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Feedback on allocation and effectiveness of resources and capabilities</w:t>
            </w:r>
          </w:p>
        </w:tc>
        <w:tc>
          <w:tcPr>
            <w:tcW w:w="280" w:type="dxa"/>
            <w:shd w:val="clear" w:color="auto" w:fill="auto"/>
            <w:noWrap/>
            <w:vAlign w:val="center"/>
            <w:hideMark/>
          </w:tcPr>
          <w:p w14:paraId="2B5EEB5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7377F73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5C55090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4547FCA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75B370F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0001DB0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623D261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652" w:type="dxa"/>
            <w:shd w:val="clear" w:color="000000" w:fill="D6DCE4"/>
            <w:noWrap/>
            <w:vAlign w:val="center"/>
            <w:hideMark/>
          </w:tcPr>
          <w:p w14:paraId="5EEA115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54A778D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37D49CB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472" w:type="dxa"/>
            <w:shd w:val="clear" w:color="000000" w:fill="FFFF00"/>
            <w:noWrap/>
            <w:vAlign w:val="center"/>
            <w:hideMark/>
          </w:tcPr>
          <w:p w14:paraId="728CD79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2036D3A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7261AE5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34F3C22E" w14:textId="77777777" w:rsidTr="00C56737">
        <w:trPr>
          <w:trHeight w:val="255"/>
        </w:trPr>
        <w:tc>
          <w:tcPr>
            <w:tcW w:w="480" w:type="dxa"/>
            <w:shd w:val="clear" w:color="000000" w:fill="FFFFFF"/>
            <w:noWrap/>
            <w:vAlign w:val="center"/>
            <w:hideMark/>
          </w:tcPr>
          <w:p w14:paraId="2E1F34C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69</w:t>
            </w:r>
          </w:p>
        </w:tc>
        <w:tc>
          <w:tcPr>
            <w:tcW w:w="3910" w:type="dxa"/>
            <w:shd w:val="clear" w:color="000000" w:fill="FFFFFF"/>
            <w:vAlign w:val="center"/>
            <w:hideMark/>
          </w:tcPr>
          <w:p w14:paraId="7E39858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Actions to improve value delivery</w:t>
            </w:r>
          </w:p>
        </w:tc>
        <w:tc>
          <w:tcPr>
            <w:tcW w:w="280" w:type="dxa"/>
            <w:shd w:val="clear" w:color="auto" w:fill="auto"/>
            <w:noWrap/>
            <w:vAlign w:val="center"/>
            <w:hideMark/>
          </w:tcPr>
          <w:p w14:paraId="7FC4327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24D1799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01" w:type="dxa"/>
            <w:shd w:val="clear" w:color="auto" w:fill="auto"/>
            <w:vAlign w:val="center"/>
            <w:hideMark/>
          </w:tcPr>
          <w:p w14:paraId="1331844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6DAC27A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71" w:type="dxa"/>
            <w:shd w:val="clear" w:color="auto" w:fill="auto"/>
            <w:vAlign w:val="center"/>
            <w:hideMark/>
          </w:tcPr>
          <w:p w14:paraId="007B052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0A821D1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3CA1AB8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213D5E2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4A51B7B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929" w:type="dxa"/>
            <w:shd w:val="clear" w:color="000000" w:fill="D6DCE4"/>
            <w:noWrap/>
            <w:vAlign w:val="center"/>
            <w:hideMark/>
          </w:tcPr>
          <w:p w14:paraId="3C01AE2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2782599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4EB2FC3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4383DE4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2AAE8F00" w14:textId="77777777" w:rsidTr="00C56737">
        <w:trPr>
          <w:trHeight w:val="255"/>
        </w:trPr>
        <w:tc>
          <w:tcPr>
            <w:tcW w:w="480" w:type="dxa"/>
            <w:shd w:val="clear" w:color="000000" w:fill="FFFFFF"/>
            <w:noWrap/>
            <w:vAlign w:val="center"/>
            <w:hideMark/>
          </w:tcPr>
          <w:p w14:paraId="066D3DE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70</w:t>
            </w:r>
          </w:p>
        </w:tc>
        <w:tc>
          <w:tcPr>
            <w:tcW w:w="3910" w:type="dxa"/>
            <w:shd w:val="clear" w:color="000000" w:fill="FFFFFF"/>
            <w:vAlign w:val="center"/>
            <w:hideMark/>
          </w:tcPr>
          <w:p w14:paraId="27EB61B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Feedback on allocation and effectiveness of resources and capabilities</w:t>
            </w:r>
          </w:p>
        </w:tc>
        <w:tc>
          <w:tcPr>
            <w:tcW w:w="280" w:type="dxa"/>
            <w:shd w:val="clear" w:color="auto" w:fill="auto"/>
            <w:noWrap/>
            <w:vAlign w:val="center"/>
            <w:hideMark/>
          </w:tcPr>
          <w:p w14:paraId="0C106AD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6CDEBC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37FBF00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57336A0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6A7828B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007" w:type="dxa"/>
            <w:shd w:val="clear" w:color="auto" w:fill="auto"/>
            <w:vAlign w:val="center"/>
            <w:hideMark/>
          </w:tcPr>
          <w:p w14:paraId="1EBF1D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24D3A92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670D0E0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7ADF88E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6C94749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472" w:type="dxa"/>
            <w:shd w:val="clear" w:color="000000" w:fill="70AD47"/>
            <w:noWrap/>
            <w:vAlign w:val="center"/>
            <w:hideMark/>
          </w:tcPr>
          <w:p w14:paraId="1648A6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7C23D0F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0515A6D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38BD7581" w14:textId="77777777" w:rsidTr="00C56737">
        <w:trPr>
          <w:trHeight w:val="255"/>
        </w:trPr>
        <w:tc>
          <w:tcPr>
            <w:tcW w:w="480" w:type="dxa"/>
            <w:shd w:val="clear" w:color="000000" w:fill="FFFFFF"/>
            <w:noWrap/>
            <w:vAlign w:val="center"/>
            <w:hideMark/>
          </w:tcPr>
          <w:p w14:paraId="05B0C76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71</w:t>
            </w:r>
          </w:p>
        </w:tc>
        <w:tc>
          <w:tcPr>
            <w:tcW w:w="3910" w:type="dxa"/>
            <w:shd w:val="clear" w:color="000000" w:fill="FFFFFF"/>
            <w:vAlign w:val="center"/>
            <w:hideMark/>
          </w:tcPr>
          <w:p w14:paraId="69DD4F3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Assurance review results</w:t>
            </w:r>
          </w:p>
        </w:tc>
        <w:tc>
          <w:tcPr>
            <w:tcW w:w="280" w:type="dxa"/>
            <w:shd w:val="clear" w:color="auto" w:fill="auto"/>
            <w:noWrap/>
            <w:vAlign w:val="center"/>
            <w:hideMark/>
          </w:tcPr>
          <w:p w14:paraId="6A34EA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0B1B550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3298A14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247067E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074DEDF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53AF04A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7C5278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02E1B2F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279B02A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0C1632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1605157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5C15A20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44F6523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72C87EAD" w14:textId="77777777" w:rsidTr="00C56737">
        <w:trPr>
          <w:trHeight w:val="255"/>
        </w:trPr>
        <w:tc>
          <w:tcPr>
            <w:tcW w:w="480" w:type="dxa"/>
            <w:shd w:val="clear" w:color="000000" w:fill="FFFFFF"/>
            <w:noWrap/>
            <w:vAlign w:val="center"/>
            <w:hideMark/>
          </w:tcPr>
          <w:p w14:paraId="5751A80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72</w:t>
            </w:r>
          </w:p>
        </w:tc>
        <w:tc>
          <w:tcPr>
            <w:tcW w:w="3910" w:type="dxa"/>
            <w:shd w:val="clear" w:color="000000" w:fill="FFFFFF"/>
            <w:vAlign w:val="center"/>
            <w:hideMark/>
          </w:tcPr>
          <w:p w14:paraId="72A92B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Assurance review report</w:t>
            </w:r>
          </w:p>
        </w:tc>
        <w:tc>
          <w:tcPr>
            <w:tcW w:w="280" w:type="dxa"/>
            <w:shd w:val="clear" w:color="auto" w:fill="auto"/>
            <w:noWrap/>
            <w:vAlign w:val="center"/>
            <w:hideMark/>
          </w:tcPr>
          <w:p w14:paraId="5EED345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4CFE558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54233CE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66E390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431B314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007" w:type="dxa"/>
            <w:shd w:val="clear" w:color="auto" w:fill="auto"/>
            <w:vAlign w:val="center"/>
            <w:hideMark/>
          </w:tcPr>
          <w:p w14:paraId="053E14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39A0D82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6A91473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62666DF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E9553C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472" w:type="dxa"/>
            <w:shd w:val="clear" w:color="000000" w:fill="375623"/>
            <w:noWrap/>
            <w:vAlign w:val="center"/>
            <w:hideMark/>
          </w:tcPr>
          <w:p w14:paraId="11BCCCB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1306823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7BBF3E5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43A213AF" w14:textId="77777777" w:rsidTr="00C56737">
        <w:trPr>
          <w:trHeight w:val="255"/>
        </w:trPr>
        <w:tc>
          <w:tcPr>
            <w:tcW w:w="480" w:type="dxa"/>
            <w:shd w:val="clear" w:color="000000" w:fill="FFFFFF"/>
            <w:noWrap/>
            <w:vAlign w:val="center"/>
            <w:hideMark/>
          </w:tcPr>
          <w:p w14:paraId="10B0ADA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73</w:t>
            </w:r>
          </w:p>
        </w:tc>
        <w:tc>
          <w:tcPr>
            <w:tcW w:w="3910" w:type="dxa"/>
            <w:shd w:val="clear" w:color="000000" w:fill="FFFFFF"/>
            <w:vAlign w:val="center"/>
            <w:hideMark/>
          </w:tcPr>
          <w:p w14:paraId="6502D4C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 and communications principles</w:t>
            </w:r>
          </w:p>
        </w:tc>
        <w:tc>
          <w:tcPr>
            <w:tcW w:w="280" w:type="dxa"/>
            <w:shd w:val="clear" w:color="auto" w:fill="auto"/>
            <w:noWrap/>
            <w:vAlign w:val="center"/>
            <w:hideMark/>
          </w:tcPr>
          <w:p w14:paraId="38A9D2D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6609BE2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1ED074F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3E234A2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6AE04C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39DBFE2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Comm &amp; Ref</w:t>
            </w:r>
          </w:p>
        </w:tc>
        <w:tc>
          <w:tcPr>
            <w:tcW w:w="1127" w:type="dxa"/>
            <w:shd w:val="clear" w:color="000000" w:fill="D6DCE4"/>
            <w:noWrap/>
            <w:vAlign w:val="center"/>
            <w:hideMark/>
          </w:tcPr>
          <w:p w14:paraId="47B2632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652" w:type="dxa"/>
            <w:shd w:val="clear" w:color="000000" w:fill="D6DCE4"/>
            <w:noWrap/>
            <w:vAlign w:val="center"/>
            <w:hideMark/>
          </w:tcPr>
          <w:p w14:paraId="2192BD7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767" w:type="dxa"/>
            <w:shd w:val="clear" w:color="000000" w:fill="D6DCE4"/>
            <w:noWrap/>
            <w:vAlign w:val="center"/>
            <w:hideMark/>
          </w:tcPr>
          <w:p w14:paraId="157B401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3456A59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70AD47"/>
            <w:noWrap/>
            <w:vAlign w:val="center"/>
            <w:hideMark/>
          </w:tcPr>
          <w:p w14:paraId="7B1B9FF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6DD5C31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3CA93D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64E5C621" w14:textId="77777777" w:rsidTr="00C56737">
        <w:trPr>
          <w:trHeight w:val="255"/>
        </w:trPr>
        <w:tc>
          <w:tcPr>
            <w:tcW w:w="480" w:type="dxa"/>
            <w:shd w:val="clear" w:color="000000" w:fill="FFFFFF"/>
            <w:noWrap/>
            <w:vAlign w:val="center"/>
            <w:hideMark/>
          </w:tcPr>
          <w:p w14:paraId="3BD9F07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74</w:t>
            </w:r>
          </w:p>
        </w:tc>
        <w:tc>
          <w:tcPr>
            <w:tcW w:w="3910" w:type="dxa"/>
            <w:shd w:val="clear" w:color="000000" w:fill="FFFFFF"/>
            <w:vAlign w:val="center"/>
            <w:hideMark/>
          </w:tcPr>
          <w:p w14:paraId="32EA37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Evaluation of enterprise reporting requirements</w:t>
            </w:r>
          </w:p>
        </w:tc>
        <w:tc>
          <w:tcPr>
            <w:tcW w:w="280" w:type="dxa"/>
            <w:shd w:val="clear" w:color="auto" w:fill="auto"/>
            <w:noWrap/>
            <w:vAlign w:val="center"/>
            <w:hideMark/>
          </w:tcPr>
          <w:p w14:paraId="5E5B68A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73CA44B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31BA812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965" w:type="dxa"/>
            <w:shd w:val="clear" w:color="auto" w:fill="auto"/>
            <w:vAlign w:val="center"/>
            <w:hideMark/>
          </w:tcPr>
          <w:p w14:paraId="5AF9DEB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3EE287C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13806B1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127" w:type="dxa"/>
            <w:shd w:val="clear" w:color="000000" w:fill="D6DCE4"/>
            <w:noWrap/>
            <w:vAlign w:val="center"/>
            <w:hideMark/>
          </w:tcPr>
          <w:p w14:paraId="4099EE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6C5AFD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79CCE64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3</w:t>
            </w:r>
          </w:p>
        </w:tc>
        <w:tc>
          <w:tcPr>
            <w:tcW w:w="929" w:type="dxa"/>
            <w:shd w:val="clear" w:color="000000" w:fill="D6DCE4"/>
            <w:noWrap/>
            <w:vAlign w:val="center"/>
            <w:hideMark/>
          </w:tcPr>
          <w:p w14:paraId="44AC43E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2</w:t>
            </w:r>
          </w:p>
        </w:tc>
        <w:tc>
          <w:tcPr>
            <w:tcW w:w="472" w:type="dxa"/>
            <w:shd w:val="clear" w:color="000000" w:fill="FFFF00"/>
            <w:noWrap/>
            <w:vAlign w:val="center"/>
            <w:hideMark/>
          </w:tcPr>
          <w:p w14:paraId="1FB6FC9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auto" w:fill="auto"/>
            <w:vAlign w:val="center"/>
            <w:hideMark/>
          </w:tcPr>
          <w:p w14:paraId="4A0431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504" w:type="dxa"/>
            <w:shd w:val="clear" w:color="000000" w:fill="333F4F"/>
            <w:noWrap/>
            <w:vAlign w:val="center"/>
            <w:hideMark/>
          </w:tcPr>
          <w:p w14:paraId="1DE13CC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60%</w:t>
            </w:r>
          </w:p>
        </w:tc>
      </w:tr>
      <w:tr w:rsidR="00C56737" w:rsidRPr="00C56737" w14:paraId="23A63A74" w14:textId="77777777" w:rsidTr="00C56737">
        <w:trPr>
          <w:trHeight w:val="255"/>
        </w:trPr>
        <w:tc>
          <w:tcPr>
            <w:tcW w:w="480" w:type="dxa"/>
            <w:shd w:val="clear" w:color="000000" w:fill="FFFFFF"/>
            <w:noWrap/>
            <w:vAlign w:val="center"/>
            <w:hideMark/>
          </w:tcPr>
          <w:p w14:paraId="5DEEDB6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75</w:t>
            </w:r>
          </w:p>
        </w:tc>
        <w:tc>
          <w:tcPr>
            <w:tcW w:w="3910" w:type="dxa"/>
            <w:shd w:val="clear" w:color="000000" w:fill="FFFFFF"/>
            <w:vAlign w:val="center"/>
            <w:hideMark/>
          </w:tcPr>
          <w:p w14:paraId="2F6391C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Rules for validating and approving mandatory reports</w:t>
            </w:r>
          </w:p>
        </w:tc>
        <w:tc>
          <w:tcPr>
            <w:tcW w:w="280" w:type="dxa"/>
            <w:shd w:val="clear" w:color="auto" w:fill="auto"/>
            <w:noWrap/>
            <w:vAlign w:val="center"/>
            <w:hideMark/>
          </w:tcPr>
          <w:p w14:paraId="19DB475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en-US"/>
                <w14:ligatures w14:val="none"/>
              </w:rPr>
            </w:pPr>
            <w:r w:rsidRPr="00C56737">
              <w:rPr>
                <w:rFonts w:ascii="Calibri" w:eastAsia="Calibri" w:hAnsi="Calibri" w:cs="Calibri"/>
                <w:color w:val="000000"/>
                <w:kern w:val="0"/>
                <w:sz w:val="15"/>
                <w:szCs w:val="15"/>
                <w:lang w:val="en-US"/>
                <w14:ligatures w14:val="none"/>
              </w:rPr>
              <w:t> </w:t>
            </w:r>
          </w:p>
        </w:tc>
        <w:tc>
          <w:tcPr>
            <w:tcW w:w="995" w:type="dxa"/>
            <w:shd w:val="clear" w:color="auto" w:fill="auto"/>
            <w:vAlign w:val="center"/>
            <w:hideMark/>
          </w:tcPr>
          <w:p w14:paraId="0C4CD79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7AF7361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78E2C45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2E93B34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7352352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33CE5BD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0EA5D0A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767" w:type="dxa"/>
            <w:shd w:val="clear" w:color="000000" w:fill="D6DCE4"/>
            <w:noWrap/>
            <w:vAlign w:val="center"/>
            <w:hideMark/>
          </w:tcPr>
          <w:p w14:paraId="0A41403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0449AA1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190F16F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72F0B6B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179E015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28AB13E8" w14:textId="77777777" w:rsidTr="00C56737">
        <w:trPr>
          <w:trHeight w:val="255"/>
        </w:trPr>
        <w:tc>
          <w:tcPr>
            <w:tcW w:w="480" w:type="dxa"/>
            <w:shd w:val="clear" w:color="000000" w:fill="FFFFFF"/>
            <w:noWrap/>
            <w:vAlign w:val="center"/>
            <w:hideMark/>
          </w:tcPr>
          <w:p w14:paraId="3B1D316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76</w:t>
            </w:r>
          </w:p>
        </w:tc>
        <w:tc>
          <w:tcPr>
            <w:tcW w:w="3910" w:type="dxa"/>
            <w:shd w:val="clear" w:color="000000" w:fill="FFFFFF"/>
            <w:vAlign w:val="center"/>
            <w:hideMark/>
          </w:tcPr>
          <w:p w14:paraId="69FE39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Escalation guidelines</w:t>
            </w:r>
          </w:p>
        </w:tc>
        <w:tc>
          <w:tcPr>
            <w:tcW w:w="280" w:type="dxa"/>
            <w:shd w:val="clear" w:color="auto" w:fill="auto"/>
            <w:noWrap/>
            <w:vAlign w:val="center"/>
            <w:hideMark/>
          </w:tcPr>
          <w:p w14:paraId="58E27D9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03F97C4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01" w:type="dxa"/>
            <w:shd w:val="clear" w:color="auto" w:fill="auto"/>
            <w:vAlign w:val="center"/>
            <w:hideMark/>
          </w:tcPr>
          <w:p w14:paraId="15206E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65" w:type="dxa"/>
            <w:shd w:val="clear" w:color="auto" w:fill="auto"/>
            <w:vAlign w:val="center"/>
            <w:hideMark/>
          </w:tcPr>
          <w:p w14:paraId="1829E70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971" w:type="dxa"/>
            <w:shd w:val="clear" w:color="auto" w:fill="auto"/>
            <w:vAlign w:val="center"/>
            <w:hideMark/>
          </w:tcPr>
          <w:p w14:paraId="1A909AE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007" w:type="dxa"/>
            <w:shd w:val="clear" w:color="auto" w:fill="auto"/>
            <w:vAlign w:val="center"/>
            <w:hideMark/>
          </w:tcPr>
          <w:p w14:paraId="3893AC4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1127" w:type="dxa"/>
            <w:shd w:val="clear" w:color="000000" w:fill="D6DCE4"/>
            <w:noWrap/>
            <w:vAlign w:val="center"/>
            <w:hideMark/>
          </w:tcPr>
          <w:p w14:paraId="1445964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4CA41F1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5</w:t>
            </w:r>
          </w:p>
        </w:tc>
        <w:tc>
          <w:tcPr>
            <w:tcW w:w="767" w:type="dxa"/>
            <w:shd w:val="clear" w:color="000000" w:fill="D6DCE4"/>
            <w:noWrap/>
            <w:vAlign w:val="center"/>
            <w:hideMark/>
          </w:tcPr>
          <w:p w14:paraId="4F4A107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929" w:type="dxa"/>
            <w:shd w:val="clear" w:color="000000" w:fill="D6DCE4"/>
            <w:noWrap/>
            <w:vAlign w:val="center"/>
            <w:hideMark/>
          </w:tcPr>
          <w:p w14:paraId="6765C3B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472" w:type="dxa"/>
            <w:shd w:val="clear" w:color="000000" w:fill="375623"/>
            <w:noWrap/>
            <w:vAlign w:val="center"/>
            <w:hideMark/>
          </w:tcPr>
          <w:p w14:paraId="46136A8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auto" w:fill="auto"/>
            <w:vAlign w:val="center"/>
            <w:hideMark/>
          </w:tcPr>
          <w:p w14:paraId="71EA855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Rules</w:t>
            </w:r>
          </w:p>
        </w:tc>
        <w:tc>
          <w:tcPr>
            <w:tcW w:w="504" w:type="dxa"/>
            <w:shd w:val="clear" w:color="000000" w:fill="333F4F"/>
            <w:noWrap/>
            <w:vAlign w:val="center"/>
            <w:hideMark/>
          </w:tcPr>
          <w:p w14:paraId="4D0A8C0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100%</w:t>
            </w:r>
          </w:p>
        </w:tc>
      </w:tr>
      <w:tr w:rsidR="00C56737" w:rsidRPr="00C56737" w14:paraId="2DF721AE" w14:textId="77777777" w:rsidTr="00C56737">
        <w:trPr>
          <w:trHeight w:val="227"/>
        </w:trPr>
        <w:tc>
          <w:tcPr>
            <w:tcW w:w="480" w:type="dxa"/>
            <w:shd w:val="clear" w:color="000000" w:fill="FFFFFF"/>
            <w:noWrap/>
            <w:vAlign w:val="center"/>
            <w:hideMark/>
          </w:tcPr>
          <w:p w14:paraId="46276E9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77</w:t>
            </w:r>
          </w:p>
        </w:tc>
        <w:tc>
          <w:tcPr>
            <w:tcW w:w="3910" w:type="dxa"/>
            <w:shd w:val="clear" w:color="000000" w:fill="FFFFFF"/>
            <w:vAlign w:val="center"/>
            <w:hideMark/>
          </w:tcPr>
          <w:p w14:paraId="71C98ED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Assessment of reporting effectiveness</w:t>
            </w:r>
          </w:p>
        </w:tc>
        <w:tc>
          <w:tcPr>
            <w:tcW w:w="280" w:type="dxa"/>
            <w:shd w:val="clear" w:color="auto" w:fill="auto"/>
            <w:noWrap/>
            <w:vAlign w:val="center"/>
            <w:hideMark/>
          </w:tcPr>
          <w:p w14:paraId="5C7A741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 </w:t>
            </w:r>
          </w:p>
        </w:tc>
        <w:tc>
          <w:tcPr>
            <w:tcW w:w="995" w:type="dxa"/>
            <w:shd w:val="clear" w:color="auto" w:fill="auto"/>
            <w:vAlign w:val="center"/>
            <w:hideMark/>
          </w:tcPr>
          <w:p w14:paraId="60C5C02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01" w:type="dxa"/>
            <w:shd w:val="clear" w:color="auto" w:fill="auto"/>
            <w:vAlign w:val="center"/>
            <w:hideMark/>
          </w:tcPr>
          <w:p w14:paraId="1D6A3B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65" w:type="dxa"/>
            <w:shd w:val="clear" w:color="auto" w:fill="auto"/>
            <w:vAlign w:val="center"/>
            <w:hideMark/>
          </w:tcPr>
          <w:p w14:paraId="0F8A4BD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971" w:type="dxa"/>
            <w:shd w:val="clear" w:color="auto" w:fill="auto"/>
            <w:vAlign w:val="center"/>
            <w:hideMark/>
          </w:tcPr>
          <w:p w14:paraId="478D49C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Decisions</w:t>
            </w:r>
          </w:p>
        </w:tc>
        <w:tc>
          <w:tcPr>
            <w:tcW w:w="1007" w:type="dxa"/>
            <w:shd w:val="clear" w:color="auto" w:fill="auto"/>
            <w:vAlign w:val="center"/>
            <w:hideMark/>
          </w:tcPr>
          <w:p w14:paraId="1254581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1127" w:type="dxa"/>
            <w:shd w:val="clear" w:color="000000" w:fill="D6DCE4"/>
            <w:noWrap/>
            <w:vAlign w:val="center"/>
            <w:hideMark/>
          </w:tcPr>
          <w:p w14:paraId="48C473C6"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652" w:type="dxa"/>
            <w:shd w:val="clear" w:color="000000" w:fill="D6DCE4"/>
            <w:noWrap/>
            <w:vAlign w:val="center"/>
            <w:hideMark/>
          </w:tcPr>
          <w:p w14:paraId="339A51B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0</w:t>
            </w:r>
          </w:p>
        </w:tc>
        <w:tc>
          <w:tcPr>
            <w:tcW w:w="767" w:type="dxa"/>
            <w:shd w:val="clear" w:color="000000" w:fill="D6DCE4"/>
            <w:noWrap/>
            <w:vAlign w:val="center"/>
            <w:hideMark/>
          </w:tcPr>
          <w:p w14:paraId="423DAAB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1</w:t>
            </w:r>
          </w:p>
        </w:tc>
        <w:tc>
          <w:tcPr>
            <w:tcW w:w="929" w:type="dxa"/>
            <w:shd w:val="clear" w:color="000000" w:fill="D6DCE4"/>
            <w:noWrap/>
            <w:vAlign w:val="center"/>
            <w:hideMark/>
          </w:tcPr>
          <w:p w14:paraId="52CA915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4</w:t>
            </w:r>
          </w:p>
        </w:tc>
        <w:tc>
          <w:tcPr>
            <w:tcW w:w="472" w:type="dxa"/>
            <w:shd w:val="clear" w:color="000000" w:fill="70AD47"/>
            <w:noWrap/>
            <w:vAlign w:val="center"/>
            <w:hideMark/>
          </w:tcPr>
          <w:p w14:paraId="403650D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auto" w:fill="auto"/>
            <w:vAlign w:val="center"/>
            <w:hideMark/>
          </w:tcPr>
          <w:p w14:paraId="7EC7C4E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r w:rsidRPr="00C56737">
              <w:rPr>
                <w:rFonts w:ascii="Calibri" w:eastAsia="Calibri" w:hAnsi="Calibri" w:cs="Calibri"/>
                <w:color w:val="000000"/>
                <w:kern w:val="0"/>
                <w:sz w:val="15"/>
                <w:szCs w:val="15"/>
                <w:lang w:val="nl-BE"/>
                <w14:ligatures w14:val="none"/>
              </w:rPr>
              <w:t>Reporting</w:t>
            </w:r>
          </w:p>
        </w:tc>
        <w:tc>
          <w:tcPr>
            <w:tcW w:w="504" w:type="dxa"/>
            <w:shd w:val="clear" w:color="000000" w:fill="333F4F"/>
            <w:noWrap/>
            <w:vAlign w:val="center"/>
            <w:hideMark/>
          </w:tcPr>
          <w:p w14:paraId="50D8F33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FFFFFF"/>
                <w:kern w:val="0"/>
                <w:sz w:val="15"/>
                <w:szCs w:val="15"/>
                <w:lang w:val="nl-BE"/>
                <w14:ligatures w14:val="none"/>
              </w:rPr>
            </w:pPr>
            <w:r w:rsidRPr="00C56737">
              <w:rPr>
                <w:rFonts w:ascii="Calibri" w:eastAsia="Calibri" w:hAnsi="Calibri" w:cs="Calibri"/>
                <w:color w:val="FFFFFF"/>
                <w:kern w:val="0"/>
                <w:sz w:val="15"/>
                <w:szCs w:val="15"/>
                <w:lang w:val="nl-BE"/>
                <w14:ligatures w14:val="none"/>
              </w:rPr>
              <w:t>80%</w:t>
            </w:r>
          </w:p>
        </w:tc>
      </w:tr>
      <w:tr w:rsidR="00C56737" w:rsidRPr="00C56737" w14:paraId="5E22DB35" w14:textId="77777777" w:rsidTr="00C56737">
        <w:trPr>
          <w:trHeight w:val="283"/>
        </w:trPr>
        <w:tc>
          <w:tcPr>
            <w:tcW w:w="480" w:type="dxa"/>
            <w:shd w:val="clear" w:color="auto" w:fill="auto"/>
            <w:noWrap/>
            <w:vAlign w:val="bottom"/>
            <w:hideMark/>
          </w:tcPr>
          <w:p w14:paraId="7CD3D97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3910" w:type="dxa"/>
            <w:shd w:val="clear" w:color="auto" w:fill="auto"/>
            <w:vAlign w:val="bottom"/>
            <w:hideMark/>
          </w:tcPr>
          <w:p w14:paraId="664B82F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280" w:type="dxa"/>
            <w:shd w:val="clear" w:color="auto" w:fill="auto"/>
            <w:noWrap/>
            <w:vAlign w:val="bottom"/>
            <w:hideMark/>
          </w:tcPr>
          <w:p w14:paraId="79EC805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95" w:type="dxa"/>
            <w:shd w:val="clear" w:color="auto" w:fill="auto"/>
            <w:vAlign w:val="bottom"/>
            <w:hideMark/>
          </w:tcPr>
          <w:p w14:paraId="010398E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01" w:type="dxa"/>
            <w:shd w:val="clear" w:color="auto" w:fill="auto"/>
            <w:vAlign w:val="bottom"/>
            <w:hideMark/>
          </w:tcPr>
          <w:p w14:paraId="020E1BA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65" w:type="dxa"/>
            <w:shd w:val="clear" w:color="auto" w:fill="auto"/>
            <w:vAlign w:val="bottom"/>
            <w:hideMark/>
          </w:tcPr>
          <w:p w14:paraId="7247BCE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71" w:type="dxa"/>
            <w:shd w:val="clear" w:color="auto" w:fill="auto"/>
            <w:vAlign w:val="bottom"/>
            <w:hideMark/>
          </w:tcPr>
          <w:p w14:paraId="4527744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007" w:type="dxa"/>
            <w:shd w:val="clear" w:color="auto" w:fill="auto"/>
            <w:vAlign w:val="bottom"/>
            <w:hideMark/>
          </w:tcPr>
          <w:p w14:paraId="15A3838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27" w:type="dxa"/>
            <w:shd w:val="clear" w:color="auto" w:fill="auto"/>
            <w:noWrap/>
            <w:vAlign w:val="bottom"/>
            <w:hideMark/>
          </w:tcPr>
          <w:p w14:paraId="3CFAC34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652" w:type="dxa"/>
            <w:shd w:val="clear" w:color="auto" w:fill="auto"/>
            <w:noWrap/>
            <w:vAlign w:val="bottom"/>
            <w:hideMark/>
          </w:tcPr>
          <w:p w14:paraId="7B22CC8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767" w:type="dxa"/>
            <w:shd w:val="clear" w:color="auto" w:fill="auto"/>
            <w:noWrap/>
            <w:vAlign w:val="bottom"/>
            <w:hideMark/>
          </w:tcPr>
          <w:p w14:paraId="010CCD9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29" w:type="dxa"/>
            <w:shd w:val="clear" w:color="auto" w:fill="auto"/>
            <w:noWrap/>
            <w:vAlign w:val="bottom"/>
            <w:hideMark/>
          </w:tcPr>
          <w:p w14:paraId="63386B4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472" w:type="dxa"/>
            <w:shd w:val="clear" w:color="000000" w:fill="375623"/>
            <w:noWrap/>
            <w:vAlign w:val="center"/>
            <w:hideMark/>
          </w:tcPr>
          <w:p w14:paraId="067876F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5</w:t>
            </w:r>
          </w:p>
        </w:tc>
        <w:tc>
          <w:tcPr>
            <w:tcW w:w="1003" w:type="dxa"/>
            <w:shd w:val="clear" w:color="000000" w:fill="FFFFFF"/>
            <w:noWrap/>
            <w:vAlign w:val="center"/>
            <w:hideMark/>
          </w:tcPr>
          <w:p w14:paraId="5677829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38</w:t>
            </w:r>
          </w:p>
        </w:tc>
        <w:tc>
          <w:tcPr>
            <w:tcW w:w="504" w:type="dxa"/>
            <w:shd w:val="clear" w:color="auto" w:fill="auto"/>
            <w:vAlign w:val="center"/>
            <w:hideMark/>
          </w:tcPr>
          <w:p w14:paraId="41D9DDE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49%</w:t>
            </w:r>
          </w:p>
        </w:tc>
      </w:tr>
      <w:tr w:rsidR="00C56737" w:rsidRPr="00C56737" w14:paraId="67489634" w14:textId="77777777" w:rsidTr="00C56737">
        <w:trPr>
          <w:trHeight w:val="283"/>
        </w:trPr>
        <w:tc>
          <w:tcPr>
            <w:tcW w:w="480" w:type="dxa"/>
            <w:shd w:val="clear" w:color="auto" w:fill="auto"/>
            <w:noWrap/>
            <w:vAlign w:val="bottom"/>
            <w:hideMark/>
          </w:tcPr>
          <w:p w14:paraId="7A40567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p>
        </w:tc>
        <w:tc>
          <w:tcPr>
            <w:tcW w:w="3910" w:type="dxa"/>
            <w:shd w:val="clear" w:color="auto" w:fill="auto"/>
            <w:vAlign w:val="bottom"/>
            <w:hideMark/>
          </w:tcPr>
          <w:p w14:paraId="1143229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280" w:type="dxa"/>
            <w:shd w:val="clear" w:color="auto" w:fill="auto"/>
            <w:noWrap/>
            <w:vAlign w:val="bottom"/>
            <w:hideMark/>
          </w:tcPr>
          <w:p w14:paraId="5793271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95" w:type="dxa"/>
            <w:shd w:val="clear" w:color="auto" w:fill="auto"/>
            <w:vAlign w:val="bottom"/>
            <w:hideMark/>
          </w:tcPr>
          <w:p w14:paraId="4350741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01" w:type="dxa"/>
            <w:shd w:val="clear" w:color="auto" w:fill="auto"/>
            <w:vAlign w:val="bottom"/>
            <w:hideMark/>
          </w:tcPr>
          <w:p w14:paraId="0081F65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65" w:type="dxa"/>
            <w:shd w:val="clear" w:color="auto" w:fill="auto"/>
            <w:vAlign w:val="bottom"/>
            <w:hideMark/>
          </w:tcPr>
          <w:p w14:paraId="14D5121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71" w:type="dxa"/>
            <w:shd w:val="clear" w:color="auto" w:fill="auto"/>
            <w:vAlign w:val="bottom"/>
            <w:hideMark/>
          </w:tcPr>
          <w:p w14:paraId="4D24FBE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007" w:type="dxa"/>
            <w:shd w:val="clear" w:color="auto" w:fill="auto"/>
            <w:vAlign w:val="bottom"/>
            <w:hideMark/>
          </w:tcPr>
          <w:p w14:paraId="1EE11E6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27" w:type="dxa"/>
            <w:shd w:val="clear" w:color="auto" w:fill="auto"/>
            <w:noWrap/>
            <w:vAlign w:val="bottom"/>
            <w:hideMark/>
          </w:tcPr>
          <w:p w14:paraId="3D5753A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652" w:type="dxa"/>
            <w:shd w:val="clear" w:color="auto" w:fill="auto"/>
            <w:noWrap/>
            <w:vAlign w:val="bottom"/>
            <w:hideMark/>
          </w:tcPr>
          <w:p w14:paraId="5A30A3B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767" w:type="dxa"/>
            <w:shd w:val="clear" w:color="auto" w:fill="auto"/>
            <w:noWrap/>
            <w:vAlign w:val="bottom"/>
            <w:hideMark/>
          </w:tcPr>
          <w:p w14:paraId="1705042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29" w:type="dxa"/>
            <w:shd w:val="clear" w:color="auto" w:fill="auto"/>
            <w:noWrap/>
            <w:vAlign w:val="bottom"/>
            <w:hideMark/>
          </w:tcPr>
          <w:p w14:paraId="367D7595"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472" w:type="dxa"/>
            <w:shd w:val="clear" w:color="000000" w:fill="70AD47"/>
            <w:noWrap/>
            <w:vAlign w:val="center"/>
            <w:hideMark/>
          </w:tcPr>
          <w:p w14:paraId="0614A30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4</w:t>
            </w:r>
          </w:p>
        </w:tc>
        <w:tc>
          <w:tcPr>
            <w:tcW w:w="1003" w:type="dxa"/>
            <w:shd w:val="clear" w:color="000000" w:fill="FFFFFF"/>
            <w:noWrap/>
            <w:vAlign w:val="center"/>
            <w:hideMark/>
          </w:tcPr>
          <w:p w14:paraId="60C0265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19</w:t>
            </w:r>
          </w:p>
        </w:tc>
        <w:tc>
          <w:tcPr>
            <w:tcW w:w="504" w:type="dxa"/>
            <w:shd w:val="clear" w:color="auto" w:fill="auto"/>
            <w:vAlign w:val="center"/>
            <w:hideMark/>
          </w:tcPr>
          <w:p w14:paraId="468B40F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25%</w:t>
            </w:r>
          </w:p>
        </w:tc>
      </w:tr>
      <w:tr w:rsidR="00C56737" w:rsidRPr="00C56737" w14:paraId="57B432E0" w14:textId="77777777" w:rsidTr="00C56737">
        <w:trPr>
          <w:trHeight w:val="283"/>
        </w:trPr>
        <w:tc>
          <w:tcPr>
            <w:tcW w:w="480" w:type="dxa"/>
            <w:shd w:val="clear" w:color="auto" w:fill="auto"/>
            <w:noWrap/>
            <w:vAlign w:val="bottom"/>
            <w:hideMark/>
          </w:tcPr>
          <w:p w14:paraId="66B72B7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p>
        </w:tc>
        <w:tc>
          <w:tcPr>
            <w:tcW w:w="3910" w:type="dxa"/>
            <w:shd w:val="clear" w:color="auto" w:fill="auto"/>
            <w:vAlign w:val="bottom"/>
            <w:hideMark/>
          </w:tcPr>
          <w:p w14:paraId="1C0C827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280" w:type="dxa"/>
            <w:shd w:val="clear" w:color="auto" w:fill="auto"/>
            <w:noWrap/>
            <w:vAlign w:val="bottom"/>
            <w:hideMark/>
          </w:tcPr>
          <w:p w14:paraId="26F645E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95" w:type="dxa"/>
            <w:shd w:val="clear" w:color="auto" w:fill="auto"/>
            <w:vAlign w:val="bottom"/>
            <w:hideMark/>
          </w:tcPr>
          <w:p w14:paraId="50E4A8FA"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01" w:type="dxa"/>
            <w:shd w:val="clear" w:color="auto" w:fill="auto"/>
            <w:vAlign w:val="bottom"/>
            <w:hideMark/>
          </w:tcPr>
          <w:p w14:paraId="6F33548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65" w:type="dxa"/>
            <w:shd w:val="clear" w:color="auto" w:fill="auto"/>
            <w:vAlign w:val="bottom"/>
            <w:hideMark/>
          </w:tcPr>
          <w:p w14:paraId="1F3F042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71" w:type="dxa"/>
            <w:shd w:val="clear" w:color="auto" w:fill="auto"/>
            <w:vAlign w:val="bottom"/>
            <w:hideMark/>
          </w:tcPr>
          <w:p w14:paraId="4F902EA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007" w:type="dxa"/>
            <w:shd w:val="clear" w:color="auto" w:fill="auto"/>
            <w:vAlign w:val="bottom"/>
            <w:hideMark/>
          </w:tcPr>
          <w:p w14:paraId="695AA39E"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27" w:type="dxa"/>
            <w:shd w:val="clear" w:color="auto" w:fill="auto"/>
            <w:noWrap/>
            <w:vAlign w:val="bottom"/>
            <w:hideMark/>
          </w:tcPr>
          <w:p w14:paraId="5543D444"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652" w:type="dxa"/>
            <w:shd w:val="clear" w:color="auto" w:fill="auto"/>
            <w:noWrap/>
            <w:vAlign w:val="bottom"/>
            <w:hideMark/>
          </w:tcPr>
          <w:p w14:paraId="263315D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767" w:type="dxa"/>
            <w:shd w:val="clear" w:color="auto" w:fill="auto"/>
            <w:noWrap/>
            <w:vAlign w:val="bottom"/>
            <w:hideMark/>
          </w:tcPr>
          <w:p w14:paraId="10D88FA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29" w:type="dxa"/>
            <w:shd w:val="clear" w:color="auto" w:fill="auto"/>
            <w:noWrap/>
            <w:vAlign w:val="bottom"/>
            <w:hideMark/>
          </w:tcPr>
          <w:p w14:paraId="5F0AB66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472" w:type="dxa"/>
            <w:shd w:val="clear" w:color="000000" w:fill="FFFF00"/>
            <w:noWrap/>
            <w:vAlign w:val="center"/>
            <w:hideMark/>
          </w:tcPr>
          <w:p w14:paraId="39047FF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c>
          <w:tcPr>
            <w:tcW w:w="1003" w:type="dxa"/>
            <w:shd w:val="clear" w:color="000000" w:fill="FFFFFF"/>
            <w:noWrap/>
            <w:vAlign w:val="center"/>
            <w:hideMark/>
          </w:tcPr>
          <w:p w14:paraId="7CAEB5F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18</w:t>
            </w:r>
          </w:p>
        </w:tc>
        <w:tc>
          <w:tcPr>
            <w:tcW w:w="504" w:type="dxa"/>
            <w:shd w:val="clear" w:color="auto" w:fill="auto"/>
            <w:vAlign w:val="center"/>
            <w:hideMark/>
          </w:tcPr>
          <w:p w14:paraId="5587D99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23%</w:t>
            </w:r>
          </w:p>
        </w:tc>
      </w:tr>
      <w:tr w:rsidR="00C56737" w:rsidRPr="00C56737" w14:paraId="0DBDE923" w14:textId="77777777" w:rsidTr="00C56737">
        <w:trPr>
          <w:trHeight w:val="283"/>
        </w:trPr>
        <w:tc>
          <w:tcPr>
            <w:tcW w:w="480" w:type="dxa"/>
            <w:shd w:val="clear" w:color="auto" w:fill="auto"/>
            <w:noWrap/>
            <w:vAlign w:val="bottom"/>
            <w:hideMark/>
          </w:tcPr>
          <w:p w14:paraId="3710A93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p>
        </w:tc>
        <w:tc>
          <w:tcPr>
            <w:tcW w:w="3910" w:type="dxa"/>
            <w:shd w:val="clear" w:color="auto" w:fill="auto"/>
            <w:vAlign w:val="bottom"/>
            <w:hideMark/>
          </w:tcPr>
          <w:p w14:paraId="1538AE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280" w:type="dxa"/>
            <w:shd w:val="clear" w:color="auto" w:fill="auto"/>
            <w:noWrap/>
            <w:vAlign w:val="bottom"/>
            <w:hideMark/>
          </w:tcPr>
          <w:p w14:paraId="3A7CC0D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95" w:type="dxa"/>
            <w:shd w:val="clear" w:color="auto" w:fill="auto"/>
            <w:vAlign w:val="bottom"/>
            <w:hideMark/>
          </w:tcPr>
          <w:p w14:paraId="5EFFC3D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01" w:type="dxa"/>
            <w:shd w:val="clear" w:color="auto" w:fill="auto"/>
            <w:vAlign w:val="bottom"/>
            <w:hideMark/>
          </w:tcPr>
          <w:p w14:paraId="1507E1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65" w:type="dxa"/>
            <w:shd w:val="clear" w:color="auto" w:fill="auto"/>
            <w:vAlign w:val="bottom"/>
            <w:hideMark/>
          </w:tcPr>
          <w:p w14:paraId="6A5444F1"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71" w:type="dxa"/>
            <w:shd w:val="clear" w:color="auto" w:fill="auto"/>
            <w:vAlign w:val="bottom"/>
            <w:hideMark/>
          </w:tcPr>
          <w:p w14:paraId="3DE5B3D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007" w:type="dxa"/>
            <w:shd w:val="clear" w:color="auto" w:fill="auto"/>
            <w:vAlign w:val="bottom"/>
            <w:hideMark/>
          </w:tcPr>
          <w:p w14:paraId="3031BE6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27" w:type="dxa"/>
            <w:shd w:val="clear" w:color="auto" w:fill="auto"/>
            <w:noWrap/>
            <w:vAlign w:val="bottom"/>
            <w:hideMark/>
          </w:tcPr>
          <w:p w14:paraId="7F61B008"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652" w:type="dxa"/>
            <w:shd w:val="clear" w:color="auto" w:fill="auto"/>
            <w:noWrap/>
            <w:vAlign w:val="bottom"/>
            <w:hideMark/>
          </w:tcPr>
          <w:p w14:paraId="61AB1B7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767" w:type="dxa"/>
            <w:shd w:val="clear" w:color="auto" w:fill="auto"/>
            <w:noWrap/>
            <w:vAlign w:val="bottom"/>
            <w:hideMark/>
          </w:tcPr>
          <w:p w14:paraId="7C49881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29" w:type="dxa"/>
            <w:shd w:val="clear" w:color="auto" w:fill="auto"/>
            <w:noWrap/>
            <w:vAlign w:val="bottom"/>
            <w:hideMark/>
          </w:tcPr>
          <w:p w14:paraId="2BF778E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472" w:type="dxa"/>
            <w:shd w:val="clear" w:color="000000" w:fill="FF0000"/>
            <w:noWrap/>
            <w:vAlign w:val="center"/>
            <w:hideMark/>
          </w:tcPr>
          <w:p w14:paraId="4FE5405B"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2</w:t>
            </w:r>
          </w:p>
        </w:tc>
        <w:tc>
          <w:tcPr>
            <w:tcW w:w="1003" w:type="dxa"/>
            <w:shd w:val="clear" w:color="000000" w:fill="FFFFFF"/>
            <w:noWrap/>
            <w:vAlign w:val="center"/>
            <w:hideMark/>
          </w:tcPr>
          <w:p w14:paraId="28E2BD2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2</w:t>
            </w:r>
          </w:p>
        </w:tc>
        <w:tc>
          <w:tcPr>
            <w:tcW w:w="504" w:type="dxa"/>
            <w:shd w:val="clear" w:color="auto" w:fill="auto"/>
            <w:vAlign w:val="center"/>
            <w:hideMark/>
          </w:tcPr>
          <w:p w14:paraId="1D7E34D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000000"/>
                <w:kern w:val="0"/>
                <w:sz w:val="15"/>
                <w:szCs w:val="15"/>
                <w:lang w:val="nl-BE"/>
                <w14:ligatures w14:val="none"/>
              </w:rPr>
            </w:pPr>
            <w:r w:rsidRPr="00C56737">
              <w:rPr>
                <w:rFonts w:ascii="Calibri" w:eastAsia="Calibri" w:hAnsi="Calibri" w:cs="Calibri"/>
                <w:b/>
                <w:bCs/>
                <w:color w:val="000000"/>
                <w:kern w:val="0"/>
                <w:sz w:val="15"/>
                <w:szCs w:val="15"/>
                <w:lang w:val="nl-BE"/>
                <w14:ligatures w14:val="none"/>
              </w:rPr>
              <w:t>3%</w:t>
            </w:r>
          </w:p>
        </w:tc>
      </w:tr>
      <w:tr w:rsidR="00C56737" w:rsidRPr="00C56737" w14:paraId="77968F67" w14:textId="77777777" w:rsidTr="00C56737">
        <w:trPr>
          <w:trHeight w:val="283"/>
        </w:trPr>
        <w:tc>
          <w:tcPr>
            <w:tcW w:w="480" w:type="dxa"/>
            <w:shd w:val="clear" w:color="auto" w:fill="auto"/>
            <w:noWrap/>
            <w:vAlign w:val="bottom"/>
            <w:hideMark/>
          </w:tcPr>
          <w:p w14:paraId="49A58CB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3910" w:type="dxa"/>
            <w:shd w:val="clear" w:color="auto" w:fill="auto"/>
            <w:vAlign w:val="bottom"/>
            <w:hideMark/>
          </w:tcPr>
          <w:p w14:paraId="6F13969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280" w:type="dxa"/>
            <w:shd w:val="clear" w:color="auto" w:fill="auto"/>
            <w:noWrap/>
            <w:vAlign w:val="bottom"/>
            <w:hideMark/>
          </w:tcPr>
          <w:p w14:paraId="5D8486A7"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95" w:type="dxa"/>
            <w:shd w:val="clear" w:color="auto" w:fill="auto"/>
            <w:vAlign w:val="bottom"/>
            <w:hideMark/>
          </w:tcPr>
          <w:p w14:paraId="402E9B3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01" w:type="dxa"/>
            <w:shd w:val="clear" w:color="auto" w:fill="auto"/>
            <w:vAlign w:val="bottom"/>
            <w:hideMark/>
          </w:tcPr>
          <w:p w14:paraId="57068CE9"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65" w:type="dxa"/>
            <w:shd w:val="clear" w:color="auto" w:fill="auto"/>
            <w:vAlign w:val="bottom"/>
            <w:hideMark/>
          </w:tcPr>
          <w:p w14:paraId="3158BC5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971" w:type="dxa"/>
            <w:shd w:val="clear" w:color="auto" w:fill="auto"/>
            <w:vAlign w:val="bottom"/>
            <w:hideMark/>
          </w:tcPr>
          <w:p w14:paraId="343ED69C"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007" w:type="dxa"/>
            <w:shd w:val="clear" w:color="auto" w:fill="auto"/>
            <w:vAlign w:val="bottom"/>
            <w:hideMark/>
          </w:tcPr>
          <w:p w14:paraId="69BBF98F"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1127" w:type="dxa"/>
            <w:shd w:val="clear" w:color="auto" w:fill="auto"/>
            <w:noWrap/>
            <w:vAlign w:val="bottom"/>
            <w:hideMark/>
          </w:tcPr>
          <w:p w14:paraId="6B61C97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652" w:type="dxa"/>
            <w:shd w:val="clear" w:color="auto" w:fill="auto"/>
            <w:noWrap/>
            <w:vAlign w:val="bottom"/>
            <w:hideMark/>
          </w:tcPr>
          <w:p w14:paraId="217A2D33"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767" w:type="dxa"/>
            <w:shd w:val="clear" w:color="auto" w:fill="auto"/>
            <w:noWrap/>
            <w:vAlign w:val="bottom"/>
            <w:hideMark/>
          </w:tcPr>
          <w:p w14:paraId="6724D112"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color w:val="000000"/>
                <w:kern w:val="0"/>
                <w:sz w:val="15"/>
                <w:szCs w:val="15"/>
                <w:lang w:val="nl-BE"/>
                <w14:ligatures w14:val="none"/>
              </w:rPr>
            </w:pPr>
          </w:p>
        </w:tc>
        <w:tc>
          <w:tcPr>
            <w:tcW w:w="2404" w:type="dxa"/>
            <w:gridSpan w:val="3"/>
            <w:shd w:val="clear" w:color="000000" w:fill="333F4F"/>
            <w:noWrap/>
            <w:vAlign w:val="center"/>
            <w:hideMark/>
          </w:tcPr>
          <w:p w14:paraId="0A758DB0"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Average Percentage Agreement</w:t>
            </w:r>
          </w:p>
        </w:tc>
        <w:tc>
          <w:tcPr>
            <w:tcW w:w="504" w:type="dxa"/>
            <w:shd w:val="clear" w:color="000000" w:fill="333F4F"/>
            <w:noWrap/>
            <w:vAlign w:val="center"/>
            <w:hideMark/>
          </w:tcPr>
          <w:p w14:paraId="5AC94CDD" w14:textId="77777777" w:rsidR="00C56737" w:rsidRPr="00C56737" w:rsidRDefault="00C56737" w:rsidP="00C56737">
            <w:pPr>
              <w:autoSpaceDE w:val="0"/>
              <w:autoSpaceDN w:val="0"/>
              <w:adjustRightInd w:val="0"/>
              <w:spacing w:before="1" w:after="0" w:line="240" w:lineRule="auto"/>
              <w:ind w:left="28"/>
              <w:rPr>
                <w:rFonts w:ascii="Calibri" w:eastAsia="Calibri" w:hAnsi="Calibri" w:cs="Calibri"/>
                <w:b/>
                <w:bCs/>
                <w:color w:val="FFFFFF"/>
                <w:kern w:val="0"/>
                <w:sz w:val="15"/>
                <w:szCs w:val="15"/>
                <w:lang w:val="nl-BE"/>
                <w14:ligatures w14:val="none"/>
              </w:rPr>
            </w:pPr>
            <w:r w:rsidRPr="00C56737">
              <w:rPr>
                <w:rFonts w:ascii="Calibri" w:eastAsia="Calibri" w:hAnsi="Calibri" w:cs="Calibri"/>
                <w:b/>
                <w:bCs/>
                <w:color w:val="FFFFFF"/>
                <w:kern w:val="0"/>
                <w:sz w:val="15"/>
                <w:szCs w:val="15"/>
                <w:lang w:val="nl-BE"/>
                <w14:ligatures w14:val="none"/>
              </w:rPr>
              <w:t>84%</w:t>
            </w:r>
          </w:p>
        </w:tc>
      </w:tr>
    </w:tbl>
    <w:p w14:paraId="66084971"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66F66AF6" w14:textId="77777777"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sectPr w:rsidR="00C56737" w:rsidRPr="00C56737" w:rsidSect="00C5394F">
          <w:pgSz w:w="16838" w:h="11906" w:orient="landscape" w:code="9"/>
          <w:pgMar w:top="1247" w:right="1247" w:bottom="1247" w:left="1247" w:header="720" w:footer="720" w:gutter="0"/>
          <w:cols w:space="720"/>
          <w:titlePg/>
          <w:docGrid w:linePitch="360"/>
        </w:sectPr>
      </w:pPr>
    </w:p>
    <w:p w14:paraId="2859883A" w14:textId="0B4979A1"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bookmarkStart w:id="30" w:name="_Toc129123395"/>
      <w:bookmarkStart w:id="31" w:name="_Toc148436733"/>
      <w:bookmarkStart w:id="32" w:name="_Toc155640215"/>
      <w:bookmarkStart w:id="33" w:name="_Toc155643135"/>
      <w:bookmarkStart w:id="34" w:name="_Toc156489279"/>
      <w:bookmarkStart w:id="35" w:name="_Toc163070897"/>
      <w:bookmarkStart w:id="36" w:name="_Toc181650865"/>
      <w:bookmarkStart w:id="37" w:name="_Toc102139944"/>
      <w:bookmarkStart w:id="38" w:name="_Toc102140020"/>
      <w:bookmarkStart w:id="39" w:name="_Ref103438542"/>
      <w:bookmarkStart w:id="40" w:name="_Toc120489338"/>
      <w:bookmarkEnd w:id="12"/>
      <w:r w:rsidRPr="00C56737">
        <w:rPr>
          <w:rFonts w:ascii="Times New Roman" w:eastAsia="Times New Roman" w:hAnsi="Times New Roman" w:cs="Arial"/>
          <w:b/>
          <w:bCs/>
          <w:caps/>
          <w:kern w:val="32"/>
          <w:szCs w:val="32"/>
          <w:lang w:val="en-GB" w:eastAsia="en-GB"/>
          <w14:ligatures w14:val="none"/>
        </w:rPr>
        <w:t xml:space="preserve">Appendix </w:t>
      </w:r>
      <w:r w:rsidR="00F256EA">
        <w:rPr>
          <w:rFonts w:ascii="Times New Roman" w:eastAsia="Times New Roman" w:hAnsi="Times New Roman" w:cs="Arial"/>
          <w:b/>
          <w:bCs/>
          <w:caps/>
          <w:kern w:val="32"/>
          <w:szCs w:val="32"/>
          <w:lang w:val="en-GB" w:eastAsia="en-GB"/>
          <w14:ligatures w14:val="none"/>
        </w:rPr>
        <w:t>4</w:t>
      </w:r>
      <w:r w:rsidRPr="00C56737">
        <w:rPr>
          <w:rFonts w:ascii="Times New Roman" w:eastAsia="Times New Roman" w:hAnsi="Times New Roman" w:cs="Arial"/>
          <w:b/>
          <w:bCs/>
          <w:caps/>
          <w:kern w:val="32"/>
          <w:szCs w:val="32"/>
          <w:lang w:val="en-GB" w:eastAsia="en-GB"/>
          <w14:ligatures w14:val="none"/>
        </w:rPr>
        <w:t xml:space="preserve"> - Questionnaire for the Expert Panel on Information Quality Criteria Contingency Factors</w:t>
      </w:r>
      <w:bookmarkEnd w:id="30"/>
      <w:bookmarkEnd w:id="31"/>
      <w:bookmarkEnd w:id="32"/>
      <w:bookmarkEnd w:id="33"/>
      <w:bookmarkEnd w:id="34"/>
      <w:bookmarkEnd w:id="35"/>
      <w:bookmarkEnd w:id="36"/>
    </w:p>
    <w:p w14:paraId="0DCBEA39"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noProof/>
          <w:kern w:val="0"/>
          <w:lang w:val="en-GB" w:eastAsia="en-GB"/>
          <w14:ligatures w14:val="none"/>
        </w:rPr>
        <w:drawing>
          <wp:inline distT="0" distB="0" distL="0" distR="0" wp14:anchorId="68BE4381" wp14:editId="66309AE8">
            <wp:extent cx="5330758" cy="7880353"/>
            <wp:effectExtent l="0" t="0" r="3810" b="0"/>
            <wp:docPr id="2" name="Picture 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14"/>
                    <a:stretch>
                      <a:fillRect/>
                    </a:stretch>
                  </pic:blipFill>
                  <pic:spPr>
                    <a:xfrm>
                      <a:off x="0" y="0"/>
                      <a:ext cx="5335470" cy="7887318"/>
                    </a:xfrm>
                    <a:prstGeom prst="rect">
                      <a:avLst/>
                    </a:prstGeom>
                  </pic:spPr>
                </pic:pic>
              </a:graphicData>
            </a:graphic>
          </wp:inline>
        </w:drawing>
      </w:r>
    </w:p>
    <w:p w14:paraId="62E53551"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br w:type="page"/>
      </w:r>
    </w:p>
    <w:p w14:paraId="0E3B4F80" w14:textId="50D849AE"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bookmarkStart w:id="41" w:name="_Toc129123396"/>
      <w:bookmarkStart w:id="42" w:name="_Toc148436734"/>
      <w:bookmarkStart w:id="43" w:name="_Toc155640216"/>
      <w:bookmarkStart w:id="44" w:name="_Toc155643136"/>
      <w:bookmarkStart w:id="45" w:name="_Toc156489280"/>
      <w:bookmarkStart w:id="46" w:name="_Toc163070898"/>
      <w:bookmarkStart w:id="47" w:name="_Toc181650866"/>
      <w:r w:rsidRPr="00C56737">
        <w:rPr>
          <w:rFonts w:ascii="Times New Roman" w:eastAsia="Times New Roman" w:hAnsi="Times New Roman" w:cs="Arial"/>
          <w:b/>
          <w:bCs/>
          <w:caps/>
          <w:kern w:val="32"/>
          <w:szCs w:val="32"/>
          <w:lang w:val="en-GB" w:eastAsia="en-GB"/>
          <w14:ligatures w14:val="none"/>
        </w:rPr>
        <w:t xml:space="preserve">Appendix </w:t>
      </w:r>
      <w:r w:rsidR="00F256EA">
        <w:rPr>
          <w:rFonts w:ascii="Times New Roman" w:eastAsia="Times New Roman" w:hAnsi="Times New Roman" w:cs="Arial"/>
          <w:b/>
          <w:bCs/>
          <w:caps/>
          <w:kern w:val="32"/>
          <w:szCs w:val="32"/>
          <w:lang w:val="en-GB" w:eastAsia="en-GB"/>
          <w14:ligatures w14:val="none"/>
        </w:rPr>
        <w:t>5</w:t>
      </w:r>
      <w:r w:rsidRPr="00C56737">
        <w:rPr>
          <w:rFonts w:ascii="Times New Roman" w:eastAsia="Times New Roman" w:hAnsi="Times New Roman" w:cs="Arial"/>
          <w:b/>
          <w:bCs/>
          <w:caps/>
          <w:kern w:val="32"/>
          <w:szCs w:val="32"/>
          <w:lang w:val="en-GB" w:eastAsia="en-GB"/>
          <w14:ligatures w14:val="none"/>
        </w:rPr>
        <w:t xml:space="preserve"> - Questionnaire for the Delphi Research Phase 2 on Quality Capability Levels for IT Governance Information Items</w:t>
      </w:r>
      <w:bookmarkEnd w:id="37"/>
      <w:bookmarkEnd w:id="38"/>
      <w:bookmarkEnd w:id="39"/>
      <w:bookmarkEnd w:id="40"/>
      <w:bookmarkEnd w:id="41"/>
      <w:bookmarkEnd w:id="42"/>
      <w:bookmarkEnd w:id="43"/>
      <w:bookmarkEnd w:id="44"/>
      <w:bookmarkEnd w:id="45"/>
      <w:bookmarkEnd w:id="46"/>
      <w:bookmarkEnd w:id="47"/>
    </w:p>
    <w:p w14:paraId="1465AAA2" w14:textId="77777777" w:rsidR="00C56737" w:rsidRPr="00C56737" w:rsidRDefault="00C56737" w:rsidP="00C56737">
      <w:pPr>
        <w:widowControl w:val="0"/>
        <w:spacing w:before="240" w:after="0" w:line="480" w:lineRule="auto"/>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 xml:space="preserve">Based on the previous survey, the information quality criteria for the information item &lt;Information Item&gt; have been ranked from most relevant to least relevant. Please review this list and change the ranking if you do not agree with the proposed ranking. </w:t>
      </w:r>
    </w:p>
    <w:tbl>
      <w:tblPr>
        <w:tblStyle w:val="TableGrid1"/>
        <w:tblW w:w="9067" w:type="dxa"/>
        <w:tblLayout w:type="fixed"/>
        <w:tblLook w:val="04A0" w:firstRow="1" w:lastRow="0" w:firstColumn="1" w:lastColumn="0" w:noHBand="0" w:noVBand="1"/>
      </w:tblPr>
      <w:tblGrid>
        <w:gridCol w:w="7083"/>
        <w:gridCol w:w="1133"/>
        <w:gridCol w:w="851"/>
      </w:tblGrid>
      <w:tr w:rsidR="00C56737" w:rsidRPr="00C56737" w14:paraId="2E06A671" w14:textId="77777777" w:rsidTr="00C56737">
        <w:trPr>
          <w:trHeight w:val="283"/>
        </w:trPr>
        <w:tc>
          <w:tcPr>
            <w:tcW w:w="7083" w:type="dxa"/>
            <w:shd w:val="clear" w:color="auto" w:fill="EEECE1"/>
            <w:vAlign w:val="center"/>
          </w:tcPr>
          <w:p w14:paraId="1B4FC71F"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rPr>
            </w:pPr>
            <w:r w:rsidRPr="00C56737">
              <w:rPr>
                <w:rFonts w:ascii="Calibri" w:eastAsia="Calibri" w:hAnsi="Calibri" w:cs="Calibri"/>
                <w:color w:val="000000"/>
                <w:sz w:val="20"/>
                <w:szCs w:val="20"/>
              </w:rPr>
              <w:t>Information Quality Criteria</w:t>
            </w:r>
          </w:p>
        </w:tc>
        <w:tc>
          <w:tcPr>
            <w:tcW w:w="1133" w:type="dxa"/>
            <w:shd w:val="clear" w:color="auto" w:fill="EEECE1"/>
            <w:vAlign w:val="center"/>
          </w:tcPr>
          <w:p w14:paraId="5E96A190"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Proposed Rank</w:t>
            </w:r>
          </w:p>
        </w:tc>
        <w:tc>
          <w:tcPr>
            <w:tcW w:w="851" w:type="dxa"/>
            <w:shd w:val="clear" w:color="auto" w:fill="EEECE1"/>
            <w:vAlign w:val="center"/>
          </w:tcPr>
          <w:p w14:paraId="53C0FF15"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Your Rank</w:t>
            </w:r>
          </w:p>
        </w:tc>
      </w:tr>
      <w:tr w:rsidR="00C56737" w:rsidRPr="00C56737" w14:paraId="0969D13A" w14:textId="77777777" w:rsidTr="00C03BC9">
        <w:tc>
          <w:tcPr>
            <w:tcW w:w="7083" w:type="dxa"/>
          </w:tcPr>
          <w:p w14:paraId="502C0069"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Accuracy (The extent to which information corresponds to the true value)</w:t>
            </w:r>
          </w:p>
        </w:tc>
        <w:tc>
          <w:tcPr>
            <w:tcW w:w="1133" w:type="dxa"/>
            <w:vAlign w:val="center"/>
          </w:tcPr>
          <w:p w14:paraId="4318A14C"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1</w:t>
            </w:r>
          </w:p>
        </w:tc>
        <w:tc>
          <w:tcPr>
            <w:tcW w:w="851" w:type="dxa"/>
            <w:vAlign w:val="center"/>
          </w:tcPr>
          <w:p w14:paraId="22F0C2B1"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083FC52F" w14:textId="77777777" w:rsidTr="00C03BC9">
        <w:tc>
          <w:tcPr>
            <w:tcW w:w="7083" w:type="dxa"/>
          </w:tcPr>
          <w:p w14:paraId="3B8C5824"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Completeness (The extent to which information is not missing and is of sufficient depth and breadth for the task at hand)</w:t>
            </w:r>
          </w:p>
        </w:tc>
        <w:tc>
          <w:tcPr>
            <w:tcW w:w="1133" w:type="dxa"/>
            <w:vAlign w:val="center"/>
          </w:tcPr>
          <w:p w14:paraId="121E2E27"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2</w:t>
            </w:r>
          </w:p>
        </w:tc>
        <w:tc>
          <w:tcPr>
            <w:tcW w:w="851" w:type="dxa"/>
            <w:vAlign w:val="center"/>
          </w:tcPr>
          <w:p w14:paraId="2ADD562D"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09008321" w14:textId="77777777" w:rsidTr="00C03BC9">
        <w:tc>
          <w:tcPr>
            <w:tcW w:w="7083" w:type="dxa"/>
          </w:tcPr>
          <w:p w14:paraId="117C3E78"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Traceability (The extent to which information’s source or sources can be found)</w:t>
            </w:r>
          </w:p>
        </w:tc>
        <w:tc>
          <w:tcPr>
            <w:tcW w:w="1133" w:type="dxa"/>
            <w:vAlign w:val="center"/>
          </w:tcPr>
          <w:p w14:paraId="66754361"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3</w:t>
            </w:r>
          </w:p>
        </w:tc>
        <w:tc>
          <w:tcPr>
            <w:tcW w:w="851" w:type="dxa"/>
            <w:vAlign w:val="center"/>
          </w:tcPr>
          <w:p w14:paraId="3BA6CC83"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273EF43F" w14:textId="77777777" w:rsidTr="00C03BC9">
        <w:tc>
          <w:tcPr>
            <w:tcW w:w="7083" w:type="dxa"/>
          </w:tcPr>
          <w:p w14:paraId="73B32BAD"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Interpretability (The extent to which information is in appropriate languages, symbols and units, and the definitions are clear for both human and machine users)</w:t>
            </w:r>
          </w:p>
        </w:tc>
        <w:tc>
          <w:tcPr>
            <w:tcW w:w="1133" w:type="dxa"/>
            <w:vAlign w:val="center"/>
          </w:tcPr>
          <w:p w14:paraId="3B9F8FDF"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4</w:t>
            </w:r>
          </w:p>
        </w:tc>
        <w:tc>
          <w:tcPr>
            <w:tcW w:w="851" w:type="dxa"/>
            <w:vAlign w:val="center"/>
          </w:tcPr>
          <w:p w14:paraId="735F39F2"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5B7AB39C" w14:textId="77777777" w:rsidTr="00C03BC9">
        <w:tc>
          <w:tcPr>
            <w:tcW w:w="7083" w:type="dxa"/>
          </w:tcPr>
          <w:p w14:paraId="352CEE21"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Relevancy (The extent to which information is applicable and helpful for the task at hand)</w:t>
            </w:r>
          </w:p>
        </w:tc>
        <w:tc>
          <w:tcPr>
            <w:tcW w:w="1133" w:type="dxa"/>
            <w:vAlign w:val="center"/>
          </w:tcPr>
          <w:p w14:paraId="17B82848"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5</w:t>
            </w:r>
          </w:p>
        </w:tc>
        <w:tc>
          <w:tcPr>
            <w:tcW w:w="851" w:type="dxa"/>
            <w:vAlign w:val="center"/>
          </w:tcPr>
          <w:p w14:paraId="0EEDFFCA"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62CDC147" w14:textId="77777777" w:rsidTr="00C03BC9">
        <w:tc>
          <w:tcPr>
            <w:tcW w:w="7083" w:type="dxa"/>
          </w:tcPr>
          <w:p w14:paraId="0D494F9A"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Currency (The extent to which information is sufficiently up to date for the task at hand)</w:t>
            </w:r>
          </w:p>
        </w:tc>
        <w:tc>
          <w:tcPr>
            <w:tcW w:w="1133" w:type="dxa"/>
            <w:vAlign w:val="center"/>
          </w:tcPr>
          <w:p w14:paraId="507F77F3"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6</w:t>
            </w:r>
          </w:p>
        </w:tc>
        <w:tc>
          <w:tcPr>
            <w:tcW w:w="851" w:type="dxa"/>
            <w:vAlign w:val="center"/>
          </w:tcPr>
          <w:p w14:paraId="4529772D"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682CF7C5" w14:textId="77777777" w:rsidTr="00C03BC9">
        <w:tc>
          <w:tcPr>
            <w:tcW w:w="7083" w:type="dxa"/>
          </w:tcPr>
          <w:p w14:paraId="0A7CA906"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Timeliness (The extent to which the moment in time the data is available for the task at hand is appropriate)</w:t>
            </w:r>
          </w:p>
        </w:tc>
        <w:tc>
          <w:tcPr>
            <w:tcW w:w="1133" w:type="dxa"/>
            <w:vAlign w:val="center"/>
          </w:tcPr>
          <w:p w14:paraId="6B6CF1B1"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7</w:t>
            </w:r>
          </w:p>
        </w:tc>
        <w:tc>
          <w:tcPr>
            <w:tcW w:w="851" w:type="dxa"/>
            <w:vAlign w:val="center"/>
          </w:tcPr>
          <w:p w14:paraId="4D80FB13"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3F43634D" w14:textId="77777777" w:rsidTr="00C03BC9">
        <w:tc>
          <w:tcPr>
            <w:tcW w:w="7083" w:type="dxa"/>
          </w:tcPr>
          <w:p w14:paraId="202A21AD"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Objectivity (The extent to which information is unbiased, unprejudiced and impartial)</w:t>
            </w:r>
          </w:p>
        </w:tc>
        <w:tc>
          <w:tcPr>
            <w:tcW w:w="1133" w:type="dxa"/>
            <w:vAlign w:val="center"/>
          </w:tcPr>
          <w:p w14:paraId="0B5AACE9"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8</w:t>
            </w:r>
          </w:p>
        </w:tc>
        <w:tc>
          <w:tcPr>
            <w:tcW w:w="851" w:type="dxa"/>
            <w:vAlign w:val="center"/>
          </w:tcPr>
          <w:p w14:paraId="30A82FED"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487AF57A" w14:textId="77777777" w:rsidTr="00C03BC9">
        <w:tc>
          <w:tcPr>
            <w:tcW w:w="7083" w:type="dxa"/>
          </w:tcPr>
          <w:p w14:paraId="17455066"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Consistency (The extent to which information is presented in the same format)</w:t>
            </w:r>
          </w:p>
        </w:tc>
        <w:tc>
          <w:tcPr>
            <w:tcW w:w="1133" w:type="dxa"/>
            <w:vAlign w:val="center"/>
          </w:tcPr>
          <w:p w14:paraId="592A2136"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9</w:t>
            </w:r>
          </w:p>
        </w:tc>
        <w:tc>
          <w:tcPr>
            <w:tcW w:w="851" w:type="dxa"/>
            <w:vAlign w:val="center"/>
          </w:tcPr>
          <w:p w14:paraId="4048EB62"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2023EC29" w14:textId="77777777" w:rsidTr="00C03BC9">
        <w:tc>
          <w:tcPr>
            <w:tcW w:w="7083" w:type="dxa"/>
          </w:tcPr>
          <w:p w14:paraId="30283239"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Understandability (The extent to which information is easily comprehended)</w:t>
            </w:r>
          </w:p>
        </w:tc>
        <w:tc>
          <w:tcPr>
            <w:tcW w:w="1133" w:type="dxa"/>
            <w:vAlign w:val="center"/>
          </w:tcPr>
          <w:p w14:paraId="111B7393"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10</w:t>
            </w:r>
          </w:p>
        </w:tc>
        <w:tc>
          <w:tcPr>
            <w:tcW w:w="851" w:type="dxa"/>
            <w:vAlign w:val="center"/>
          </w:tcPr>
          <w:p w14:paraId="652D9116"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44E37C50" w14:textId="77777777" w:rsidTr="00C03BC9">
        <w:tc>
          <w:tcPr>
            <w:tcW w:w="7083" w:type="dxa"/>
          </w:tcPr>
          <w:p w14:paraId="1D279B57"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Precision (The extent to which different measurements of the information are close to each other)</w:t>
            </w:r>
          </w:p>
        </w:tc>
        <w:tc>
          <w:tcPr>
            <w:tcW w:w="1133" w:type="dxa"/>
            <w:vAlign w:val="center"/>
          </w:tcPr>
          <w:p w14:paraId="137F2629"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11</w:t>
            </w:r>
          </w:p>
        </w:tc>
        <w:tc>
          <w:tcPr>
            <w:tcW w:w="851" w:type="dxa"/>
            <w:vAlign w:val="center"/>
          </w:tcPr>
          <w:p w14:paraId="0FE7A64C"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202A7C0D" w14:textId="77777777" w:rsidTr="00C03BC9">
        <w:tc>
          <w:tcPr>
            <w:tcW w:w="7083" w:type="dxa"/>
          </w:tcPr>
          <w:p w14:paraId="6624E692"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Effectiveness (The extent to which information is able to meet the information needs for the task at hand)</w:t>
            </w:r>
          </w:p>
        </w:tc>
        <w:tc>
          <w:tcPr>
            <w:tcW w:w="1133" w:type="dxa"/>
            <w:vAlign w:val="center"/>
          </w:tcPr>
          <w:p w14:paraId="30AE6341"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12</w:t>
            </w:r>
          </w:p>
        </w:tc>
        <w:tc>
          <w:tcPr>
            <w:tcW w:w="851" w:type="dxa"/>
            <w:vAlign w:val="center"/>
          </w:tcPr>
          <w:p w14:paraId="2D2283E4"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6D7C2C96" w14:textId="77777777" w:rsidTr="00C03BC9">
        <w:tc>
          <w:tcPr>
            <w:tcW w:w="7083" w:type="dxa"/>
          </w:tcPr>
          <w:p w14:paraId="18E5B75F"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Availability (The extent to which information is available when required, or easily and quickly retrievable)</w:t>
            </w:r>
          </w:p>
        </w:tc>
        <w:tc>
          <w:tcPr>
            <w:tcW w:w="1133" w:type="dxa"/>
            <w:vAlign w:val="center"/>
          </w:tcPr>
          <w:p w14:paraId="3FB87747"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13</w:t>
            </w:r>
          </w:p>
        </w:tc>
        <w:tc>
          <w:tcPr>
            <w:tcW w:w="851" w:type="dxa"/>
            <w:vAlign w:val="center"/>
          </w:tcPr>
          <w:p w14:paraId="22C4A860"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467F2449" w14:textId="77777777" w:rsidTr="00C03BC9">
        <w:tc>
          <w:tcPr>
            <w:tcW w:w="7083" w:type="dxa"/>
          </w:tcPr>
          <w:p w14:paraId="4FC75BCB"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Appropriate Amount (The extent to which the volume of information is appropriate for the task at hand)</w:t>
            </w:r>
          </w:p>
        </w:tc>
        <w:tc>
          <w:tcPr>
            <w:tcW w:w="1133" w:type="dxa"/>
            <w:vAlign w:val="center"/>
          </w:tcPr>
          <w:p w14:paraId="2E196AC4"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14</w:t>
            </w:r>
          </w:p>
        </w:tc>
        <w:tc>
          <w:tcPr>
            <w:tcW w:w="851" w:type="dxa"/>
            <w:vAlign w:val="center"/>
          </w:tcPr>
          <w:p w14:paraId="2021A9E3"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0AF2589E" w14:textId="77777777" w:rsidTr="00C03BC9">
        <w:tc>
          <w:tcPr>
            <w:tcW w:w="7083" w:type="dxa"/>
          </w:tcPr>
          <w:p w14:paraId="169FCE8D"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Accessibility (The extent to which access to information is restricted appropriately to authorized parties)</w:t>
            </w:r>
          </w:p>
        </w:tc>
        <w:tc>
          <w:tcPr>
            <w:tcW w:w="1133" w:type="dxa"/>
            <w:vAlign w:val="center"/>
          </w:tcPr>
          <w:p w14:paraId="0BC3BC63"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15</w:t>
            </w:r>
          </w:p>
        </w:tc>
        <w:tc>
          <w:tcPr>
            <w:tcW w:w="851" w:type="dxa"/>
            <w:vAlign w:val="center"/>
          </w:tcPr>
          <w:p w14:paraId="6F1EC82D"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r w:rsidR="00C56737" w:rsidRPr="00C56737" w14:paraId="1A0C9862" w14:textId="77777777" w:rsidTr="00C03BC9">
        <w:tc>
          <w:tcPr>
            <w:tcW w:w="7083" w:type="dxa"/>
          </w:tcPr>
          <w:p w14:paraId="0E3E5907"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0"/>
                <w:lang w:val="en-US"/>
              </w:rPr>
            </w:pPr>
            <w:r w:rsidRPr="00C56737">
              <w:rPr>
                <w:rFonts w:ascii="Calibri" w:eastAsia="Calibri" w:hAnsi="Calibri" w:cs="Calibri"/>
                <w:color w:val="000000"/>
                <w:sz w:val="20"/>
                <w:szCs w:val="20"/>
                <w:lang w:val="en-US"/>
              </w:rPr>
              <w:t>Source Reliability (The extent to which information is highly regarded in terms of its source or content)</w:t>
            </w:r>
          </w:p>
        </w:tc>
        <w:tc>
          <w:tcPr>
            <w:tcW w:w="1133" w:type="dxa"/>
            <w:vAlign w:val="center"/>
          </w:tcPr>
          <w:p w14:paraId="08EA1ACB"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r w:rsidRPr="00C56737">
              <w:rPr>
                <w:rFonts w:ascii="Calibri" w:eastAsia="Calibri" w:hAnsi="Calibri" w:cs="Calibri"/>
                <w:color w:val="000000"/>
                <w:sz w:val="20"/>
                <w:szCs w:val="20"/>
              </w:rPr>
              <w:t>16</w:t>
            </w:r>
          </w:p>
        </w:tc>
        <w:tc>
          <w:tcPr>
            <w:tcW w:w="851" w:type="dxa"/>
            <w:vAlign w:val="center"/>
          </w:tcPr>
          <w:p w14:paraId="18128888" w14:textId="77777777" w:rsidR="00C56737" w:rsidRPr="00C56737" w:rsidRDefault="00C56737" w:rsidP="00C56737">
            <w:pPr>
              <w:autoSpaceDE w:val="0"/>
              <w:autoSpaceDN w:val="0"/>
              <w:adjustRightInd w:val="0"/>
              <w:spacing w:before="1"/>
              <w:ind w:left="28"/>
              <w:jc w:val="center"/>
              <w:rPr>
                <w:rFonts w:ascii="Calibri" w:eastAsia="Calibri" w:hAnsi="Calibri" w:cs="Calibri"/>
                <w:color w:val="000000"/>
                <w:sz w:val="20"/>
                <w:szCs w:val="20"/>
              </w:rPr>
            </w:pPr>
          </w:p>
        </w:tc>
      </w:tr>
    </w:tbl>
    <w:p w14:paraId="703EAC4F"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568D0814" w14:textId="77777777" w:rsidR="00C5394F" w:rsidRDefault="00C5394F" w:rsidP="00C56737">
      <w:pPr>
        <w:spacing w:after="0" w:line="480" w:lineRule="auto"/>
        <w:rPr>
          <w:rFonts w:ascii="Times New Roman" w:eastAsia="Times New Roman" w:hAnsi="Times New Roman" w:cs="Times New Roman"/>
          <w:kern w:val="0"/>
          <w:lang w:val="en-GB" w:eastAsia="en-GB"/>
          <w14:ligatures w14:val="none"/>
        </w:rPr>
        <w:sectPr w:rsidR="00C5394F">
          <w:pgSz w:w="11906" w:h="16838"/>
          <w:pgMar w:top="1440" w:right="1440" w:bottom="1440" w:left="1440" w:header="708" w:footer="708" w:gutter="0"/>
          <w:cols w:space="708"/>
          <w:docGrid w:linePitch="360"/>
        </w:sectPr>
      </w:pPr>
    </w:p>
    <w:p w14:paraId="2899F1A1" w14:textId="4FFC3265" w:rsidR="00C56737" w:rsidRPr="00C56737" w:rsidRDefault="00393B8D" w:rsidP="00393B8D">
      <w:pPr>
        <w:keepNext/>
        <w:spacing w:before="360" w:after="60" w:line="360" w:lineRule="auto"/>
        <w:ind w:left="720" w:right="567" w:hanging="360"/>
        <w:contextualSpacing/>
        <w:outlineLvl w:val="0"/>
        <w:rPr>
          <w:rFonts w:ascii="Times New Roman" w:eastAsia="Times New Roman" w:hAnsi="Times New Roman" w:cs="Arial"/>
          <w:b/>
          <w:bCs/>
          <w:caps/>
          <w:kern w:val="32"/>
          <w:szCs w:val="32"/>
          <w:lang w:val="en-GB" w:eastAsia="en-GB"/>
          <w14:ligatures w14:val="none"/>
        </w:rPr>
      </w:pPr>
      <w:bookmarkStart w:id="48" w:name="_Toc156489282"/>
      <w:bookmarkStart w:id="49" w:name="_Toc163070900"/>
      <w:bookmarkStart w:id="50" w:name="_Toc156489281"/>
      <w:bookmarkStart w:id="51" w:name="_Toc163070899"/>
      <w:bookmarkStart w:id="52" w:name="_Toc181650867"/>
      <w:bookmarkStart w:id="53" w:name="_Toc155640217"/>
      <w:bookmarkStart w:id="54" w:name="_Toc155643137"/>
      <w:r w:rsidRPr="00C56737">
        <w:rPr>
          <w:rFonts w:ascii="Times New Roman" w:eastAsia="Times New Roman" w:hAnsi="Times New Roman" w:cs="Times New Roman"/>
          <w:noProof/>
          <w:kern w:val="0"/>
          <w:lang w:val="en-GB" w:eastAsia="en-GB"/>
          <w14:ligatures w14:val="none"/>
        </w:rPr>
        <w:drawing>
          <wp:anchor distT="0" distB="0" distL="114300" distR="114300" simplePos="0" relativeHeight="251659264" behindDoc="0" locked="0" layoutInCell="1" allowOverlap="1" wp14:anchorId="71B39776" wp14:editId="482607CE">
            <wp:simplePos x="0" y="0"/>
            <wp:positionH relativeFrom="column">
              <wp:posOffset>-9525</wp:posOffset>
            </wp:positionH>
            <wp:positionV relativeFrom="paragraph">
              <wp:posOffset>606425</wp:posOffset>
            </wp:positionV>
            <wp:extent cx="7783830" cy="4671060"/>
            <wp:effectExtent l="0" t="0" r="1270" b="2540"/>
            <wp:wrapTopAndBottom/>
            <wp:docPr id="112181235" name="Picture 1121812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123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83830" cy="4671060"/>
                    </a:xfrm>
                    <a:prstGeom prst="rect">
                      <a:avLst/>
                    </a:prstGeom>
                  </pic:spPr>
                </pic:pic>
              </a:graphicData>
            </a:graphic>
            <wp14:sizeRelH relativeFrom="page">
              <wp14:pctWidth>0</wp14:pctWidth>
            </wp14:sizeRelH>
            <wp14:sizeRelV relativeFrom="page">
              <wp14:pctHeight>0</wp14:pctHeight>
            </wp14:sizeRelV>
          </wp:anchor>
        </w:drawing>
      </w:r>
      <w:bookmarkEnd w:id="48"/>
      <w:bookmarkEnd w:id="49"/>
      <w:r w:rsidR="00C56737" w:rsidRPr="00C56737">
        <w:rPr>
          <w:rFonts w:ascii="Times New Roman" w:eastAsia="Times New Roman" w:hAnsi="Times New Roman" w:cs="Arial"/>
          <w:b/>
          <w:bCs/>
          <w:caps/>
          <w:kern w:val="32"/>
          <w:szCs w:val="32"/>
          <w:lang w:val="en-GB" w:eastAsia="en-GB"/>
          <w14:ligatures w14:val="none"/>
        </w:rPr>
        <w:t xml:space="preserve">Appendix </w:t>
      </w:r>
      <w:r w:rsidR="00F256EA">
        <w:rPr>
          <w:rFonts w:ascii="Times New Roman" w:eastAsia="Times New Roman" w:hAnsi="Times New Roman" w:cs="Arial"/>
          <w:b/>
          <w:bCs/>
          <w:caps/>
          <w:kern w:val="32"/>
          <w:szCs w:val="32"/>
          <w:lang w:val="en-GB" w:eastAsia="en-GB"/>
          <w14:ligatures w14:val="none"/>
        </w:rPr>
        <w:t>6</w:t>
      </w:r>
      <w:r w:rsidR="00C56737" w:rsidRPr="00C56737">
        <w:rPr>
          <w:rFonts w:ascii="Times New Roman" w:eastAsia="Times New Roman" w:hAnsi="Times New Roman" w:cs="Arial"/>
          <w:b/>
          <w:bCs/>
          <w:caps/>
          <w:kern w:val="32"/>
          <w:szCs w:val="32"/>
          <w:lang w:val="en-GB" w:eastAsia="en-GB"/>
          <w14:ligatures w14:val="none"/>
        </w:rPr>
        <w:t xml:space="preserve"> – Detailed Calculation of Relative ranking of variation between information quality criteria importance across information purpose categories</w:t>
      </w:r>
      <w:bookmarkEnd w:id="50"/>
      <w:bookmarkEnd w:id="51"/>
      <w:bookmarkEnd w:id="52"/>
    </w:p>
    <w:p w14:paraId="61F44684" w14:textId="77777777" w:rsidR="00393B8D" w:rsidRDefault="00393B8D" w:rsidP="00393B8D">
      <w:pPr>
        <w:pStyle w:val="Paragraph"/>
      </w:pPr>
    </w:p>
    <w:p w14:paraId="64D665F2" w14:textId="77777777" w:rsidR="00393B8D" w:rsidRDefault="00393B8D" w:rsidP="00393B8D">
      <w:pPr>
        <w:pStyle w:val="Paragraph"/>
        <w:sectPr w:rsidR="00393B8D" w:rsidSect="00393B8D">
          <w:pgSz w:w="16838" w:h="11906" w:orient="landscape"/>
          <w:pgMar w:top="1440" w:right="1440" w:bottom="1440" w:left="1440" w:header="708" w:footer="708" w:gutter="0"/>
          <w:cols w:space="708"/>
          <w:docGrid w:linePitch="360"/>
        </w:sectPr>
      </w:pPr>
    </w:p>
    <w:p w14:paraId="15F910BA" w14:textId="7AAB2C51"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bookmarkStart w:id="55" w:name="_Toc156489283"/>
      <w:bookmarkStart w:id="56" w:name="_Toc163070901"/>
      <w:bookmarkStart w:id="57" w:name="_Toc181650868"/>
      <w:r w:rsidRPr="00C56737">
        <w:rPr>
          <w:rFonts w:ascii="Times New Roman" w:eastAsia="Times New Roman" w:hAnsi="Times New Roman" w:cs="Arial"/>
          <w:b/>
          <w:bCs/>
          <w:caps/>
          <w:kern w:val="32"/>
          <w:szCs w:val="32"/>
          <w:lang w:val="en-GB" w:eastAsia="en-GB"/>
          <w14:ligatures w14:val="none"/>
        </w:rPr>
        <w:t xml:space="preserve">Appendix </w:t>
      </w:r>
      <w:r w:rsidR="00F256EA">
        <w:rPr>
          <w:rFonts w:ascii="Times New Roman" w:eastAsia="Times New Roman" w:hAnsi="Times New Roman" w:cs="Arial"/>
          <w:b/>
          <w:bCs/>
          <w:caps/>
          <w:kern w:val="32"/>
          <w:szCs w:val="32"/>
          <w:lang w:val="en-GB" w:eastAsia="en-GB"/>
          <w14:ligatures w14:val="none"/>
        </w:rPr>
        <w:t>7</w:t>
      </w:r>
      <w:r w:rsidRPr="00C56737">
        <w:rPr>
          <w:rFonts w:ascii="Times New Roman" w:eastAsia="Times New Roman" w:hAnsi="Times New Roman" w:cs="Arial"/>
          <w:b/>
          <w:bCs/>
          <w:caps/>
          <w:kern w:val="32"/>
          <w:szCs w:val="32"/>
          <w:lang w:val="en-GB" w:eastAsia="en-GB"/>
          <w14:ligatures w14:val="none"/>
        </w:rPr>
        <w:t xml:space="preserve"> – Generic Capability Model for Information Quality and Model Extensions</w:t>
      </w:r>
      <w:bookmarkEnd w:id="53"/>
      <w:bookmarkEnd w:id="54"/>
      <w:bookmarkEnd w:id="55"/>
      <w:bookmarkEnd w:id="56"/>
      <w:bookmarkEnd w:id="57"/>
    </w:p>
    <w:p w14:paraId="0F036E5D" w14:textId="77777777" w:rsidR="00C56737" w:rsidRPr="00C56737" w:rsidRDefault="00C56737" w:rsidP="00C56737">
      <w:pPr>
        <w:keepNext/>
        <w:spacing w:before="120" w:after="60" w:line="360" w:lineRule="auto"/>
        <w:ind w:right="567"/>
        <w:contextualSpacing/>
        <w:outlineLvl w:val="1"/>
        <w:rPr>
          <w:rFonts w:ascii="Times New Roman" w:eastAsia="Times New Roman" w:hAnsi="Times New Roman" w:cs="Arial"/>
          <w:b/>
          <w:bCs/>
          <w:kern w:val="0"/>
          <w:szCs w:val="28"/>
          <w:lang w:val="en-GB" w:eastAsia="en-GB"/>
          <w14:ligatures w14:val="none"/>
        </w:rPr>
      </w:pPr>
      <w:bookmarkStart w:id="58" w:name="_Toc155640218"/>
      <w:bookmarkStart w:id="59" w:name="_Toc155643138"/>
      <w:bookmarkStart w:id="60" w:name="_Toc156489284"/>
      <w:bookmarkStart w:id="61" w:name="_Toc163070902"/>
      <w:bookmarkStart w:id="62" w:name="_Toc181650869"/>
      <w:r w:rsidRPr="00C56737">
        <w:rPr>
          <w:rFonts w:ascii="Times New Roman" w:eastAsia="Times New Roman" w:hAnsi="Times New Roman" w:cs="Arial"/>
          <w:b/>
          <w:bCs/>
          <w:kern w:val="0"/>
          <w:szCs w:val="28"/>
          <w:lang w:val="en-GB" w:eastAsia="en-GB"/>
          <w14:ligatures w14:val="none"/>
        </w:rPr>
        <w:t>Reporting</w:t>
      </w:r>
      <w:bookmarkEnd w:id="58"/>
      <w:bookmarkEnd w:id="59"/>
      <w:bookmarkEnd w:id="60"/>
      <w:bookmarkEnd w:id="61"/>
      <w:bookmarkEnd w:id="62"/>
    </w:p>
    <w:p w14:paraId="11ADA182" w14:textId="77777777" w:rsidR="00C56737" w:rsidRPr="00C56737" w:rsidRDefault="00C56737" w:rsidP="00C56737">
      <w:pPr>
        <w:keepNext/>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noProof/>
          <w:kern w:val="0"/>
          <w:lang w:val="en-GB" w:eastAsia="en-GB"/>
          <w14:ligatures w14:val="none"/>
        </w:rPr>
        <w:drawing>
          <wp:inline distT="0" distB="0" distL="0" distR="0" wp14:anchorId="064D2181" wp14:editId="580AF813">
            <wp:extent cx="5759450" cy="3513455"/>
            <wp:effectExtent l="0" t="0" r="6350" b="0"/>
            <wp:docPr id="437498571" name="Picture 43749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98571" name=""/>
                    <pic:cNvPicPr/>
                  </pic:nvPicPr>
                  <pic:blipFill>
                    <a:blip r:embed="rId16"/>
                    <a:stretch>
                      <a:fillRect/>
                    </a:stretch>
                  </pic:blipFill>
                  <pic:spPr>
                    <a:xfrm>
                      <a:off x="0" y="0"/>
                      <a:ext cx="5759450" cy="3513455"/>
                    </a:xfrm>
                    <a:prstGeom prst="rect">
                      <a:avLst/>
                    </a:prstGeom>
                  </pic:spPr>
                </pic:pic>
              </a:graphicData>
            </a:graphic>
          </wp:inline>
        </w:drawing>
      </w:r>
    </w:p>
    <w:p w14:paraId="4D19A2C9" w14:textId="6A389DD3" w:rsidR="00C56737" w:rsidRPr="00C56737" w:rsidRDefault="00C56737" w:rsidP="00C56737">
      <w:pPr>
        <w:spacing w:before="240" w:after="0" w:line="360" w:lineRule="auto"/>
        <w:jc w:val="center"/>
        <w:rPr>
          <w:rFonts w:ascii="Times New Roman" w:eastAsia="Times New Roman" w:hAnsi="Times New Roman" w:cs="Times New Roman"/>
          <w:kern w:val="0"/>
          <w:lang w:val="en-US" w:eastAsia="en-GB"/>
          <w14:ligatures w14:val="none"/>
        </w:rPr>
      </w:pPr>
      <w:bookmarkStart w:id="63" w:name="_Toc156489332"/>
      <w:r w:rsidRPr="00C56737">
        <w:rPr>
          <w:rFonts w:ascii="Times New Roman" w:eastAsia="Times New Roman" w:hAnsi="Times New Roman" w:cs="Times New Roman"/>
          <w:kern w:val="0"/>
          <w:lang w:val="en-US" w:eastAsia="en-GB"/>
          <w14:ligatures w14:val="none"/>
        </w:rPr>
        <w:t xml:space="preserve">Figure </w:t>
      </w:r>
      <w:r w:rsidRPr="00C56737">
        <w:rPr>
          <w:rFonts w:ascii="Times New Roman" w:eastAsia="Times New Roman" w:hAnsi="Times New Roman" w:cs="Times New Roman"/>
          <w:kern w:val="0"/>
          <w:lang w:val="en-US" w:eastAsia="en-GB"/>
          <w14:ligatures w14:val="none"/>
        </w:rPr>
        <w:fldChar w:fldCharType="begin"/>
      </w:r>
      <w:r w:rsidRPr="00C56737">
        <w:rPr>
          <w:rFonts w:ascii="Times New Roman" w:eastAsia="Times New Roman" w:hAnsi="Times New Roman" w:cs="Times New Roman"/>
          <w:kern w:val="0"/>
          <w:lang w:val="en-US" w:eastAsia="en-GB"/>
          <w14:ligatures w14:val="none"/>
        </w:rPr>
        <w:instrText xml:space="preserve"> SEQ Figure \* ARABIC </w:instrText>
      </w:r>
      <w:r w:rsidRPr="00C56737">
        <w:rPr>
          <w:rFonts w:ascii="Times New Roman" w:eastAsia="Times New Roman" w:hAnsi="Times New Roman" w:cs="Times New Roman"/>
          <w:kern w:val="0"/>
          <w:lang w:val="en-US" w:eastAsia="en-GB"/>
          <w14:ligatures w14:val="none"/>
        </w:rPr>
        <w:fldChar w:fldCharType="separate"/>
      </w:r>
      <w:r w:rsidR="006A5B01">
        <w:rPr>
          <w:rFonts w:ascii="Times New Roman" w:eastAsia="Times New Roman" w:hAnsi="Times New Roman" w:cs="Times New Roman"/>
          <w:noProof/>
          <w:kern w:val="0"/>
          <w:lang w:val="en-US" w:eastAsia="en-GB"/>
          <w14:ligatures w14:val="none"/>
        </w:rPr>
        <w:t>1</w:t>
      </w:r>
      <w:r w:rsidRPr="00C56737">
        <w:rPr>
          <w:rFonts w:ascii="Times New Roman" w:eastAsia="Times New Roman" w:hAnsi="Times New Roman" w:cs="Times New Roman"/>
          <w:kern w:val="0"/>
          <w:lang w:val="en-US" w:eastAsia="en-GB"/>
          <w14:ligatures w14:val="none"/>
        </w:rPr>
        <w:fldChar w:fldCharType="end"/>
      </w:r>
      <w:r w:rsidRPr="00C56737">
        <w:rPr>
          <w:rFonts w:ascii="Times New Roman" w:eastAsia="Times New Roman" w:hAnsi="Times New Roman" w:cs="Times New Roman"/>
          <w:kern w:val="0"/>
          <w:lang w:val="en-US" w:eastAsia="en-GB"/>
          <w14:ligatures w14:val="none"/>
        </w:rPr>
        <w:t xml:space="preserve"> – Generic Capability Model and Model Extension for ‘Reporting’ IT Governance Information Items</w:t>
      </w:r>
      <w:bookmarkEnd w:id="63"/>
    </w:p>
    <w:p w14:paraId="6B86D973" w14:textId="77777777" w:rsidR="00C56737" w:rsidRPr="00C56737" w:rsidRDefault="00C56737" w:rsidP="00C56737">
      <w:pPr>
        <w:keepNext/>
        <w:spacing w:before="120" w:after="60" w:line="360" w:lineRule="auto"/>
        <w:ind w:right="567"/>
        <w:contextualSpacing/>
        <w:outlineLvl w:val="1"/>
        <w:rPr>
          <w:rFonts w:ascii="Times New Roman" w:eastAsia="Times New Roman" w:hAnsi="Times New Roman" w:cs="Arial"/>
          <w:b/>
          <w:bCs/>
          <w:kern w:val="0"/>
          <w:szCs w:val="28"/>
          <w:lang w:val="en-GB" w:eastAsia="en-GB"/>
          <w14:ligatures w14:val="none"/>
        </w:rPr>
      </w:pPr>
      <w:bookmarkStart w:id="64" w:name="_Toc155640219"/>
      <w:bookmarkStart w:id="65" w:name="_Toc155643139"/>
      <w:bookmarkStart w:id="66" w:name="_Toc156489285"/>
      <w:bookmarkStart w:id="67" w:name="_Toc163070903"/>
      <w:bookmarkStart w:id="68" w:name="_Toc181650870"/>
      <w:r w:rsidRPr="00C56737">
        <w:rPr>
          <w:rFonts w:ascii="Times New Roman" w:eastAsia="Times New Roman" w:hAnsi="Times New Roman" w:cs="Arial"/>
          <w:b/>
          <w:bCs/>
          <w:noProof/>
          <w:kern w:val="0"/>
          <w:szCs w:val="28"/>
          <w:lang w:val="en-GB" w:eastAsia="en-GB"/>
          <w14:ligatures w14:val="none"/>
        </w:rPr>
        <w:drawing>
          <wp:anchor distT="0" distB="0" distL="114300" distR="114300" simplePos="0" relativeHeight="251660288" behindDoc="0" locked="0" layoutInCell="1" allowOverlap="1" wp14:anchorId="37DBE32B" wp14:editId="6E137A71">
            <wp:simplePos x="0" y="0"/>
            <wp:positionH relativeFrom="column">
              <wp:posOffset>635</wp:posOffset>
            </wp:positionH>
            <wp:positionV relativeFrom="paragraph">
              <wp:posOffset>276225</wp:posOffset>
            </wp:positionV>
            <wp:extent cx="5469890" cy="3336925"/>
            <wp:effectExtent l="0" t="0" r="3810" b="0"/>
            <wp:wrapTopAndBottom/>
            <wp:docPr id="1452761193" name="Picture 1452761193"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193" name="Picture 1" descr="A screen shot of a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9890" cy="3336925"/>
                    </a:xfrm>
                    <a:prstGeom prst="rect">
                      <a:avLst/>
                    </a:prstGeom>
                  </pic:spPr>
                </pic:pic>
              </a:graphicData>
            </a:graphic>
            <wp14:sizeRelH relativeFrom="page">
              <wp14:pctWidth>0</wp14:pctWidth>
            </wp14:sizeRelH>
            <wp14:sizeRelV relativeFrom="page">
              <wp14:pctHeight>0</wp14:pctHeight>
            </wp14:sizeRelV>
          </wp:anchor>
        </w:drawing>
      </w:r>
      <w:r w:rsidRPr="00C56737">
        <w:rPr>
          <w:rFonts w:ascii="Times New Roman" w:eastAsia="Times New Roman" w:hAnsi="Times New Roman" w:cs="Arial"/>
          <w:b/>
          <w:bCs/>
          <w:kern w:val="0"/>
          <w:szCs w:val="28"/>
          <w:lang w:val="en-GB" w:eastAsia="en-GB"/>
          <w14:ligatures w14:val="none"/>
        </w:rPr>
        <w:t>Rules</w:t>
      </w:r>
      <w:bookmarkEnd w:id="64"/>
      <w:bookmarkEnd w:id="65"/>
      <w:bookmarkEnd w:id="66"/>
      <w:bookmarkEnd w:id="67"/>
      <w:bookmarkEnd w:id="68"/>
    </w:p>
    <w:p w14:paraId="2F510837" w14:textId="328A263C" w:rsidR="00C56737" w:rsidRPr="00C56737" w:rsidRDefault="00C56737" w:rsidP="00C56737">
      <w:pPr>
        <w:spacing w:before="240" w:after="0" w:line="360" w:lineRule="auto"/>
        <w:jc w:val="center"/>
        <w:rPr>
          <w:rFonts w:ascii="Times New Roman" w:eastAsia="Times New Roman" w:hAnsi="Times New Roman" w:cs="Times New Roman"/>
          <w:kern w:val="0"/>
          <w:lang w:val="en-US" w:eastAsia="en-GB"/>
          <w14:ligatures w14:val="none"/>
        </w:rPr>
      </w:pPr>
      <w:bookmarkStart w:id="69" w:name="_Toc156489333"/>
      <w:r w:rsidRPr="00C56737">
        <w:rPr>
          <w:rFonts w:ascii="Times New Roman" w:eastAsia="Times New Roman" w:hAnsi="Times New Roman" w:cs="Times New Roman"/>
          <w:kern w:val="0"/>
          <w:lang w:val="en-US" w:eastAsia="en-GB"/>
          <w14:ligatures w14:val="none"/>
        </w:rPr>
        <w:t xml:space="preserve">Figure </w:t>
      </w:r>
      <w:r w:rsidRPr="00C56737">
        <w:rPr>
          <w:rFonts w:ascii="Times New Roman" w:eastAsia="Times New Roman" w:hAnsi="Times New Roman" w:cs="Times New Roman"/>
          <w:kern w:val="0"/>
          <w:lang w:val="en-US" w:eastAsia="en-GB"/>
          <w14:ligatures w14:val="none"/>
        </w:rPr>
        <w:fldChar w:fldCharType="begin"/>
      </w:r>
      <w:r w:rsidRPr="00C56737">
        <w:rPr>
          <w:rFonts w:ascii="Times New Roman" w:eastAsia="Times New Roman" w:hAnsi="Times New Roman" w:cs="Times New Roman"/>
          <w:kern w:val="0"/>
          <w:lang w:val="en-US" w:eastAsia="en-GB"/>
          <w14:ligatures w14:val="none"/>
        </w:rPr>
        <w:instrText xml:space="preserve"> SEQ Figure \* ARABIC </w:instrText>
      </w:r>
      <w:r w:rsidRPr="00C56737">
        <w:rPr>
          <w:rFonts w:ascii="Times New Roman" w:eastAsia="Times New Roman" w:hAnsi="Times New Roman" w:cs="Times New Roman"/>
          <w:kern w:val="0"/>
          <w:lang w:val="en-US" w:eastAsia="en-GB"/>
          <w14:ligatures w14:val="none"/>
        </w:rPr>
        <w:fldChar w:fldCharType="separate"/>
      </w:r>
      <w:r w:rsidR="006A5B01">
        <w:rPr>
          <w:rFonts w:ascii="Times New Roman" w:eastAsia="Times New Roman" w:hAnsi="Times New Roman" w:cs="Times New Roman"/>
          <w:noProof/>
          <w:kern w:val="0"/>
          <w:lang w:val="en-US" w:eastAsia="en-GB"/>
          <w14:ligatures w14:val="none"/>
        </w:rPr>
        <w:t>2</w:t>
      </w:r>
      <w:r w:rsidRPr="00C56737">
        <w:rPr>
          <w:rFonts w:ascii="Times New Roman" w:eastAsia="Times New Roman" w:hAnsi="Times New Roman" w:cs="Times New Roman"/>
          <w:kern w:val="0"/>
          <w:lang w:val="en-US" w:eastAsia="en-GB"/>
          <w14:ligatures w14:val="none"/>
        </w:rPr>
        <w:fldChar w:fldCharType="end"/>
      </w:r>
      <w:r w:rsidRPr="00C56737">
        <w:rPr>
          <w:rFonts w:ascii="Times New Roman" w:eastAsia="Times New Roman" w:hAnsi="Times New Roman" w:cs="Times New Roman"/>
          <w:kern w:val="0"/>
          <w:lang w:val="en-US" w:eastAsia="en-GB"/>
          <w14:ligatures w14:val="none"/>
        </w:rPr>
        <w:t xml:space="preserve"> - Generic Capability Model and Model Extension for ‘Rules’ IT Governance Information Items</w:t>
      </w:r>
      <w:bookmarkEnd w:id="69"/>
    </w:p>
    <w:p w14:paraId="52B4EE23" w14:textId="77777777" w:rsidR="00C56737" w:rsidRPr="00C56737" w:rsidRDefault="00C56737" w:rsidP="00C56737">
      <w:pPr>
        <w:keepNext/>
        <w:spacing w:before="120" w:after="60" w:line="360" w:lineRule="auto"/>
        <w:ind w:right="567"/>
        <w:contextualSpacing/>
        <w:outlineLvl w:val="1"/>
        <w:rPr>
          <w:rFonts w:ascii="Times New Roman" w:eastAsia="Times New Roman" w:hAnsi="Times New Roman" w:cs="Arial"/>
          <w:b/>
          <w:bCs/>
          <w:kern w:val="0"/>
          <w:szCs w:val="28"/>
          <w:lang w:val="en-GB" w:eastAsia="en-GB"/>
          <w14:ligatures w14:val="none"/>
        </w:rPr>
      </w:pPr>
      <w:bookmarkStart w:id="70" w:name="_Toc155640220"/>
      <w:bookmarkStart w:id="71" w:name="_Toc155643140"/>
      <w:bookmarkStart w:id="72" w:name="_Toc156489286"/>
      <w:bookmarkStart w:id="73" w:name="_Toc163070904"/>
      <w:bookmarkStart w:id="74" w:name="_Toc181650871"/>
      <w:r w:rsidRPr="00C56737">
        <w:rPr>
          <w:rFonts w:ascii="Times New Roman" w:eastAsia="Times New Roman" w:hAnsi="Times New Roman" w:cs="Arial"/>
          <w:b/>
          <w:bCs/>
          <w:kern w:val="0"/>
          <w:szCs w:val="28"/>
          <w:lang w:val="en-GB" w:eastAsia="en-GB"/>
          <w14:ligatures w14:val="none"/>
        </w:rPr>
        <w:t>Decisions</w:t>
      </w:r>
      <w:bookmarkEnd w:id="70"/>
      <w:bookmarkEnd w:id="71"/>
      <w:bookmarkEnd w:id="72"/>
      <w:bookmarkEnd w:id="73"/>
      <w:bookmarkEnd w:id="74"/>
    </w:p>
    <w:p w14:paraId="02208B7C"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noProof/>
          <w:kern w:val="0"/>
          <w:lang w:val="en-GB" w:eastAsia="en-GB"/>
          <w14:ligatures w14:val="none"/>
        </w:rPr>
        <w:drawing>
          <wp:inline distT="0" distB="0" distL="0" distR="0" wp14:anchorId="5D81DA69" wp14:editId="59A4C369">
            <wp:extent cx="5422790" cy="3308081"/>
            <wp:effectExtent l="0" t="0" r="635" b="0"/>
            <wp:docPr id="1998799024" name="Picture 199879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99024" name=""/>
                    <pic:cNvPicPr/>
                  </pic:nvPicPr>
                  <pic:blipFill>
                    <a:blip r:embed="rId18"/>
                    <a:stretch>
                      <a:fillRect/>
                    </a:stretch>
                  </pic:blipFill>
                  <pic:spPr>
                    <a:xfrm>
                      <a:off x="0" y="0"/>
                      <a:ext cx="5430102" cy="3312541"/>
                    </a:xfrm>
                    <a:prstGeom prst="rect">
                      <a:avLst/>
                    </a:prstGeom>
                  </pic:spPr>
                </pic:pic>
              </a:graphicData>
            </a:graphic>
          </wp:inline>
        </w:drawing>
      </w:r>
    </w:p>
    <w:p w14:paraId="3593D490" w14:textId="4BE99E9A" w:rsidR="00C56737" w:rsidRPr="00C56737" w:rsidRDefault="00C56737" w:rsidP="00C56737">
      <w:pPr>
        <w:spacing w:before="240" w:after="0" w:line="360" w:lineRule="auto"/>
        <w:jc w:val="center"/>
        <w:rPr>
          <w:rFonts w:ascii="Times New Roman" w:eastAsia="Times New Roman" w:hAnsi="Times New Roman" w:cs="Times New Roman"/>
          <w:kern w:val="0"/>
          <w:lang w:val="en-US" w:eastAsia="en-GB"/>
          <w14:ligatures w14:val="none"/>
        </w:rPr>
      </w:pPr>
      <w:bookmarkStart w:id="75" w:name="_Toc156489334"/>
      <w:r w:rsidRPr="00C56737">
        <w:rPr>
          <w:rFonts w:ascii="Times New Roman" w:eastAsia="Times New Roman" w:hAnsi="Times New Roman" w:cs="Times New Roman"/>
          <w:kern w:val="0"/>
          <w:lang w:val="en-US" w:eastAsia="en-GB"/>
          <w14:ligatures w14:val="none"/>
        </w:rPr>
        <w:t xml:space="preserve">Figure </w:t>
      </w:r>
      <w:r w:rsidRPr="00C56737">
        <w:rPr>
          <w:rFonts w:ascii="Times New Roman" w:eastAsia="Times New Roman" w:hAnsi="Times New Roman" w:cs="Times New Roman"/>
          <w:kern w:val="0"/>
          <w:lang w:val="en-US" w:eastAsia="en-GB"/>
          <w14:ligatures w14:val="none"/>
        </w:rPr>
        <w:fldChar w:fldCharType="begin"/>
      </w:r>
      <w:r w:rsidRPr="00C56737">
        <w:rPr>
          <w:rFonts w:ascii="Times New Roman" w:eastAsia="Times New Roman" w:hAnsi="Times New Roman" w:cs="Times New Roman"/>
          <w:kern w:val="0"/>
          <w:lang w:val="en-US" w:eastAsia="en-GB"/>
          <w14:ligatures w14:val="none"/>
        </w:rPr>
        <w:instrText xml:space="preserve"> SEQ Figure \* ARABIC </w:instrText>
      </w:r>
      <w:r w:rsidRPr="00C56737">
        <w:rPr>
          <w:rFonts w:ascii="Times New Roman" w:eastAsia="Times New Roman" w:hAnsi="Times New Roman" w:cs="Times New Roman"/>
          <w:kern w:val="0"/>
          <w:lang w:val="en-US" w:eastAsia="en-GB"/>
          <w14:ligatures w14:val="none"/>
        </w:rPr>
        <w:fldChar w:fldCharType="separate"/>
      </w:r>
      <w:r w:rsidR="006A5B01">
        <w:rPr>
          <w:rFonts w:ascii="Times New Roman" w:eastAsia="Times New Roman" w:hAnsi="Times New Roman" w:cs="Times New Roman"/>
          <w:noProof/>
          <w:kern w:val="0"/>
          <w:lang w:val="en-US" w:eastAsia="en-GB"/>
          <w14:ligatures w14:val="none"/>
        </w:rPr>
        <w:t>3</w:t>
      </w:r>
      <w:r w:rsidRPr="00C56737">
        <w:rPr>
          <w:rFonts w:ascii="Times New Roman" w:eastAsia="Times New Roman" w:hAnsi="Times New Roman" w:cs="Times New Roman"/>
          <w:kern w:val="0"/>
          <w:lang w:val="en-US" w:eastAsia="en-GB"/>
          <w14:ligatures w14:val="none"/>
        </w:rPr>
        <w:fldChar w:fldCharType="end"/>
      </w:r>
      <w:r w:rsidRPr="00C56737">
        <w:rPr>
          <w:rFonts w:ascii="Times New Roman" w:eastAsia="Times New Roman" w:hAnsi="Times New Roman" w:cs="Times New Roman"/>
          <w:kern w:val="0"/>
          <w:lang w:val="en-US" w:eastAsia="en-GB"/>
          <w14:ligatures w14:val="none"/>
        </w:rPr>
        <w:t xml:space="preserve"> - Generic Capability Model and Model Extension for ‘Decisions’ IT Governance Information Items</w:t>
      </w:r>
      <w:bookmarkEnd w:id="75"/>
    </w:p>
    <w:p w14:paraId="034E5ADB"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7000330F" w14:textId="77777777" w:rsidR="00C56737" w:rsidRPr="00C56737" w:rsidRDefault="00C56737" w:rsidP="00C56737">
      <w:pPr>
        <w:keepNext/>
        <w:spacing w:before="120" w:after="60" w:line="360" w:lineRule="auto"/>
        <w:ind w:right="567"/>
        <w:contextualSpacing/>
        <w:outlineLvl w:val="1"/>
        <w:rPr>
          <w:rFonts w:ascii="Times New Roman" w:eastAsia="Times New Roman" w:hAnsi="Times New Roman" w:cs="Arial"/>
          <w:b/>
          <w:bCs/>
          <w:kern w:val="0"/>
          <w:szCs w:val="28"/>
          <w:lang w:val="en-GB" w:eastAsia="en-GB"/>
          <w14:ligatures w14:val="none"/>
        </w:rPr>
      </w:pPr>
      <w:bookmarkStart w:id="76" w:name="_Toc155640221"/>
      <w:bookmarkStart w:id="77" w:name="_Toc155643141"/>
      <w:bookmarkStart w:id="78" w:name="_Toc156489287"/>
      <w:bookmarkStart w:id="79" w:name="_Toc163070905"/>
      <w:bookmarkStart w:id="80" w:name="_Toc181650872"/>
      <w:r w:rsidRPr="00C56737">
        <w:rPr>
          <w:rFonts w:ascii="Times New Roman" w:eastAsia="Times New Roman" w:hAnsi="Times New Roman" w:cs="Arial"/>
          <w:b/>
          <w:bCs/>
          <w:kern w:val="0"/>
          <w:szCs w:val="28"/>
          <w:lang w:val="en-GB" w:eastAsia="en-GB"/>
          <w14:ligatures w14:val="none"/>
        </w:rPr>
        <w:t>Communication &amp; Reference</w:t>
      </w:r>
      <w:bookmarkEnd w:id="76"/>
      <w:bookmarkEnd w:id="77"/>
      <w:bookmarkEnd w:id="78"/>
      <w:bookmarkEnd w:id="79"/>
      <w:bookmarkEnd w:id="80"/>
    </w:p>
    <w:p w14:paraId="52B3CCCC"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noProof/>
          <w:kern w:val="0"/>
          <w:lang w:val="en-GB" w:eastAsia="en-GB"/>
          <w14:ligatures w14:val="none"/>
        </w:rPr>
        <w:drawing>
          <wp:inline distT="0" distB="0" distL="0" distR="0" wp14:anchorId="20E9881C" wp14:editId="3A176267">
            <wp:extent cx="5759450" cy="3157855"/>
            <wp:effectExtent l="0" t="0" r="0" b="0"/>
            <wp:docPr id="923480233" name="Picture 92348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80233" name=""/>
                    <pic:cNvPicPr/>
                  </pic:nvPicPr>
                  <pic:blipFill>
                    <a:blip r:embed="rId19"/>
                    <a:stretch>
                      <a:fillRect/>
                    </a:stretch>
                  </pic:blipFill>
                  <pic:spPr>
                    <a:xfrm>
                      <a:off x="0" y="0"/>
                      <a:ext cx="5759450" cy="3157855"/>
                    </a:xfrm>
                    <a:prstGeom prst="rect">
                      <a:avLst/>
                    </a:prstGeom>
                  </pic:spPr>
                </pic:pic>
              </a:graphicData>
            </a:graphic>
          </wp:inline>
        </w:drawing>
      </w:r>
    </w:p>
    <w:p w14:paraId="56C492BD" w14:textId="49233938" w:rsidR="00C56737" w:rsidRPr="00C56737" w:rsidRDefault="00C56737" w:rsidP="00C56737">
      <w:pPr>
        <w:spacing w:before="240" w:after="0" w:line="360" w:lineRule="auto"/>
        <w:jc w:val="center"/>
        <w:rPr>
          <w:rFonts w:ascii="Times New Roman" w:eastAsia="Times New Roman" w:hAnsi="Times New Roman" w:cs="Times New Roman"/>
          <w:kern w:val="0"/>
          <w:lang w:val="en-US" w:eastAsia="en-GB"/>
          <w14:ligatures w14:val="none"/>
        </w:rPr>
      </w:pPr>
      <w:bookmarkStart w:id="81" w:name="_Toc156489335"/>
      <w:r w:rsidRPr="00C56737">
        <w:rPr>
          <w:rFonts w:ascii="Times New Roman" w:eastAsia="Times New Roman" w:hAnsi="Times New Roman" w:cs="Times New Roman"/>
          <w:kern w:val="0"/>
          <w:lang w:val="en-US" w:eastAsia="en-GB"/>
          <w14:ligatures w14:val="none"/>
        </w:rPr>
        <w:t xml:space="preserve">Figure </w:t>
      </w:r>
      <w:r w:rsidRPr="00C56737">
        <w:rPr>
          <w:rFonts w:ascii="Times New Roman" w:eastAsia="Times New Roman" w:hAnsi="Times New Roman" w:cs="Times New Roman"/>
          <w:kern w:val="0"/>
          <w:lang w:val="en-US" w:eastAsia="en-GB"/>
          <w14:ligatures w14:val="none"/>
        </w:rPr>
        <w:fldChar w:fldCharType="begin"/>
      </w:r>
      <w:r w:rsidRPr="00C56737">
        <w:rPr>
          <w:rFonts w:ascii="Times New Roman" w:eastAsia="Times New Roman" w:hAnsi="Times New Roman" w:cs="Times New Roman"/>
          <w:kern w:val="0"/>
          <w:lang w:val="en-US" w:eastAsia="en-GB"/>
          <w14:ligatures w14:val="none"/>
        </w:rPr>
        <w:instrText xml:space="preserve"> SEQ Figure \* ARABIC </w:instrText>
      </w:r>
      <w:r w:rsidRPr="00C56737">
        <w:rPr>
          <w:rFonts w:ascii="Times New Roman" w:eastAsia="Times New Roman" w:hAnsi="Times New Roman" w:cs="Times New Roman"/>
          <w:kern w:val="0"/>
          <w:lang w:val="en-US" w:eastAsia="en-GB"/>
          <w14:ligatures w14:val="none"/>
        </w:rPr>
        <w:fldChar w:fldCharType="separate"/>
      </w:r>
      <w:r w:rsidR="006A5B01">
        <w:rPr>
          <w:rFonts w:ascii="Times New Roman" w:eastAsia="Times New Roman" w:hAnsi="Times New Roman" w:cs="Times New Roman"/>
          <w:noProof/>
          <w:kern w:val="0"/>
          <w:lang w:val="en-US" w:eastAsia="en-GB"/>
          <w14:ligatures w14:val="none"/>
        </w:rPr>
        <w:t>4</w:t>
      </w:r>
      <w:r w:rsidRPr="00C56737">
        <w:rPr>
          <w:rFonts w:ascii="Times New Roman" w:eastAsia="Times New Roman" w:hAnsi="Times New Roman" w:cs="Times New Roman"/>
          <w:kern w:val="0"/>
          <w:lang w:val="en-US" w:eastAsia="en-GB"/>
          <w14:ligatures w14:val="none"/>
        </w:rPr>
        <w:fldChar w:fldCharType="end"/>
      </w:r>
      <w:r w:rsidRPr="00C56737">
        <w:rPr>
          <w:rFonts w:ascii="Times New Roman" w:eastAsia="Times New Roman" w:hAnsi="Times New Roman" w:cs="Times New Roman"/>
          <w:kern w:val="0"/>
          <w:lang w:val="en-US" w:eastAsia="en-GB"/>
          <w14:ligatures w14:val="none"/>
        </w:rPr>
        <w:t xml:space="preserve"> - Generic Capability Model and Model Extension for ‘’Communication and reference’ IT Governance Information Items</w:t>
      </w:r>
      <w:bookmarkEnd w:id="81"/>
    </w:p>
    <w:p w14:paraId="4E3E3453"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436A41EC" w14:textId="77777777"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r w:rsidRPr="00C56737">
        <w:rPr>
          <w:rFonts w:ascii="Times New Roman" w:eastAsia="Times New Roman" w:hAnsi="Times New Roman" w:cs="Arial"/>
          <w:b/>
          <w:bCs/>
          <w:caps/>
          <w:kern w:val="32"/>
          <w:szCs w:val="32"/>
          <w:lang w:val="en-GB" w:eastAsia="en-GB"/>
          <w14:ligatures w14:val="none"/>
        </w:rPr>
        <w:br w:type="page"/>
      </w:r>
    </w:p>
    <w:p w14:paraId="5E6FD88B" w14:textId="7A5D33C7"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bookmarkStart w:id="82" w:name="_Toc163070906"/>
      <w:bookmarkStart w:id="83" w:name="_Toc181650873"/>
      <w:bookmarkStart w:id="84" w:name="_Toc155640222"/>
      <w:bookmarkStart w:id="85" w:name="_Toc155643142"/>
      <w:bookmarkStart w:id="86" w:name="_Toc156489288"/>
      <w:r w:rsidRPr="00C56737">
        <w:rPr>
          <w:rFonts w:ascii="Times New Roman" w:eastAsia="Times New Roman" w:hAnsi="Times New Roman" w:cs="Arial"/>
          <w:b/>
          <w:bCs/>
          <w:caps/>
          <w:kern w:val="32"/>
          <w:szCs w:val="32"/>
          <w:lang w:val="en-GB" w:eastAsia="en-GB"/>
          <w14:ligatures w14:val="none"/>
        </w:rPr>
        <w:t xml:space="preserve">Appendix </w:t>
      </w:r>
      <w:r w:rsidR="00F256EA">
        <w:rPr>
          <w:rFonts w:ascii="Times New Roman" w:eastAsia="Times New Roman" w:hAnsi="Times New Roman" w:cs="Arial"/>
          <w:b/>
          <w:bCs/>
          <w:caps/>
          <w:kern w:val="32"/>
          <w:szCs w:val="32"/>
          <w:lang w:val="en-GB" w:eastAsia="en-GB"/>
          <w14:ligatures w14:val="none"/>
        </w:rPr>
        <w:t xml:space="preserve">8 </w:t>
      </w:r>
      <w:r w:rsidRPr="00C56737">
        <w:rPr>
          <w:rFonts w:ascii="Times New Roman" w:eastAsia="Times New Roman" w:hAnsi="Times New Roman" w:cs="Arial"/>
          <w:b/>
          <w:bCs/>
          <w:caps/>
          <w:kern w:val="32"/>
          <w:szCs w:val="32"/>
          <w:lang w:val="en-GB" w:eastAsia="en-GB"/>
          <w14:ligatures w14:val="none"/>
        </w:rPr>
        <w:t>– Alternative Method for Capability Model Development</w:t>
      </w:r>
      <w:bookmarkEnd w:id="82"/>
      <w:bookmarkEnd w:id="83"/>
    </w:p>
    <w:p w14:paraId="03D33639" w14:textId="77777777" w:rsidR="00C56737" w:rsidRPr="00C56737" w:rsidRDefault="00C56737" w:rsidP="00C56737">
      <w:pPr>
        <w:widowControl w:val="0"/>
        <w:spacing w:before="240" w:after="0" w:line="480" w:lineRule="auto"/>
        <w:jc w:val="both"/>
        <w:rPr>
          <w:rFonts w:ascii="Times New Roman" w:eastAsia="Times New Roman" w:hAnsi="Times New Roman" w:cs="Times New Roman"/>
          <w:kern w:val="0"/>
          <w:lang w:val="en-GB" w:eastAsia="en-GB"/>
          <w14:ligatures w14:val="none"/>
        </w:rPr>
      </w:pPr>
      <w:r w:rsidRPr="00C56737">
        <w:rPr>
          <w:rFonts w:ascii="Cambria" w:eastAsia="Times New Roman" w:hAnsi="Cambria" w:cs="Times New Roman"/>
          <w:b/>
          <w:noProof/>
          <w:color w:val="243F60"/>
          <w:kern w:val="0"/>
          <w:sz w:val="21"/>
          <w:lang w:val="en-GB" w:eastAsia="en-GB"/>
          <w14:ligatures w14:val="none"/>
        </w:rPr>
        <w:drawing>
          <wp:anchor distT="0" distB="0" distL="114300" distR="114300" simplePos="0" relativeHeight="251662336" behindDoc="0" locked="0" layoutInCell="1" allowOverlap="1" wp14:anchorId="2E26E728" wp14:editId="257EA5ED">
            <wp:simplePos x="0" y="0"/>
            <wp:positionH relativeFrom="column">
              <wp:posOffset>-5080</wp:posOffset>
            </wp:positionH>
            <wp:positionV relativeFrom="paragraph">
              <wp:posOffset>2496627</wp:posOffset>
            </wp:positionV>
            <wp:extent cx="5661025" cy="3961130"/>
            <wp:effectExtent l="19050" t="19050" r="15875" b="20320"/>
            <wp:wrapTopAndBottom/>
            <wp:docPr id="1758297132" name="Picture 175829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9388" name=""/>
                    <pic:cNvPicPr/>
                  </pic:nvPicPr>
                  <pic:blipFill>
                    <a:blip r:embed="rId20">
                      <a:extLst>
                        <a:ext uri="{28A0092B-C50C-407E-A947-70E740481C1C}">
                          <a14:useLocalDpi xmlns:a14="http://schemas.microsoft.com/office/drawing/2010/main" val="0"/>
                        </a:ext>
                      </a:extLst>
                    </a:blip>
                    <a:stretch>
                      <a:fillRect/>
                    </a:stretch>
                  </pic:blipFill>
                  <pic:spPr>
                    <a:xfrm>
                      <a:off x="0" y="0"/>
                      <a:ext cx="5661025" cy="3961130"/>
                    </a:xfrm>
                    <a:prstGeom prst="rect">
                      <a:avLst/>
                    </a:prstGeom>
                    <a:ln>
                      <a:solidFill>
                        <a:srgbClr val="EEECE1">
                          <a:lumMod val="90000"/>
                        </a:srgbClr>
                      </a:solidFill>
                    </a:ln>
                  </pic:spPr>
                </pic:pic>
              </a:graphicData>
            </a:graphic>
            <wp14:sizeRelH relativeFrom="page">
              <wp14:pctWidth>0</wp14:pctWidth>
            </wp14:sizeRelH>
            <wp14:sizeRelV relativeFrom="page">
              <wp14:pctHeight>0</wp14:pctHeight>
            </wp14:sizeRelV>
          </wp:anchor>
        </w:drawing>
      </w:r>
      <w:r w:rsidRPr="00C56737">
        <w:rPr>
          <w:rFonts w:ascii="Cambria" w:eastAsia="Times New Roman" w:hAnsi="Cambria" w:cs="Times New Roman"/>
          <w:b/>
          <w:noProof/>
          <w:color w:val="243F60"/>
          <w:kern w:val="0"/>
          <w:sz w:val="21"/>
          <w:lang w:val="en-GB" w:eastAsia="en-GB"/>
          <w14:ligatures w14:val="none"/>
        </w:rPr>
        <mc:AlternateContent>
          <mc:Choice Requires="wps">
            <w:drawing>
              <wp:anchor distT="0" distB="0" distL="114300" distR="114300" simplePos="0" relativeHeight="251661312" behindDoc="0" locked="0" layoutInCell="1" allowOverlap="1" wp14:anchorId="06B03803" wp14:editId="3161866F">
                <wp:simplePos x="0" y="0"/>
                <wp:positionH relativeFrom="margin">
                  <wp:posOffset>-3838</wp:posOffset>
                </wp:positionH>
                <wp:positionV relativeFrom="paragraph">
                  <wp:posOffset>6388072</wp:posOffset>
                </wp:positionV>
                <wp:extent cx="5130800" cy="635"/>
                <wp:effectExtent l="0" t="0" r="0" b="8255"/>
                <wp:wrapTopAndBottom/>
                <wp:docPr id="1463294108" name="Text Box 1463294108"/>
                <wp:cNvGraphicFramePr/>
                <a:graphic xmlns:a="http://schemas.openxmlformats.org/drawingml/2006/main">
                  <a:graphicData uri="http://schemas.microsoft.com/office/word/2010/wordprocessingShape">
                    <wps:wsp>
                      <wps:cNvSpPr txBox="1"/>
                      <wps:spPr>
                        <a:xfrm>
                          <a:off x="0" y="0"/>
                          <a:ext cx="5130800" cy="635"/>
                        </a:xfrm>
                        <a:prstGeom prst="rect">
                          <a:avLst/>
                        </a:prstGeom>
                        <a:solidFill>
                          <a:prstClr val="white"/>
                        </a:solidFill>
                        <a:ln>
                          <a:noFill/>
                        </a:ln>
                      </wps:spPr>
                      <wps:txbx>
                        <w:txbxContent>
                          <w:p w14:paraId="79B7982A" w14:textId="2B327633" w:rsidR="00C56737" w:rsidRPr="00742E90" w:rsidRDefault="00C56737" w:rsidP="00C56737">
                            <w:pPr>
                              <w:pStyle w:val="Figurecaption"/>
                              <w:rPr>
                                <w:sz w:val="20"/>
                                <w:szCs w:val="22"/>
                                <w:lang w:val="en-GB"/>
                              </w:rPr>
                            </w:pPr>
                            <w:r w:rsidRPr="00B330DB">
                              <w:t xml:space="preserve">Figure </w:t>
                            </w:r>
                            <w:r>
                              <w:fldChar w:fldCharType="begin"/>
                            </w:r>
                            <w:r w:rsidRPr="00B330DB">
                              <w:instrText xml:space="preserve"> SEQ Figure \* ARABIC </w:instrText>
                            </w:r>
                            <w:r>
                              <w:fldChar w:fldCharType="separate"/>
                            </w:r>
                            <w:r w:rsidR="006A5B01">
                              <w:rPr>
                                <w:noProof/>
                              </w:rPr>
                              <w:t>5</w:t>
                            </w:r>
                            <w:r>
                              <w:fldChar w:fldCharType="end"/>
                            </w:r>
                            <w:r w:rsidRPr="00B330DB">
                              <w:t xml:space="preserve"> – Generic Capability Model and Model Extension – Alternative Construction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B03803" id="_x0000_t202" coordsize="21600,21600" o:spt="202" path="m,l,21600r21600,l21600,xe">
                <v:stroke joinstyle="miter"/>
                <v:path gradientshapeok="t" o:connecttype="rect"/>
              </v:shapetype>
              <v:shape id="Text Box 1463294108" o:spid="_x0000_s1026" type="#_x0000_t202" style="position:absolute;left:0;text-align:left;margin-left:-.3pt;margin-top:503pt;width:404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" stroked="f">
                <v:textbox style="mso-fit-shape-to-text:t" inset="0,0,0,0">
                  <w:txbxContent>
                    <w:p w14:paraId="79B7982A" w14:textId="2B327633" w:rsidR="00C56737" w:rsidRPr="00742E90" w:rsidRDefault="00C56737" w:rsidP="00C56737">
                      <w:pPr>
                        <w:pStyle w:val="Figurecaption"/>
                        <w:rPr>
                          <w:sz w:val="20"/>
                          <w:szCs w:val="22"/>
                          <w:lang w:val="en-GB"/>
                        </w:rPr>
                      </w:pPr>
                      <w:r w:rsidRPr="00B330DB">
                        <w:t xml:space="preserve">Figure </w:t>
                      </w:r>
                      <w:r>
                        <w:fldChar w:fldCharType="begin"/>
                      </w:r>
                      <w:r w:rsidRPr="00B330DB">
                        <w:instrText xml:space="preserve"> SEQ Figure \* ARABIC </w:instrText>
                      </w:r>
                      <w:r>
                        <w:fldChar w:fldCharType="separate"/>
                      </w:r>
                      <w:r w:rsidR="006A5B01">
                        <w:rPr>
                          <w:noProof/>
                        </w:rPr>
                        <w:t>5</w:t>
                      </w:r>
                      <w:r>
                        <w:fldChar w:fldCharType="end"/>
                      </w:r>
                      <w:r w:rsidRPr="00B330DB">
                        <w:t xml:space="preserve"> – Generic Capability Model and Model Extension – Alternative Construction Method</w:t>
                      </w:r>
                    </w:p>
                  </w:txbxContent>
                </v:textbox>
                <w10:wrap type="topAndBottom" anchorx="margin"/>
              </v:shape>
            </w:pict>
          </mc:Fallback>
        </mc:AlternateContent>
      </w:r>
      <w:r w:rsidRPr="00C56737">
        <w:rPr>
          <w:rFonts w:ascii="Times New Roman" w:eastAsia="Times New Roman" w:hAnsi="Times New Roman" w:cs="Times New Roman"/>
          <w:kern w:val="0"/>
          <w:lang w:val="en-GB" w:eastAsia="en-GB"/>
          <w14:ligatures w14:val="none"/>
        </w:rPr>
        <w:t>Next to the construction method proposed in section xx of the main document, an alternative method could be envisaged. The alternative method considers the average importance scores for each information criterion for each of the four categories in the Information Purpose typology. We again divide the range between the overall minimum importance score and overall maximum importance score into five equidistant intervals and associate capability levels to each interval. The result of this exercise is shown Figure 26.</w:t>
      </w:r>
    </w:p>
    <w:p w14:paraId="58D3E77F" w14:textId="77777777" w:rsidR="00C56737" w:rsidRPr="00C56737" w:rsidRDefault="00C56737" w:rsidP="00C56737">
      <w:pPr>
        <w:widowControl w:val="0"/>
        <w:spacing w:before="240" w:after="0" w:line="480" w:lineRule="auto"/>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We observe that almost all information quality criteria can be associated with more than one capability level, except the criterion ‘Appropriate Amount’. At the other end of the spectrum some criteria can be associated with four capability levels. The following design logic was applied to construct the model:</w:t>
      </w:r>
    </w:p>
    <w:p w14:paraId="5464D538"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Information quality criteria that can be associated with only one or two capability levels are considered to be part of the generic model, and the average importance score for these criteria determines to which capability level they will be associated. An exception is made for the criterion ‘Accuracy’ that only narrowly was associated to three instead of two capability levels.</w:t>
      </w:r>
    </w:p>
    <w:p w14:paraId="3B549644" w14:textId="77777777" w:rsidR="00C56737" w:rsidRPr="00C56737" w:rsidRDefault="00C56737" w:rsidP="00C56737">
      <w:pPr>
        <w:spacing w:before="240" w:after="240" w:line="480" w:lineRule="auto"/>
        <w:ind w:left="360" w:hanging="360"/>
        <w:contextualSpacing/>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The remaining information quality criteria are considered to be part of contingency-based model extensions, and capability levels are associated per information purpose category, as in the original model above.</w:t>
      </w:r>
    </w:p>
    <w:p w14:paraId="37158F23" w14:textId="4B30BD54" w:rsidR="00C56737" w:rsidRPr="00C56737" w:rsidRDefault="00C56737" w:rsidP="00C56737">
      <w:pPr>
        <w:widowControl w:val="0"/>
        <w:spacing w:before="240" w:after="0" w:line="480" w:lineRule="auto"/>
        <w:jc w:val="both"/>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noProof/>
          <w:kern w:val="0"/>
          <w:lang w:val="en-GB" w:eastAsia="en-GB"/>
          <w14:ligatures w14:val="none"/>
        </w:rPr>
        <w:drawing>
          <wp:anchor distT="0" distB="0" distL="114300" distR="114300" simplePos="0" relativeHeight="251663360" behindDoc="0" locked="0" layoutInCell="1" allowOverlap="1" wp14:anchorId="056F24C6" wp14:editId="13E2683E">
            <wp:simplePos x="0" y="0"/>
            <wp:positionH relativeFrom="column">
              <wp:posOffset>73448</wp:posOffset>
            </wp:positionH>
            <wp:positionV relativeFrom="paragraph">
              <wp:posOffset>752052</wp:posOffset>
            </wp:positionV>
            <wp:extent cx="5133340" cy="3592195"/>
            <wp:effectExtent l="12700" t="12700" r="10160" b="14605"/>
            <wp:wrapTopAndBottom/>
            <wp:docPr id="1967550153" name="Picture 196755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20238" name=""/>
                    <pic:cNvPicPr/>
                  </pic:nvPicPr>
                  <pic:blipFill>
                    <a:blip r:embed="rId21">
                      <a:extLst>
                        <a:ext uri="{28A0092B-C50C-407E-A947-70E740481C1C}">
                          <a14:useLocalDpi xmlns:a14="http://schemas.microsoft.com/office/drawing/2010/main" val="0"/>
                        </a:ext>
                      </a:extLst>
                    </a:blip>
                    <a:stretch>
                      <a:fillRect/>
                    </a:stretch>
                  </pic:blipFill>
                  <pic:spPr>
                    <a:xfrm>
                      <a:off x="0" y="0"/>
                      <a:ext cx="5133340" cy="3592195"/>
                    </a:xfrm>
                    <a:prstGeom prst="rect">
                      <a:avLst/>
                    </a:prstGeom>
                    <a:ln>
                      <a:solidFill>
                        <a:srgbClr val="EEECE1">
                          <a:lumMod val="90000"/>
                        </a:srgbClr>
                      </a:solidFill>
                    </a:ln>
                  </pic:spPr>
                </pic:pic>
              </a:graphicData>
            </a:graphic>
            <wp14:sizeRelH relativeFrom="page">
              <wp14:pctWidth>0</wp14:pctWidth>
            </wp14:sizeRelH>
            <wp14:sizeRelV relativeFrom="page">
              <wp14:pctHeight>0</wp14:pctHeight>
            </wp14:sizeRelV>
          </wp:anchor>
        </w:drawing>
      </w:r>
      <w:r w:rsidRPr="00C56737">
        <w:rPr>
          <w:rFonts w:ascii="Times New Roman" w:eastAsia="Times New Roman" w:hAnsi="Times New Roman" w:cs="Times New Roman"/>
          <w:kern w:val="0"/>
          <w:lang w:val="en-GB" w:eastAsia="en-GB"/>
          <w14:ligatures w14:val="none"/>
        </w:rPr>
        <w:t xml:space="preserve">In </w:t>
      </w:r>
      <w:r w:rsidRPr="00C56737">
        <w:rPr>
          <w:rFonts w:ascii="Times New Roman" w:eastAsia="Times New Roman" w:hAnsi="Times New Roman" w:cs="Times New Roman"/>
          <w:kern w:val="0"/>
          <w:lang w:val="en-GB" w:eastAsia="en-GB"/>
          <w14:ligatures w14:val="none"/>
        </w:rPr>
        <w:fldChar w:fldCharType="begin"/>
      </w:r>
      <w:r w:rsidRPr="00C56737">
        <w:rPr>
          <w:rFonts w:ascii="Times New Roman" w:eastAsia="Times New Roman" w:hAnsi="Times New Roman" w:cs="Times New Roman"/>
          <w:kern w:val="0"/>
          <w:lang w:val="en-GB" w:eastAsia="en-GB"/>
          <w14:ligatures w14:val="none"/>
        </w:rPr>
        <w:instrText xml:space="preserve"> REF _Ref155626404 \h </w:instrText>
      </w:r>
      <w:r w:rsidRPr="00C56737">
        <w:rPr>
          <w:rFonts w:ascii="Times New Roman" w:eastAsia="Times New Roman" w:hAnsi="Times New Roman" w:cs="Times New Roman"/>
          <w:kern w:val="0"/>
          <w:lang w:val="en-GB" w:eastAsia="en-GB"/>
          <w14:ligatures w14:val="none"/>
        </w:rPr>
      </w:r>
      <w:r w:rsidRPr="00C56737">
        <w:rPr>
          <w:rFonts w:ascii="Times New Roman" w:eastAsia="Times New Roman" w:hAnsi="Times New Roman" w:cs="Times New Roman"/>
          <w:kern w:val="0"/>
          <w:lang w:val="en-GB" w:eastAsia="en-GB"/>
          <w14:ligatures w14:val="none"/>
        </w:rPr>
        <w:fldChar w:fldCharType="separate"/>
      </w:r>
      <w:r w:rsidR="006A5B01" w:rsidRPr="00C56737">
        <w:rPr>
          <w:rFonts w:ascii="Times New Roman" w:eastAsia="Times New Roman" w:hAnsi="Times New Roman" w:cs="Times New Roman"/>
          <w:kern w:val="0"/>
          <w:lang w:val="en-US" w:eastAsia="en-GB"/>
          <w14:ligatures w14:val="none"/>
        </w:rPr>
        <w:t xml:space="preserve">Figure </w:t>
      </w:r>
      <w:r w:rsidR="006A5B01">
        <w:rPr>
          <w:rFonts w:ascii="Times New Roman" w:eastAsia="Times New Roman" w:hAnsi="Times New Roman" w:cs="Times New Roman"/>
          <w:noProof/>
          <w:kern w:val="0"/>
          <w:lang w:val="en-US" w:eastAsia="en-GB"/>
          <w14:ligatures w14:val="none"/>
        </w:rPr>
        <w:t>6</w:t>
      </w:r>
      <w:r w:rsidRPr="00C56737">
        <w:rPr>
          <w:rFonts w:ascii="Times New Roman" w:eastAsia="Times New Roman" w:hAnsi="Times New Roman" w:cs="Times New Roman"/>
          <w:kern w:val="0"/>
          <w:lang w:val="en-GB" w:eastAsia="en-GB"/>
          <w14:ligatures w14:val="none"/>
        </w:rPr>
        <w:fldChar w:fldCharType="end"/>
      </w:r>
      <w:r w:rsidRPr="00C56737">
        <w:rPr>
          <w:rFonts w:ascii="Times New Roman" w:eastAsia="Times New Roman" w:hAnsi="Times New Roman" w:cs="Times New Roman"/>
          <w:kern w:val="0"/>
          <w:lang w:val="en-GB" w:eastAsia="en-GB"/>
          <w14:ligatures w14:val="none"/>
        </w:rPr>
        <w:t xml:space="preserve"> the alternative model is shown, and in Figure 28, the generic model and model extension for the ‘Reporting’ information purpose category is shown.</w:t>
      </w:r>
    </w:p>
    <w:p w14:paraId="512102C9"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7A74C763" w14:textId="5CE79313" w:rsidR="00C56737" w:rsidRPr="00C56737" w:rsidRDefault="00C56737" w:rsidP="00C56737">
      <w:pPr>
        <w:spacing w:before="240" w:after="0" w:line="360" w:lineRule="auto"/>
        <w:jc w:val="center"/>
        <w:rPr>
          <w:rFonts w:ascii="Times New Roman" w:eastAsia="Times New Roman" w:hAnsi="Times New Roman" w:cs="Times New Roman"/>
          <w:kern w:val="0"/>
          <w:lang w:val="en-US" w:eastAsia="en-GB"/>
          <w14:ligatures w14:val="none"/>
        </w:rPr>
      </w:pPr>
      <w:bookmarkStart w:id="87" w:name="_Ref155626404"/>
      <w:r w:rsidRPr="00C56737">
        <w:rPr>
          <w:rFonts w:ascii="Times New Roman" w:eastAsia="Times New Roman" w:hAnsi="Times New Roman" w:cs="Times New Roman"/>
          <w:kern w:val="0"/>
          <w:lang w:val="en-US" w:eastAsia="en-GB"/>
          <w14:ligatures w14:val="none"/>
        </w:rPr>
        <w:t xml:space="preserve">Figure </w:t>
      </w:r>
      <w:r w:rsidRPr="00C56737">
        <w:rPr>
          <w:rFonts w:ascii="Times New Roman" w:eastAsia="Times New Roman" w:hAnsi="Times New Roman" w:cs="Times New Roman"/>
          <w:kern w:val="0"/>
          <w:lang w:val="en-US" w:eastAsia="en-GB"/>
          <w14:ligatures w14:val="none"/>
        </w:rPr>
        <w:fldChar w:fldCharType="begin"/>
      </w:r>
      <w:r w:rsidRPr="00C56737">
        <w:rPr>
          <w:rFonts w:ascii="Times New Roman" w:eastAsia="Times New Roman" w:hAnsi="Times New Roman" w:cs="Times New Roman"/>
          <w:kern w:val="0"/>
          <w:lang w:val="en-US" w:eastAsia="en-GB"/>
          <w14:ligatures w14:val="none"/>
        </w:rPr>
        <w:instrText xml:space="preserve"> SEQ Figure \* ARABIC </w:instrText>
      </w:r>
      <w:r w:rsidRPr="00C56737">
        <w:rPr>
          <w:rFonts w:ascii="Times New Roman" w:eastAsia="Times New Roman" w:hAnsi="Times New Roman" w:cs="Times New Roman"/>
          <w:kern w:val="0"/>
          <w:lang w:val="en-US" w:eastAsia="en-GB"/>
          <w14:ligatures w14:val="none"/>
        </w:rPr>
        <w:fldChar w:fldCharType="separate"/>
      </w:r>
      <w:r w:rsidR="006A5B01">
        <w:rPr>
          <w:rFonts w:ascii="Times New Roman" w:eastAsia="Times New Roman" w:hAnsi="Times New Roman" w:cs="Times New Roman"/>
          <w:noProof/>
          <w:kern w:val="0"/>
          <w:lang w:val="en-US" w:eastAsia="en-GB"/>
          <w14:ligatures w14:val="none"/>
        </w:rPr>
        <w:t>6</w:t>
      </w:r>
      <w:r w:rsidRPr="00C56737">
        <w:rPr>
          <w:rFonts w:ascii="Times New Roman" w:eastAsia="Times New Roman" w:hAnsi="Times New Roman" w:cs="Times New Roman"/>
          <w:kern w:val="0"/>
          <w:lang w:val="en-US" w:eastAsia="en-GB"/>
          <w14:ligatures w14:val="none"/>
        </w:rPr>
        <w:fldChar w:fldCharType="end"/>
      </w:r>
      <w:bookmarkEnd w:id="87"/>
      <w:r w:rsidRPr="00C56737">
        <w:rPr>
          <w:rFonts w:ascii="Times New Roman" w:eastAsia="Times New Roman" w:hAnsi="Times New Roman" w:cs="Times New Roman"/>
          <w:kern w:val="0"/>
          <w:lang w:val="en-US" w:eastAsia="en-GB"/>
          <w14:ligatures w14:val="none"/>
        </w:rPr>
        <w:t xml:space="preserve"> - Information Capability Model: Alternative generic model and model extensions</w:t>
      </w:r>
    </w:p>
    <w:p w14:paraId="6D121028" w14:textId="77777777" w:rsidR="00C56737" w:rsidRPr="00C56737" w:rsidRDefault="00C56737" w:rsidP="00C56737">
      <w:pPr>
        <w:spacing w:after="0" w:line="480" w:lineRule="auto"/>
        <w:rPr>
          <w:rFonts w:ascii="Times New Roman" w:eastAsia="Times New Roman" w:hAnsi="Times New Roman" w:cs="Times New Roman"/>
          <w:kern w:val="0"/>
          <w:lang w:val="en-US" w:eastAsia="en-GB"/>
          <w14:ligatures w14:val="none"/>
        </w:rPr>
      </w:pPr>
    </w:p>
    <w:p w14:paraId="6902BDA6" w14:textId="77777777" w:rsidR="00C56737" w:rsidRPr="00C56737" w:rsidRDefault="00C56737" w:rsidP="00C56737">
      <w:pPr>
        <w:spacing w:after="0" w:line="480" w:lineRule="auto"/>
        <w:rPr>
          <w:rFonts w:ascii="Times New Roman" w:eastAsia="Times New Roman" w:hAnsi="Times New Roman" w:cs="Times New Roman"/>
          <w:kern w:val="0"/>
          <w:lang w:val="en-US" w:eastAsia="en-GB"/>
          <w14:ligatures w14:val="none"/>
        </w:rPr>
      </w:pPr>
    </w:p>
    <w:p w14:paraId="29327188" w14:textId="60A67BC2" w:rsidR="00C56737" w:rsidRPr="00C56737" w:rsidRDefault="00C56737" w:rsidP="00C56737">
      <w:pPr>
        <w:spacing w:before="240" w:after="0" w:line="360" w:lineRule="auto"/>
        <w:jc w:val="center"/>
        <w:rPr>
          <w:rFonts w:ascii="Times New Roman" w:eastAsia="Times New Roman" w:hAnsi="Times New Roman" w:cs="Times New Roman"/>
          <w:kern w:val="0"/>
          <w:lang w:val="en-US" w:eastAsia="en-GB"/>
          <w14:ligatures w14:val="none"/>
        </w:rPr>
      </w:pPr>
      <w:r w:rsidRPr="00C56737">
        <w:rPr>
          <w:rFonts w:ascii="Times New Roman" w:eastAsia="Times New Roman" w:hAnsi="Times New Roman" w:cs="Times New Roman"/>
          <w:noProof/>
          <w:kern w:val="0"/>
          <w:lang w:val="en-US" w:eastAsia="en-GB"/>
          <w14:ligatures w14:val="none"/>
        </w:rPr>
        <w:drawing>
          <wp:anchor distT="0" distB="0" distL="114300" distR="114300" simplePos="0" relativeHeight="251664384" behindDoc="0" locked="0" layoutInCell="1" allowOverlap="1" wp14:anchorId="6FC5E1B8" wp14:editId="15714FD3">
            <wp:simplePos x="0" y="0"/>
            <wp:positionH relativeFrom="column">
              <wp:posOffset>-205105</wp:posOffset>
            </wp:positionH>
            <wp:positionV relativeFrom="paragraph">
              <wp:posOffset>19474</wp:posOffset>
            </wp:positionV>
            <wp:extent cx="5678170" cy="3630930"/>
            <wp:effectExtent l="19050" t="19050" r="17780" b="26670"/>
            <wp:wrapTopAndBottom/>
            <wp:docPr id="1720698762" name="Picture 1720698762"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59717" name="Picture 1" descr="A screen shot of a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8170" cy="3630930"/>
                    </a:xfrm>
                    <a:prstGeom prst="rect">
                      <a:avLst/>
                    </a:prstGeom>
                    <a:ln>
                      <a:solidFill>
                        <a:srgbClr val="EEECE1">
                          <a:lumMod val="90000"/>
                        </a:srgbClr>
                      </a:solidFill>
                    </a:ln>
                  </pic:spPr>
                </pic:pic>
              </a:graphicData>
            </a:graphic>
            <wp14:sizeRelH relativeFrom="page">
              <wp14:pctWidth>0</wp14:pctWidth>
            </wp14:sizeRelH>
            <wp14:sizeRelV relativeFrom="page">
              <wp14:pctHeight>0</wp14:pctHeight>
            </wp14:sizeRelV>
          </wp:anchor>
        </w:drawing>
      </w:r>
      <w:r w:rsidRPr="00C56737">
        <w:rPr>
          <w:rFonts w:ascii="Times New Roman" w:eastAsia="Times New Roman" w:hAnsi="Times New Roman" w:cs="Times New Roman"/>
          <w:kern w:val="0"/>
          <w:lang w:val="en-US" w:eastAsia="en-GB"/>
          <w14:ligatures w14:val="none"/>
        </w:rPr>
        <w:t xml:space="preserve">Figure </w:t>
      </w:r>
      <w:r w:rsidRPr="00C56737">
        <w:rPr>
          <w:rFonts w:ascii="Times New Roman" w:eastAsia="Times New Roman" w:hAnsi="Times New Roman" w:cs="Times New Roman"/>
          <w:kern w:val="0"/>
          <w:lang w:val="en-US" w:eastAsia="en-GB"/>
          <w14:ligatures w14:val="none"/>
        </w:rPr>
        <w:fldChar w:fldCharType="begin"/>
      </w:r>
      <w:r w:rsidRPr="00C56737">
        <w:rPr>
          <w:rFonts w:ascii="Times New Roman" w:eastAsia="Times New Roman" w:hAnsi="Times New Roman" w:cs="Times New Roman"/>
          <w:kern w:val="0"/>
          <w:lang w:val="en-US" w:eastAsia="en-GB"/>
          <w14:ligatures w14:val="none"/>
        </w:rPr>
        <w:instrText xml:space="preserve"> SEQ Figure \* ARABIC </w:instrText>
      </w:r>
      <w:r w:rsidRPr="00C56737">
        <w:rPr>
          <w:rFonts w:ascii="Times New Roman" w:eastAsia="Times New Roman" w:hAnsi="Times New Roman" w:cs="Times New Roman"/>
          <w:kern w:val="0"/>
          <w:lang w:val="en-US" w:eastAsia="en-GB"/>
          <w14:ligatures w14:val="none"/>
        </w:rPr>
        <w:fldChar w:fldCharType="separate"/>
      </w:r>
      <w:r w:rsidR="006A5B01">
        <w:rPr>
          <w:rFonts w:ascii="Times New Roman" w:eastAsia="Times New Roman" w:hAnsi="Times New Roman" w:cs="Times New Roman"/>
          <w:noProof/>
          <w:kern w:val="0"/>
          <w:lang w:val="en-US" w:eastAsia="en-GB"/>
          <w14:ligatures w14:val="none"/>
        </w:rPr>
        <w:t>7</w:t>
      </w:r>
      <w:r w:rsidRPr="00C56737">
        <w:rPr>
          <w:rFonts w:ascii="Times New Roman" w:eastAsia="Times New Roman" w:hAnsi="Times New Roman" w:cs="Times New Roman"/>
          <w:kern w:val="0"/>
          <w:lang w:val="en-US" w:eastAsia="en-GB"/>
          <w14:ligatures w14:val="none"/>
        </w:rPr>
        <w:fldChar w:fldCharType="end"/>
      </w:r>
      <w:r w:rsidRPr="00C56737">
        <w:rPr>
          <w:rFonts w:ascii="Times New Roman" w:eastAsia="Times New Roman" w:hAnsi="Times New Roman" w:cs="Times New Roman"/>
          <w:kern w:val="0"/>
          <w:lang w:val="en-US" w:eastAsia="en-GB"/>
          <w14:ligatures w14:val="none"/>
        </w:rPr>
        <w:t xml:space="preserve"> - Alternative capability model for the 'Reporting' purpose category</w:t>
      </w:r>
    </w:p>
    <w:p w14:paraId="0F3A3B49"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 xml:space="preserve">When comparing the models for the ‘Reporting’ purpose category we observe that 11 out of the 16 criteria are associated to the same capability level. The remaining five criteria that are associated to a different capability level between both model variants are each time associated to a capability level that is either one level higher or lower, as shown in Table 12. We consider the differences between the capability model and the alternative capability model minimal, e.g. </w:t>
      </w:r>
      <w:commentRangeStart w:id="88"/>
      <w:commentRangeStart w:id="89"/>
      <w:r w:rsidRPr="00C56737">
        <w:rPr>
          <w:rFonts w:ascii="Times New Roman" w:eastAsia="Times New Roman" w:hAnsi="Times New Roman" w:cs="Times New Roman"/>
          <w:kern w:val="0"/>
          <w:lang w:val="en-GB" w:eastAsia="en-GB"/>
          <w14:ligatures w14:val="none"/>
        </w:rPr>
        <w:t>the correlation between both models for the ‘Reporting’ information purpose category is 0,93</w:t>
      </w:r>
      <w:commentRangeEnd w:id="88"/>
      <w:r w:rsidRPr="00C56737">
        <w:rPr>
          <w:rFonts w:ascii="Times New Roman" w:eastAsia="Times New Roman" w:hAnsi="Times New Roman" w:cs="Times New Roman"/>
          <w:kern w:val="0"/>
          <w:sz w:val="16"/>
          <w:szCs w:val="16"/>
          <w:lang w:val="en-GB" w:eastAsia="en-GB"/>
          <w14:ligatures w14:val="none"/>
        </w:rPr>
        <w:commentReference w:id="88"/>
      </w:r>
      <w:commentRangeEnd w:id="89"/>
      <w:r w:rsidRPr="00C56737">
        <w:rPr>
          <w:rFonts w:ascii="Times New Roman" w:eastAsia="Times New Roman" w:hAnsi="Times New Roman" w:cs="Times New Roman"/>
          <w:kern w:val="0"/>
          <w:sz w:val="16"/>
          <w:szCs w:val="16"/>
          <w:lang w:val="en-GB" w:eastAsia="en-GB"/>
          <w14:ligatures w14:val="none"/>
        </w:rPr>
        <w:commentReference w:id="89"/>
      </w:r>
      <w:r w:rsidRPr="00C56737">
        <w:rPr>
          <w:rFonts w:ascii="Times New Roman" w:eastAsia="Times New Roman" w:hAnsi="Times New Roman" w:cs="Times New Roman"/>
          <w:kern w:val="0"/>
          <w:lang w:val="en-GB" w:eastAsia="en-GB"/>
          <w14:ligatures w14:val="none"/>
        </w:rPr>
        <w:t>, whilst for the other categories correlation lies between 0,88 and 0,90.</w:t>
      </w:r>
    </w:p>
    <w:tbl>
      <w:tblPr>
        <w:tblStyle w:val="GridTable41"/>
        <w:tblW w:w="0" w:type="auto"/>
        <w:tblLook w:val="04A0" w:firstRow="1" w:lastRow="0" w:firstColumn="1" w:lastColumn="0" w:noHBand="0" w:noVBand="1"/>
      </w:tblPr>
      <w:tblGrid>
        <w:gridCol w:w="2814"/>
        <w:gridCol w:w="1976"/>
        <w:gridCol w:w="2790"/>
        <w:gridCol w:w="1436"/>
      </w:tblGrid>
      <w:tr w:rsidR="00C56737" w:rsidRPr="00C56737" w14:paraId="7018C475" w14:textId="77777777" w:rsidTr="00C56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cBorders>
            <w:shd w:val="clear" w:color="auto" w:fill="F2F2F2"/>
          </w:tcPr>
          <w:p w14:paraId="480120EF"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1"/>
              </w:rPr>
            </w:pPr>
            <w:r w:rsidRPr="00C56737">
              <w:rPr>
                <w:rFonts w:ascii="Calibri" w:eastAsia="Calibri" w:hAnsi="Calibri" w:cs="Calibri"/>
                <w:color w:val="000000"/>
                <w:sz w:val="20"/>
                <w:szCs w:val="21"/>
              </w:rPr>
              <w:t>Information Quality Criteria</w:t>
            </w:r>
          </w:p>
        </w:tc>
        <w:tc>
          <w:tcPr>
            <w:tcW w:w="1985" w:type="dxa"/>
            <w:tcBorders>
              <w:top w:val="single" w:sz="4" w:space="0" w:color="auto"/>
              <w:left w:val="single" w:sz="4" w:space="0" w:color="auto"/>
              <w:bottom w:val="single" w:sz="4" w:space="0" w:color="auto"/>
              <w:right w:val="single" w:sz="4" w:space="0" w:color="auto"/>
            </w:tcBorders>
            <w:shd w:val="clear" w:color="auto" w:fill="F2F2F2"/>
          </w:tcPr>
          <w:p w14:paraId="6E593A40" w14:textId="77777777" w:rsidR="00C56737" w:rsidRPr="00C56737" w:rsidRDefault="00C56737" w:rsidP="00C56737">
            <w:pPr>
              <w:autoSpaceDE w:val="0"/>
              <w:autoSpaceDN w:val="0"/>
              <w:adjustRightInd w:val="0"/>
              <w:spacing w:before="1"/>
              <w:ind w:left="28"/>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Capability Model (Capability Level)</w:t>
            </w:r>
          </w:p>
        </w:tc>
        <w:tc>
          <w:tcPr>
            <w:tcW w:w="2806" w:type="dxa"/>
            <w:tcBorders>
              <w:top w:val="single" w:sz="4" w:space="0" w:color="auto"/>
              <w:left w:val="single" w:sz="4" w:space="0" w:color="auto"/>
              <w:bottom w:val="single" w:sz="4" w:space="0" w:color="auto"/>
              <w:right w:val="single" w:sz="4" w:space="0" w:color="auto"/>
            </w:tcBorders>
            <w:shd w:val="clear" w:color="auto" w:fill="F2F2F2"/>
          </w:tcPr>
          <w:p w14:paraId="701CA9C0" w14:textId="77777777" w:rsidR="00C56737" w:rsidRPr="00C56737" w:rsidRDefault="00C56737" w:rsidP="00C56737">
            <w:pPr>
              <w:autoSpaceDE w:val="0"/>
              <w:autoSpaceDN w:val="0"/>
              <w:adjustRightInd w:val="0"/>
              <w:spacing w:before="1"/>
              <w:ind w:left="28"/>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sz w:val="20"/>
                <w:szCs w:val="21"/>
                <w:lang w:val="en-US"/>
              </w:rPr>
            </w:pPr>
            <w:r w:rsidRPr="00C56737">
              <w:rPr>
                <w:rFonts w:ascii="Calibri" w:eastAsia="Calibri" w:hAnsi="Calibri" w:cs="Calibri"/>
                <w:color w:val="000000"/>
                <w:sz w:val="20"/>
                <w:szCs w:val="21"/>
                <w:lang w:val="en-US"/>
              </w:rPr>
              <w:t>Alternative Capability Model (Capability Level)</w:t>
            </w:r>
          </w:p>
        </w:tc>
        <w:tc>
          <w:tcPr>
            <w:tcW w:w="1439" w:type="dxa"/>
            <w:tcBorders>
              <w:top w:val="single" w:sz="4" w:space="0" w:color="auto"/>
              <w:left w:val="single" w:sz="4" w:space="0" w:color="auto"/>
              <w:bottom w:val="single" w:sz="4" w:space="0" w:color="auto"/>
              <w:right w:val="single" w:sz="4" w:space="0" w:color="auto"/>
            </w:tcBorders>
            <w:shd w:val="clear" w:color="auto" w:fill="F2F2F2"/>
          </w:tcPr>
          <w:p w14:paraId="16A9185F" w14:textId="77777777" w:rsidR="00C56737" w:rsidRPr="00C56737" w:rsidRDefault="00C56737" w:rsidP="00C56737">
            <w:pPr>
              <w:autoSpaceDE w:val="0"/>
              <w:autoSpaceDN w:val="0"/>
              <w:adjustRightInd w:val="0"/>
              <w:spacing w:before="1"/>
              <w:ind w:left="28"/>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Difference</w:t>
            </w:r>
          </w:p>
        </w:tc>
      </w:tr>
      <w:tr w:rsidR="00C56737" w:rsidRPr="00C56737" w14:paraId="2AA0453D" w14:textId="77777777" w:rsidTr="00C03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tcBorders>
            <w:shd w:val="clear" w:color="auto" w:fill="auto"/>
          </w:tcPr>
          <w:p w14:paraId="0135B571"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1"/>
              </w:rPr>
            </w:pPr>
            <w:r w:rsidRPr="00C56737">
              <w:rPr>
                <w:rFonts w:ascii="Calibri" w:eastAsia="Calibri" w:hAnsi="Calibri" w:cs="Calibri"/>
                <w:color w:val="000000"/>
                <w:sz w:val="20"/>
                <w:szCs w:val="21"/>
              </w:rPr>
              <w:t>Accessibility</w:t>
            </w:r>
          </w:p>
        </w:tc>
        <w:tc>
          <w:tcPr>
            <w:tcW w:w="1985" w:type="dxa"/>
            <w:tcBorders>
              <w:top w:val="single" w:sz="4" w:space="0" w:color="auto"/>
            </w:tcBorders>
            <w:shd w:val="clear" w:color="auto" w:fill="auto"/>
          </w:tcPr>
          <w:p w14:paraId="047E6A20" w14:textId="77777777" w:rsidR="00C56737" w:rsidRPr="00C56737" w:rsidRDefault="00C56737" w:rsidP="00C56737">
            <w:pPr>
              <w:autoSpaceDE w:val="0"/>
              <w:autoSpaceDN w:val="0"/>
              <w:adjustRightInd w:val="0"/>
              <w:spacing w:before="1"/>
              <w:ind w:left="28"/>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5</w:t>
            </w:r>
          </w:p>
        </w:tc>
        <w:tc>
          <w:tcPr>
            <w:tcW w:w="2806" w:type="dxa"/>
            <w:tcBorders>
              <w:top w:val="single" w:sz="4" w:space="0" w:color="auto"/>
            </w:tcBorders>
            <w:shd w:val="clear" w:color="auto" w:fill="auto"/>
          </w:tcPr>
          <w:p w14:paraId="00B9F857" w14:textId="77777777" w:rsidR="00C56737" w:rsidRPr="00C56737" w:rsidRDefault="00C56737" w:rsidP="00C56737">
            <w:pPr>
              <w:autoSpaceDE w:val="0"/>
              <w:autoSpaceDN w:val="0"/>
              <w:adjustRightInd w:val="0"/>
              <w:spacing w:before="1"/>
              <w:ind w:left="28"/>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4</w:t>
            </w:r>
          </w:p>
        </w:tc>
        <w:tc>
          <w:tcPr>
            <w:tcW w:w="1439" w:type="dxa"/>
            <w:tcBorders>
              <w:top w:val="single" w:sz="4" w:space="0" w:color="auto"/>
            </w:tcBorders>
            <w:shd w:val="clear" w:color="auto" w:fill="auto"/>
          </w:tcPr>
          <w:p w14:paraId="7978CEBE" w14:textId="77777777" w:rsidR="00C56737" w:rsidRPr="00C56737" w:rsidRDefault="00C56737" w:rsidP="00C56737">
            <w:pPr>
              <w:autoSpaceDE w:val="0"/>
              <w:autoSpaceDN w:val="0"/>
              <w:adjustRightInd w:val="0"/>
              <w:spacing w:before="1"/>
              <w:ind w:left="28"/>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-1</w:t>
            </w:r>
          </w:p>
        </w:tc>
      </w:tr>
      <w:tr w:rsidR="00C56737" w:rsidRPr="00C56737" w14:paraId="116E81D7" w14:textId="77777777" w:rsidTr="00C03BC9">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14:paraId="618D0C9A"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1"/>
              </w:rPr>
            </w:pPr>
            <w:r w:rsidRPr="00C56737">
              <w:rPr>
                <w:rFonts w:ascii="Calibri" w:eastAsia="Calibri" w:hAnsi="Calibri" w:cs="Calibri"/>
                <w:color w:val="000000"/>
                <w:sz w:val="20"/>
                <w:szCs w:val="21"/>
              </w:rPr>
              <w:t>Timeliness</w:t>
            </w:r>
          </w:p>
        </w:tc>
        <w:tc>
          <w:tcPr>
            <w:tcW w:w="1985" w:type="dxa"/>
            <w:shd w:val="clear" w:color="auto" w:fill="auto"/>
          </w:tcPr>
          <w:p w14:paraId="7B2948CF" w14:textId="77777777" w:rsidR="00C56737" w:rsidRPr="00C56737" w:rsidRDefault="00C56737" w:rsidP="00C56737">
            <w:pPr>
              <w:autoSpaceDE w:val="0"/>
              <w:autoSpaceDN w:val="0"/>
              <w:adjustRightInd w:val="0"/>
              <w:spacing w:before="1"/>
              <w:ind w:left="28"/>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3</w:t>
            </w:r>
          </w:p>
        </w:tc>
        <w:tc>
          <w:tcPr>
            <w:tcW w:w="2806" w:type="dxa"/>
            <w:shd w:val="clear" w:color="auto" w:fill="auto"/>
          </w:tcPr>
          <w:p w14:paraId="79DB175F" w14:textId="77777777" w:rsidR="00C56737" w:rsidRPr="00C56737" w:rsidRDefault="00C56737" w:rsidP="00C56737">
            <w:pPr>
              <w:autoSpaceDE w:val="0"/>
              <w:autoSpaceDN w:val="0"/>
              <w:adjustRightInd w:val="0"/>
              <w:spacing w:before="1"/>
              <w:ind w:left="28"/>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4</w:t>
            </w:r>
          </w:p>
        </w:tc>
        <w:tc>
          <w:tcPr>
            <w:tcW w:w="1439" w:type="dxa"/>
            <w:shd w:val="clear" w:color="auto" w:fill="auto"/>
          </w:tcPr>
          <w:p w14:paraId="651C802F" w14:textId="77777777" w:rsidR="00C56737" w:rsidRPr="00C56737" w:rsidRDefault="00C56737" w:rsidP="00C56737">
            <w:pPr>
              <w:autoSpaceDE w:val="0"/>
              <w:autoSpaceDN w:val="0"/>
              <w:adjustRightInd w:val="0"/>
              <w:spacing w:before="1"/>
              <w:ind w:left="28"/>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1</w:t>
            </w:r>
          </w:p>
        </w:tc>
      </w:tr>
      <w:tr w:rsidR="00C56737" w:rsidRPr="00C56737" w14:paraId="3DE81B86" w14:textId="77777777" w:rsidTr="00C03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14:paraId="5777C4C2"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1"/>
              </w:rPr>
            </w:pPr>
            <w:r w:rsidRPr="00C56737">
              <w:rPr>
                <w:rFonts w:ascii="Calibri" w:eastAsia="Calibri" w:hAnsi="Calibri" w:cs="Calibri"/>
                <w:color w:val="000000"/>
                <w:sz w:val="20"/>
                <w:szCs w:val="21"/>
              </w:rPr>
              <w:t>Traceability</w:t>
            </w:r>
          </w:p>
        </w:tc>
        <w:tc>
          <w:tcPr>
            <w:tcW w:w="1985" w:type="dxa"/>
            <w:shd w:val="clear" w:color="auto" w:fill="auto"/>
          </w:tcPr>
          <w:p w14:paraId="28C43466" w14:textId="77777777" w:rsidR="00C56737" w:rsidRPr="00C56737" w:rsidRDefault="00C56737" w:rsidP="00C56737">
            <w:pPr>
              <w:autoSpaceDE w:val="0"/>
              <w:autoSpaceDN w:val="0"/>
              <w:adjustRightInd w:val="0"/>
              <w:spacing w:before="1"/>
              <w:ind w:left="28"/>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4</w:t>
            </w:r>
          </w:p>
        </w:tc>
        <w:tc>
          <w:tcPr>
            <w:tcW w:w="2806" w:type="dxa"/>
            <w:shd w:val="clear" w:color="auto" w:fill="auto"/>
          </w:tcPr>
          <w:p w14:paraId="0A1AF271" w14:textId="77777777" w:rsidR="00C56737" w:rsidRPr="00C56737" w:rsidRDefault="00C56737" w:rsidP="00C56737">
            <w:pPr>
              <w:autoSpaceDE w:val="0"/>
              <w:autoSpaceDN w:val="0"/>
              <w:adjustRightInd w:val="0"/>
              <w:spacing w:before="1"/>
              <w:ind w:left="28"/>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3</w:t>
            </w:r>
          </w:p>
        </w:tc>
        <w:tc>
          <w:tcPr>
            <w:tcW w:w="1439" w:type="dxa"/>
            <w:shd w:val="clear" w:color="auto" w:fill="auto"/>
          </w:tcPr>
          <w:p w14:paraId="46D3942B" w14:textId="77777777" w:rsidR="00C56737" w:rsidRPr="00C56737" w:rsidRDefault="00C56737" w:rsidP="00C56737">
            <w:pPr>
              <w:autoSpaceDE w:val="0"/>
              <w:autoSpaceDN w:val="0"/>
              <w:adjustRightInd w:val="0"/>
              <w:spacing w:before="1"/>
              <w:ind w:left="28"/>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-1</w:t>
            </w:r>
          </w:p>
        </w:tc>
      </w:tr>
      <w:tr w:rsidR="00C56737" w:rsidRPr="00C56737" w14:paraId="1913E10F" w14:textId="77777777" w:rsidTr="00C03BC9">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14:paraId="0C74BEB9"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1"/>
              </w:rPr>
            </w:pPr>
            <w:r w:rsidRPr="00C56737">
              <w:rPr>
                <w:rFonts w:ascii="Calibri" w:eastAsia="Calibri" w:hAnsi="Calibri" w:cs="Calibri"/>
                <w:color w:val="000000"/>
                <w:sz w:val="20"/>
                <w:szCs w:val="21"/>
              </w:rPr>
              <w:t>Currency</w:t>
            </w:r>
          </w:p>
        </w:tc>
        <w:tc>
          <w:tcPr>
            <w:tcW w:w="1985" w:type="dxa"/>
            <w:shd w:val="clear" w:color="auto" w:fill="auto"/>
          </w:tcPr>
          <w:p w14:paraId="75C566EB" w14:textId="77777777" w:rsidR="00C56737" w:rsidRPr="00C56737" w:rsidRDefault="00C56737" w:rsidP="00C56737">
            <w:pPr>
              <w:autoSpaceDE w:val="0"/>
              <w:autoSpaceDN w:val="0"/>
              <w:adjustRightInd w:val="0"/>
              <w:spacing w:before="1"/>
              <w:ind w:left="28"/>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2</w:t>
            </w:r>
          </w:p>
        </w:tc>
        <w:tc>
          <w:tcPr>
            <w:tcW w:w="2806" w:type="dxa"/>
            <w:shd w:val="clear" w:color="auto" w:fill="auto"/>
          </w:tcPr>
          <w:p w14:paraId="310A298D" w14:textId="77777777" w:rsidR="00C56737" w:rsidRPr="00C56737" w:rsidRDefault="00C56737" w:rsidP="00C56737">
            <w:pPr>
              <w:autoSpaceDE w:val="0"/>
              <w:autoSpaceDN w:val="0"/>
              <w:adjustRightInd w:val="0"/>
              <w:spacing w:before="1"/>
              <w:ind w:left="28"/>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3</w:t>
            </w:r>
          </w:p>
        </w:tc>
        <w:tc>
          <w:tcPr>
            <w:tcW w:w="1439" w:type="dxa"/>
            <w:shd w:val="clear" w:color="auto" w:fill="auto"/>
          </w:tcPr>
          <w:p w14:paraId="6DE8DA84" w14:textId="77777777" w:rsidR="00C56737" w:rsidRPr="00C56737" w:rsidRDefault="00C56737" w:rsidP="00C56737">
            <w:pPr>
              <w:autoSpaceDE w:val="0"/>
              <w:autoSpaceDN w:val="0"/>
              <w:adjustRightInd w:val="0"/>
              <w:spacing w:before="1"/>
              <w:ind w:left="28"/>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1</w:t>
            </w:r>
          </w:p>
        </w:tc>
      </w:tr>
      <w:tr w:rsidR="00C56737" w:rsidRPr="00C56737" w14:paraId="31EE5E61" w14:textId="77777777" w:rsidTr="00C03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14:paraId="2AADAD87" w14:textId="77777777" w:rsidR="00C56737" w:rsidRPr="00C56737" w:rsidRDefault="00C56737" w:rsidP="00C56737">
            <w:pPr>
              <w:autoSpaceDE w:val="0"/>
              <w:autoSpaceDN w:val="0"/>
              <w:adjustRightInd w:val="0"/>
              <w:spacing w:before="1"/>
              <w:ind w:left="28"/>
              <w:rPr>
                <w:rFonts w:ascii="Calibri" w:eastAsia="Calibri" w:hAnsi="Calibri" w:cs="Calibri"/>
                <w:color w:val="000000"/>
                <w:sz w:val="20"/>
                <w:szCs w:val="21"/>
              </w:rPr>
            </w:pPr>
            <w:r w:rsidRPr="00C56737">
              <w:rPr>
                <w:rFonts w:ascii="Calibri" w:eastAsia="Calibri" w:hAnsi="Calibri" w:cs="Calibri"/>
                <w:color w:val="000000"/>
                <w:sz w:val="20"/>
                <w:szCs w:val="21"/>
              </w:rPr>
              <w:t>Relevancy</w:t>
            </w:r>
          </w:p>
        </w:tc>
        <w:tc>
          <w:tcPr>
            <w:tcW w:w="1985" w:type="dxa"/>
            <w:shd w:val="clear" w:color="auto" w:fill="auto"/>
          </w:tcPr>
          <w:p w14:paraId="63E6ECE8" w14:textId="77777777" w:rsidR="00C56737" w:rsidRPr="00C56737" w:rsidRDefault="00C56737" w:rsidP="00C56737">
            <w:pPr>
              <w:autoSpaceDE w:val="0"/>
              <w:autoSpaceDN w:val="0"/>
              <w:adjustRightInd w:val="0"/>
              <w:spacing w:before="1"/>
              <w:ind w:left="28"/>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1</w:t>
            </w:r>
          </w:p>
        </w:tc>
        <w:tc>
          <w:tcPr>
            <w:tcW w:w="2806" w:type="dxa"/>
            <w:shd w:val="clear" w:color="auto" w:fill="auto"/>
          </w:tcPr>
          <w:p w14:paraId="2D1B6A75" w14:textId="77777777" w:rsidR="00C56737" w:rsidRPr="00C56737" w:rsidRDefault="00C56737" w:rsidP="00C56737">
            <w:pPr>
              <w:autoSpaceDE w:val="0"/>
              <w:autoSpaceDN w:val="0"/>
              <w:adjustRightInd w:val="0"/>
              <w:spacing w:before="1"/>
              <w:ind w:left="28"/>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2</w:t>
            </w:r>
          </w:p>
        </w:tc>
        <w:tc>
          <w:tcPr>
            <w:tcW w:w="1439" w:type="dxa"/>
            <w:shd w:val="clear" w:color="auto" w:fill="auto"/>
          </w:tcPr>
          <w:p w14:paraId="0FCFCCBE" w14:textId="77777777" w:rsidR="00C56737" w:rsidRPr="00C56737" w:rsidRDefault="00C56737" w:rsidP="00C56737">
            <w:pPr>
              <w:autoSpaceDE w:val="0"/>
              <w:autoSpaceDN w:val="0"/>
              <w:adjustRightInd w:val="0"/>
              <w:spacing w:before="1"/>
              <w:ind w:left="28"/>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0"/>
                <w:szCs w:val="21"/>
              </w:rPr>
            </w:pPr>
            <w:r w:rsidRPr="00C56737">
              <w:rPr>
                <w:rFonts w:ascii="Calibri" w:eastAsia="Calibri" w:hAnsi="Calibri" w:cs="Calibri"/>
                <w:color w:val="000000"/>
                <w:sz w:val="20"/>
                <w:szCs w:val="21"/>
              </w:rPr>
              <w:t>1</w:t>
            </w:r>
          </w:p>
        </w:tc>
      </w:tr>
    </w:tbl>
    <w:p w14:paraId="20A78269" w14:textId="45A85FFB" w:rsidR="00C56737" w:rsidRPr="00C56737" w:rsidRDefault="00C56737" w:rsidP="00C56737">
      <w:pPr>
        <w:spacing w:before="240" w:after="0" w:line="360" w:lineRule="auto"/>
        <w:jc w:val="center"/>
        <w:rPr>
          <w:rFonts w:ascii="Times New Roman" w:eastAsia="Times New Roman" w:hAnsi="Times New Roman" w:cs="Times New Roman"/>
          <w:kern w:val="0"/>
          <w:lang w:val="en-US" w:eastAsia="en-GB"/>
          <w14:ligatures w14:val="none"/>
        </w:rPr>
      </w:pPr>
      <w:r w:rsidRPr="00C56737">
        <w:rPr>
          <w:rFonts w:ascii="Times New Roman" w:eastAsia="Times New Roman" w:hAnsi="Times New Roman" w:cs="Times New Roman"/>
          <w:kern w:val="0"/>
          <w:lang w:val="en-US" w:eastAsia="en-GB"/>
          <w14:ligatures w14:val="none"/>
        </w:rPr>
        <w:t xml:space="preserve">Table </w:t>
      </w:r>
      <w:r w:rsidRPr="00C56737">
        <w:rPr>
          <w:rFonts w:ascii="Times New Roman" w:eastAsia="Times New Roman" w:hAnsi="Times New Roman" w:cs="Times New Roman"/>
          <w:kern w:val="0"/>
          <w:lang w:val="en-US" w:eastAsia="en-GB"/>
          <w14:ligatures w14:val="none"/>
        </w:rPr>
        <w:fldChar w:fldCharType="begin"/>
      </w:r>
      <w:r w:rsidRPr="00C56737">
        <w:rPr>
          <w:rFonts w:ascii="Times New Roman" w:eastAsia="Times New Roman" w:hAnsi="Times New Roman" w:cs="Times New Roman"/>
          <w:kern w:val="0"/>
          <w:lang w:val="en-US" w:eastAsia="en-GB"/>
          <w14:ligatures w14:val="none"/>
        </w:rPr>
        <w:instrText xml:space="preserve"> SEQ Table \* ARABIC </w:instrText>
      </w:r>
      <w:r w:rsidRPr="00C56737">
        <w:rPr>
          <w:rFonts w:ascii="Times New Roman" w:eastAsia="Times New Roman" w:hAnsi="Times New Roman" w:cs="Times New Roman"/>
          <w:kern w:val="0"/>
          <w:lang w:val="en-US" w:eastAsia="en-GB"/>
          <w14:ligatures w14:val="none"/>
        </w:rPr>
        <w:fldChar w:fldCharType="separate"/>
      </w:r>
      <w:r w:rsidR="006A5B01">
        <w:rPr>
          <w:rFonts w:ascii="Times New Roman" w:eastAsia="Times New Roman" w:hAnsi="Times New Roman" w:cs="Times New Roman"/>
          <w:noProof/>
          <w:kern w:val="0"/>
          <w:lang w:val="en-US" w:eastAsia="en-GB"/>
          <w14:ligatures w14:val="none"/>
        </w:rPr>
        <w:t>2</w:t>
      </w:r>
      <w:r w:rsidRPr="00C56737">
        <w:rPr>
          <w:rFonts w:ascii="Times New Roman" w:eastAsia="Times New Roman" w:hAnsi="Times New Roman" w:cs="Times New Roman"/>
          <w:kern w:val="0"/>
          <w:lang w:val="en-US" w:eastAsia="en-GB"/>
          <w14:ligatures w14:val="none"/>
        </w:rPr>
        <w:fldChar w:fldCharType="end"/>
      </w:r>
      <w:r w:rsidRPr="00C56737">
        <w:rPr>
          <w:rFonts w:ascii="Times New Roman" w:eastAsia="Times New Roman" w:hAnsi="Times New Roman" w:cs="Times New Roman"/>
          <w:kern w:val="0"/>
          <w:lang w:val="en-US" w:eastAsia="en-GB"/>
          <w14:ligatures w14:val="none"/>
        </w:rPr>
        <w:t xml:space="preserve"> – Differences between the Capability Model and the Alternative Capability Model</w:t>
      </w:r>
    </w:p>
    <w:p w14:paraId="5542C172"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 xml:space="preserve">A potential explanation for these differences lies in the inherent limitations due to the sample sizes of our survey and the size of our panel. </w:t>
      </w:r>
      <w:commentRangeStart w:id="90"/>
      <w:commentRangeStart w:id="91"/>
      <w:r w:rsidRPr="00C56737">
        <w:rPr>
          <w:rFonts w:ascii="Times New Roman" w:eastAsia="Times New Roman" w:hAnsi="Times New Roman" w:cs="Times New Roman"/>
          <w:kern w:val="0"/>
          <w:lang w:val="en-GB" w:eastAsia="en-GB"/>
          <w14:ligatures w14:val="none"/>
        </w:rPr>
        <w:t>For now we will retain the originally proposed capability model</w:t>
      </w:r>
      <w:commentRangeEnd w:id="90"/>
      <w:r w:rsidRPr="00C56737">
        <w:rPr>
          <w:rFonts w:ascii="Times New Roman" w:eastAsia="Times New Roman" w:hAnsi="Times New Roman" w:cs="Times New Roman"/>
          <w:kern w:val="0"/>
          <w:sz w:val="16"/>
          <w:szCs w:val="16"/>
          <w:lang w:val="en-GB" w:eastAsia="en-GB"/>
          <w14:ligatures w14:val="none"/>
        </w:rPr>
        <w:commentReference w:id="90"/>
      </w:r>
      <w:commentRangeEnd w:id="91"/>
      <w:r w:rsidRPr="00C56737">
        <w:rPr>
          <w:rFonts w:ascii="Times New Roman" w:eastAsia="Times New Roman" w:hAnsi="Times New Roman" w:cs="Times New Roman"/>
          <w:kern w:val="0"/>
          <w:sz w:val="16"/>
          <w:szCs w:val="16"/>
          <w:lang w:val="en-GB" w:eastAsia="en-GB"/>
          <w14:ligatures w14:val="none"/>
        </w:rPr>
        <w:commentReference w:id="91"/>
      </w:r>
      <w:r w:rsidRPr="00C56737">
        <w:rPr>
          <w:rFonts w:ascii="Times New Roman" w:eastAsia="Times New Roman" w:hAnsi="Times New Roman" w:cs="Times New Roman"/>
          <w:kern w:val="0"/>
          <w:lang w:val="en-GB" w:eastAsia="en-GB"/>
          <w14:ligatures w14:val="none"/>
        </w:rPr>
        <w:t>, because the close resemblance between both models confirms the solidity of our original model.</w:t>
      </w:r>
    </w:p>
    <w:p w14:paraId="7D04214E" w14:textId="77777777" w:rsidR="00C56737" w:rsidRPr="00C56737" w:rsidRDefault="00C56737" w:rsidP="00C56737">
      <w:pPr>
        <w:spacing w:after="0" w:line="480" w:lineRule="auto"/>
        <w:rPr>
          <w:rFonts w:ascii="Times New Roman" w:eastAsia="Times New Roman" w:hAnsi="Times New Roman" w:cs="Times New Roman"/>
          <w:kern w:val="0"/>
          <w:lang w:val="en-US" w:eastAsia="en-GB"/>
          <w14:ligatures w14:val="none"/>
        </w:rPr>
      </w:pPr>
    </w:p>
    <w:p w14:paraId="227EA6F2" w14:textId="77777777"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r w:rsidRPr="00C56737">
        <w:rPr>
          <w:rFonts w:ascii="Times New Roman" w:eastAsia="Times New Roman" w:hAnsi="Times New Roman" w:cs="Arial"/>
          <w:b/>
          <w:bCs/>
          <w:caps/>
          <w:kern w:val="32"/>
          <w:szCs w:val="32"/>
          <w:lang w:val="en-GB" w:eastAsia="en-GB"/>
          <w14:ligatures w14:val="none"/>
        </w:rPr>
        <w:br w:type="page"/>
      </w:r>
    </w:p>
    <w:p w14:paraId="6FD76442" w14:textId="3211BCB5" w:rsidR="00C56737" w:rsidRPr="00C56737" w:rsidRDefault="00C56737" w:rsidP="00C56737">
      <w:pPr>
        <w:keepNext/>
        <w:spacing w:before="360" w:after="60" w:line="360" w:lineRule="auto"/>
        <w:ind w:left="720" w:right="567" w:hanging="360"/>
        <w:contextualSpacing/>
        <w:jc w:val="center"/>
        <w:outlineLvl w:val="0"/>
        <w:rPr>
          <w:rFonts w:ascii="Times New Roman" w:eastAsia="Times New Roman" w:hAnsi="Times New Roman" w:cs="Arial"/>
          <w:b/>
          <w:bCs/>
          <w:caps/>
          <w:kern w:val="32"/>
          <w:szCs w:val="32"/>
          <w:lang w:val="en-GB" w:eastAsia="en-GB"/>
          <w14:ligatures w14:val="none"/>
        </w:rPr>
      </w:pPr>
      <w:bookmarkStart w:id="92" w:name="_Toc163070907"/>
      <w:bookmarkStart w:id="93" w:name="_Toc181650874"/>
      <w:r w:rsidRPr="00C56737">
        <w:rPr>
          <w:rFonts w:ascii="Times New Roman" w:eastAsia="Times New Roman" w:hAnsi="Times New Roman" w:cs="Arial"/>
          <w:b/>
          <w:bCs/>
          <w:caps/>
          <w:kern w:val="32"/>
          <w:szCs w:val="32"/>
          <w:lang w:val="en-GB" w:eastAsia="en-GB"/>
          <w14:ligatures w14:val="none"/>
        </w:rPr>
        <w:t xml:space="preserve">Appendix </w:t>
      </w:r>
      <w:r w:rsidR="00C5394F">
        <w:rPr>
          <w:rFonts w:ascii="Times New Roman" w:eastAsia="Times New Roman" w:hAnsi="Times New Roman" w:cs="Arial"/>
          <w:b/>
          <w:bCs/>
          <w:caps/>
          <w:kern w:val="32"/>
          <w:szCs w:val="32"/>
          <w:lang w:val="en-GB" w:eastAsia="en-GB"/>
          <w14:ligatures w14:val="none"/>
        </w:rPr>
        <w:t>9</w:t>
      </w:r>
      <w:r w:rsidRPr="00C56737">
        <w:rPr>
          <w:rFonts w:ascii="Times New Roman" w:eastAsia="Times New Roman" w:hAnsi="Times New Roman" w:cs="Arial"/>
          <w:b/>
          <w:bCs/>
          <w:caps/>
          <w:kern w:val="32"/>
          <w:szCs w:val="32"/>
          <w:lang w:val="en-GB" w:eastAsia="en-GB"/>
          <w14:ligatures w14:val="none"/>
        </w:rPr>
        <w:t xml:space="preserve"> – Information Item Capability Assessment Tool</w:t>
      </w:r>
      <w:bookmarkEnd w:id="84"/>
      <w:bookmarkEnd w:id="85"/>
      <w:bookmarkEnd w:id="86"/>
      <w:bookmarkEnd w:id="92"/>
      <w:bookmarkEnd w:id="93"/>
    </w:p>
    <w:p w14:paraId="352E29B8"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See also separate Excel Sheet (contact Authors)</w:t>
      </w:r>
    </w:p>
    <w:p w14:paraId="4703477E"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kern w:val="0"/>
          <w:lang w:val="en-GB" w:eastAsia="en-GB"/>
          <w14:ligatures w14:val="none"/>
        </w:rPr>
        <w:t>The screenshots below are taken from a blank assessment sheet for a Strategic Roadmap information item, i.e. an information item from the ‘Rules’ purpose category.</w:t>
      </w:r>
    </w:p>
    <w:p w14:paraId="63DA89D5"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noProof/>
          <w:kern w:val="0"/>
          <w:lang w:val="en-GB" w:eastAsia="en-GB"/>
          <w14:ligatures w14:val="none"/>
        </w:rPr>
        <w:drawing>
          <wp:inline distT="0" distB="0" distL="0" distR="0" wp14:anchorId="37100E6C" wp14:editId="7E06049F">
            <wp:extent cx="5759450" cy="3546475"/>
            <wp:effectExtent l="0" t="0" r="6350" b="0"/>
            <wp:docPr id="1326203075" name="Picture 132620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03075" name=""/>
                    <pic:cNvPicPr/>
                  </pic:nvPicPr>
                  <pic:blipFill>
                    <a:blip r:embed="rId27"/>
                    <a:stretch>
                      <a:fillRect/>
                    </a:stretch>
                  </pic:blipFill>
                  <pic:spPr>
                    <a:xfrm>
                      <a:off x="0" y="0"/>
                      <a:ext cx="5759450" cy="3546475"/>
                    </a:xfrm>
                    <a:prstGeom prst="rect">
                      <a:avLst/>
                    </a:prstGeom>
                  </pic:spPr>
                </pic:pic>
              </a:graphicData>
            </a:graphic>
          </wp:inline>
        </w:drawing>
      </w:r>
    </w:p>
    <w:p w14:paraId="51E6A125"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17C0F072"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noProof/>
          <w:kern w:val="0"/>
          <w:lang w:val="en-GB" w:eastAsia="en-GB"/>
          <w14:ligatures w14:val="none"/>
        </w:rPr>
        <w:drawing>
          <wp:inline distT="0" distB="0" distL="0" distR="0" wp14:anchorId="47EC3B3A" wp14:editId="4CA8F676">
            <wp:extent cx="5759450" cy="3096895"/>
            <wp:effectExtent l="0" t="0" r="6350" b="1905"/>
            <wp:docPr id="1928594782" name="Picture 192859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94782" name=""/>
                    <pic:cNvPicPr/>
                  </pic:nvPicPr>
                  <pic:blipFill>
                    <a:blip r:embed="rId28"/>
                    <a:stretch>
                      <a:fillRect/>
                    </a:stretch>
                  </pic:blipFill>
                  <pic:spPr>
                    <a:xfrm>
                      <a:off x="0" y="0"/>
                      <a:ext cx="5759450" cy="3096895"/>
                    </a:xfrm>
                    <a:prstGeom prst="rect">
                      <a:avLst/>
                    </a:prstGeom>
                  </pic:spPr>
                </pic:pic>
              </a:graphicData>
            </a:graphic>
          </wp:inline>
        </w:drawing>
      </w:r>
    </w:p>
    <w:p w14:paraId="5FD4FD62"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p>
    <w:p w14:paraId="09098CBE" w14:textId="77777777" w:rsidR="00C56737" w:rsidRPr="00C56737" w:rsidRDefault="00C56737" w:rsidP="00C56737">
      <w:pPr>
        <w:spacing w:after="0" w:line="480" w:lineRule="auto"/>
        <w:rPr>
          <w:rFonts w:ascii="Times New Roman" w:eastAsia="Times New Roman" w:hAnsi="Times New Roman" w:cs="Times New Roman"/>
          <w:kern w:val="0"/>
          <w:lang w:val="en-GB" w:eastAsia="en-GB"/>
          <w14:ligatures w14:val="none"/>
        </w:rPr>
      </w:pPr>
      <w:r w:rsidRPr="00C56737">
        <w:rPr>
          <w:rFonts w:ascii="Times New Roman" w:eastAsia="Times New Roman" w:hAnsi="Times New Roman" w:cs="Times New Roman"/>
          <w:noProof/>
          <w:kern w:val="0"/>
          <w:lang w:val="en-GB" w:eastAsia="en-GB"/>
          <w14:ligatures w14:val="none"/>
        </w:rPr>
        <w:drawing>
          <wp:inline distT="0" distB="0" distL="0" distR="0" wp14:anchorId="0903F745" wp14:editId="7831C2D7">
            <wp:extent cx="5759450" cy="2571750"/>
            <wp:effectExtent l="0" t="0" r="6350" b="6350"/>
            <wp:docPr id="856902641" name="Picture 85690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2641" name=""/>
                    <pic:cNvPicPr/>
                  </pic:nvPicPr>
                  <pic:blipFill>
                    <a:blip r:embed="rId29"/>
                    <a:stretch>
                      <a:fillRect/>
                    </a:stretch>
                  </pic:blipFill>
                  <pic:spPr>
                    <a:xfrm>
                      <a:off x="0" y="0"/>
                      <a:ext cx="5759450" cy="2571750"/>
                    </a:xfrm>
                    <a:prstGeom prst="rect">
                      <a:avLst/>
                    </a:prstGeom>
                  </pic:spPr>
                </pic:pic>
              </a:graphicData>
            </a:graphic>
          </wp:inline>
        </w:drawing>
      </w:r>
    </w:p>
    <w:sectPr w:rsidR="00C56737" w:rsidRPr="00C5673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8" w:author="Geert Poels" w:date="2024-01-15T22:49:00Z" w:initials="GP">
    <w:p w14:paraId="280CBBD3" w14:textId="77777777" w:rsidR="00C56737" w:rsidRDefault="00C56737" w:rsidP="00C56737">
      <w:r>
        <w:rPr>
          <w:rStyle w:val="CommentReference"/>
        </w:rPr>
        <w:annotationRef/>
      </w:r>
      <w:r>
        <w:rPr>
          <w:color w:val="000000"/>
          <w:szCs w:val="20"/>
        </w:rPr>
        <w:t>Have you also done the exercise for the other three information purpose categories?</w:t>
      </w:r>
    </w:p>
  </w:comment>
  <w:comment w:id="89" w:author="dirk steuperaert" w:date="2024-01-16T15:26:00Z" w:initials="ds">
    <w:p w14:paraId="0B8E621A" w14:textId="77777777" w:rsidR="00C56737" w:rsidRDefault="00C56737" w:rsidP="00C56737">
      <w:pPr>
        <w:pStyle w:val="CommentText1"/>
        <w:jc w:val="left"/>
      </w:pPr>
      <w:r>
        <w:rPr>
          <w:rStyle w:val="CommentReference"/>
        </w:rPr>
        <w:annotationRef/>
      </w:r>
      <w:r>
        <w:t>Yes</w:t>
      </w:r>
    </w:p>
  </w:comment>
  <w:comment w:id="90" w:author="Geert Poels" w:date="2024-01-15T22:50:00Z" w:initials="GP">
    <w:p w14:paraId="705627C1" w14:textId="77777777" w:rsidR="00C56737" w:rsidRDefault="00C56737" w:rsidP="00C56737">
      <w:r>
        <w:rPr>
          <w:rStyle w:val="CommentReference"/>
        </w:rPr>
        <w:annotationRef/>
      </w:r>
      <w:r>
        <w:rPr>
          <w:color w:val="000000"/>
          <w:szCs w:val="20"/>
        </w:rPr>
        <w:t>This is a subjective choice. I would present in the paper just one calculation method.</w:t>
      </w:r>
    </w:p>
  </w:comment>
  <w:comment w:id="91" w:author="dirk steuperaert" w:date="2024-04-03T16:09:00Z" w:initials="ds">
    <w:p w14:paraId="34400CAD" w14:textId="77777777" w:rsidR="00C56737" w:rsidRDefault="00C56737" w:rsidP="00C56737">
      <w:pPr>
        <w:pStyle w:val="CommentText1"/>
        <w:jc w:val="left"/>
      </w:pPr>
      <w:r>
        <w:rPr>
          <w:rStyle w:val="CommentReference"/>
        </w:rPr>
        <w:annotationRef/>
      </w:r>
      <w:r>
        <w:t>Moved to appendix as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80CBBD3" w15:done="1"/>
  <w15:commentEx w15:paraId="0B8E621A" w15:paraIdParent="280CBBD3" w15:done="1"/>
  <w15:commentEx w15:paraId="705627C1" w15:done="1"/>
  <w15:commentEx w15:paraId="34400CAD" w15:paraIdParent="705627C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C23D3D" w16cex:dateUtc="2024-01-15T21:49:00Z"/>
  <w16cex:commentExtensible w16cex:durableId="69420FC6" w16cex:dateUtc="2024-01-16T14:26:00Z"/>
  <w16cex:commentExtensible w16cex:durableId="6814C59A" w16cex:dateUtc="2024-01-15T21:50:00Z"/>
  <w16cex:commentExtensible w16cex:durableId="05AEC1D7" w16cex:dateUtc="2024-04-03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80CBBD3" w16cid:durableId="26C23D3D"/>
  <w16cid:commentId w16cid:paraId="0B8E621A" w16cid:durableId="69420FC6"/>
  <w16cid:commentId w16cid:paraId="705627C1" w16cid:durableId="6814C59A"/>
  <w16cid:commentId w16cid:paraId="34400CAD" w16cid:durableId="05AEC1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B9A3B" w14:textId="77777777" w:rsidR="004C3610" w:rsidRDefault="004C3610" w:rsidP="00C56737">
      <w:pPr>
        <w:spacing w:after="0" w:line="240" w:lineRule="auto"/>
      </w:pPr>
      <w:r>
        <w:separator/>
      </w:r>
    </w:p>
  </w:endnote>
  <w:endnote w:type="continuationSeparator" w:id="0">
    <w:p w14:paraId="5E58AD79" w14:textId="77777777" w:rsidR="004C3610" w:rsidRDefault="004C3610" w:rsidP="00C5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7386772"/>
      <w:docPartObj>
        <w:docPartGallery w:val="Page Numbers (Bottom of Page)"/>
        <w:docPartUnique/>
      </w:docPartObj>
    </w:sdtPr>
    <w:sdtEndPr>
      <w:rPr>
        <w:noProof/>
      </w:rPr>
    </w:sdtEndPr>
    <w:sdtContent>
      <w:p w14:paraId="12BDC8B6" w14:textId="77777777" w:rsidR="00C56737" w:rsidRDefault="00C567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C9A185" w14:textId="77777777" w:rsidR="00C56737" w:rsidRDefault="00C56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80F8F" w14:textId="77777777" w:rsidR="004C3610" w:rsidRDefault="004C3610" w:rsidP="00C56737">
      <w:pPr>
        <w:spacing w:after="0" w:line="240" w:lineRule="auto"/>
      </w:pPr>
      <w:r>
        <w:separator/>
      </w:r>
    </w:p>
  </w:footnote>
  <w:footnote w:type="continuationSeparator" w:id="0">
    <w:p w14:paraId="6E4B7967" w14:textId="77777777" w:rsidR="004C3610" w:rsidRDefault="004C3610" w:rsidP="00C56737">
      <w:pPr>
        <w:spacing w:after="0" w:line="240" w:lineRule="auto"/>
      </w:pPr>
      <w:r>
        <w:continuationSeparator/>
      </w:r>
    </w:p>
  </w:footnote>
  <w:footnote w:id="1">
    <w:p w14:paraId="1833228A" w14:textId="77777777" w:rsidR="00C56737" w:rsidRPr="00E75D40" w:rsidRDefault="00C56737" w:rsidP="00C56737">
      <w:pPr>
        <w:pStyle w:val="FootnoteText"/>
        <w:rPr>
          <w:lang w:val="en-US"/>
        </w:rPr>
      </w:pPr>
      <w:r>
        <w:rPr>
          <w:rStyle w:val="FootnoteReference"/>
        </w:rPr>
        <w:footnoteRef/>
      </w:r>
      <w:r w:rsidRPr="00E75D40">
        <w:rPr>
          <w:lang w:val="en-US"/>
        </w:rPr>
        <w:t xml:space="preserve"> Comm &amp; Ref stands for Communication &amp; Reference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0CBDD" w14:textId="6C17906D" w:rsidR="00C56737" w:rsidRPr="000E043C" w:rsidRDefault="00C56737" w:rsidP="00E437CA">
    <w:pPr>
      <w:pStyle w:val="Header"/>
      <w:pBdr>
        <w:bottom w:val="single" w:sz="4" w:space="1" w:color="auto"/>
      </w:pBdr>
      <w:jc w:val="center"/>
      <w:rPr>
        <w:lang w:val="en-US"/>
      </w:rPr>
    </w:pPr>
    <w:r>
      <w:fldChar w:fldCharType="begin"/>
    </w:r>
    <w:r w:rsidRPr="000E043C">
      <w:rPr>
        <w:lang w:val="en-US"/>
      </w:rPr>
      <w:instrText xml:space="preserve"> FILENAME \* MERGEFORMAT </w:instrText>
    </w:r>
    <w:r>
      <w:fldChar w:fldCharType="separate"/>
    </w:r>
    <w:r w:rsidR="006A5B01">
      <w:rPr>
        <w:noProof/>
        <w:lang w:val="en-US"/>
      </w:rPr>
      <w:t>Capability model for IT Governance Information Quality - 25Oct2024 - Appendices.docx</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333C"/>
    <w:multiLevelType w:val="multilevel"/>
    <w:tmpl w:val="F6FCD80E"/>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E12EC0"/>
    <w:multiLevelType w:val="hybridMultilevel"/>
    <w:tmpl w:val="A21EC8C2"/>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0EA331B5"/>
    <w:multiLevelType w:val="hybridMultilevel"/>
    <w:tmpl w:val="72DCD91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11966C7C"/>
    <w:multiLevelType w:val="hybridMultilevel"/>
    <w:tmpl w:val="D5D04AEA"/>
    <w:lvl w:ilvl="0" w:tplc="FFFFFFFF">
      <w:start w:val="1"/>
      <w:numFmt w:val="decimal"/>
      <w:lvlText w:val="%1."/>
      <w:lvlJc w:val="left"/>
      <w:pPr>
        <w:ind w:left="720" w:hanging="360"/>
      </w:pPr>
      <w:rPr>
        <w:rFonts w:hint="default"/>
      </w:rPr>
    </w:lvl>
    <w:lvl w:ilvl="1" w:tplc="0813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0B6F51"/>
    <w:multiLevelType w:val="hybridMultilevel"/>
    <w:tmpl w:val="ACA0E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C802D8"/>
    <w:multiLevelType w:val="multilevel"/>
    <w:tmpl w:val="87CC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D0799"/>
    <w:multiLevelType w:val="hybridMultilevel"/>
    <w:tmpl w:val="1F86B72A"/>
    <w:lvl w:ilvl="0" w:tplc="FFFFFFFF">
      <w:start w:val="1"/>
      <w:numFmt w:val="decimal"/>
      <w:lvlText w:val="%1."/>
      <w:lvlJc w:val="left"/>
      <w:pPr>
        <w:ind w:left="720" w:hanging="360"/>
      </w:pPr>
      <w:rPr>
        <w:rFonts w:hint="default"/>
      </w:rPr>
    </w:lvl>
    <w:lvl w:ilvl="1" w:tplc="1000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F70E96"/>
    <w:multiLevelType w:val="hybridMultilevel"/>
    <w:tmpl w:val="6E144D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BD4161D"/>
    <w:multiLevelType w:val="multilevel"/>
    <w:tmpl w:val="F59C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3200CF"/>
    <w:multiLevelType w:val="multilevel"/>
    <w:tmpl w:val="F6FCD80E"/>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C5D0C07"/>
    <w:multiLevelType w:val="hybridMultilevel"/>
    <w:tmpl w:val="4CA02766"/>
    <w:lvl w:ilvl="0" w:tplc="79367BA0">
      <w:start w:val="1"/>
      <w:numFmt w:val="decimal"/>
      <w:pStyle w:val="Numberedlist"/>
      <w:lvlText w:val="(%1)"/>
      <w:lvlJc w:val="right"/>
      <w:pPr>
        <w:ind w:left="666" w:hanging="153"/>
      </w:pPr>
      <w:rPr>
        <w:rFonts w:hint="default"/>
      </w:rPr>
    </w:lvl>
    <w:lvl w:ilvl="1" w:tplc="FE3AC208">
      <w:start w:val="1"/>
      <w:numFmt w:val="lowerLetter"/>
      <w:lvlText w:val="(%2)"/>
      <w:lvlJc w:val="left"/>
      <w:pPr>
        <w:ind w:left="1386" w:hanging="360"/>
      </w:pPr>
      <w:rPr>
        <w:rFonts w:hint="default"/>
      </w:rPr>
    </w:lvl>
    <w:lvl w:ilvl="2" w:tplc="77E4D7DE">
      <w:start w:val="1"/>
      <w:numFmt w:val="lowerRoman"/>
      <w:lvlText w:val="(%3)"/>
      <w:lvlJc w:val="right"/>
      <w:pPr>
        <w:ind w:left="2106" w:hanging="180"/>
      </w:pPr>
      <w:rPr>
        <w:rFonts w:hint="default"/>
      </w:rPr>
    </w:lvl>
    <w:lvl w:ilvl="3" w:tplc="0809000F" w:tentative="1">
      <w:start w:val="1"/>
      <w:numFmt w:val="decimal"/>
      <w:lvlText w:val="%4."/>
      <w:lvlJc w:val="left"/>
      <w:pPr>
        <w:ind w:left="2826" w:hanging="360"/>
      </w:pPr>
    </w:lvl>
    <w:lvl w:ilvl="4" w:tplc="08090019" w:tentative="1">
      <w:start w:val="1"/>
      <w:numFmt w:val="lowerLetter"/>
      <w:lvlText w:val="%5."/>
      <w:lvlJc w:val="left"/>
      <w:pPr>
        <w:ind w:left="3546" w:hanging="360"/>
      </w:pPr>
    </w:lvl>
    <w:lvl w:ilvl="5" w:tplc="0809001B" w:tentative="1">
      <w:start w:val="1"/>
      <w:numFmt w:val="lowerRoman"/>
      <w:lvlText w:val="%6."/>
      <w:lvlJc w:val="right"/>
      <w:pPr>
        <w:ind w:left="4266" w:hanging="180"/>
      </w:pPr>
    </w:lvl>
    <w:lvl w:ilvl="6" w:tplc="0809000F" w:tentative="1">
      <w:start w:val="1"/>
      <w:numFmt w:val="decimal"/>
      <w:lvlText w:val="%7."/>
      <w:lvlJc w:val="left"/>
      <w:pPr>
        <w:ind w:left="4986" w:hanging="360"/>
      </w:pPr>
    </w:lvl>
    <w:lvl w:ilvl="7" w:tplc="08090019" w:tentative="1">
      <w:start w:val="1"/>
      <w:numFmt w:val="lowerLetter"/>
      <w:lvlText w:val="%8."/>
      <w:lvlJc w:val="left"/>
      <w:pPr>
        <w:ind w:left="5706" w:hanging="360"/>
      </w:pPr>
    </w:lvl>
    <w:lvl w:ilvl="8" w:tplc="0809001B" w:tentative="1">
      <w:start w:val="1"/>
      <w:numFmt w:val="lowerRoman"/>
      <w:lvlText w:val="%9."/>
      <w:lvlJc w:val="right"/>
      <w:pPr>
        <w:ind w:left="6426" w:hanging="180"/>
      </w:pPr>
    </w:lvl>
  </w:abstractNum>
  <w:abstractNum w:abstractNumId="11" w15:restartNumberingAfterBreak="0">
    <w:nsid w:val="54D4100C"/>
    <w:multiLevelType w:val="multilevel"/>
    <w:tmpl w:val="BF8CEB66"/>
    <w:styleLink w:val="Huidigelij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Arial"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Arial"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5A4D7AF7"/>
    <w:multiLevelType w:val="hybridMultilevel"/>
    <w:tmpl w:val="D50A8EFA"/>
    <w:lvl w:ilvl="0" w:tplc="14F2DEAA">
      <w:start w:val="1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D96BF8"/>
    <w:multiLevelType w:val="hybridMultilevel"/>
    <w:tmpl w:val="BF8CEB66"/>
    <w:lvl w:ilvl="0" w:tplc="0456C424">
      <w:start w:val="1"/>
      <w:numFmt w:val="bullet"/>
      <w:pStyle w:val="Bulletedlis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Aria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Arial"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EAA6E01"/>
    <w:multiLevelType w:val="hybridMultilevel"/>
    <w:tmpl w:val="25E64E24"/>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6AFE7307"/>
    <w:multiLevelType w:val="multilevel"/>
    <w:tmpl w:val="442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864DCD"/>
    <w:multiLevelType w:val="hybridMultilevel"/>
    <w:tmpl w:val="707A908E"/>
    <w:lvl w:ilvl="0" w:tplc="FFFFFFFF">
      <w:start w:val="1"/>
      <w:numFmt w:val="decimal"/>
      <w:lvlText w:val="%1."/>
      <w:lvlJc w:val="left"/>
      <w:pPr>
        <w:ind w:left="720" w:hanging="360"/>
      </w:pPr>
      <w:rPr>
        <w:rFonts w:hint="default"/>
      </w:rPr>
    </w:lvl>
    <w:lvl w:ilvl="1" w:tplc="0813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D5F37A1"/>
    <w:multiLevelType w:val="hybridMultilevel"/>
    <w:tmpl w:val="25E64E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4685729">
    <w:abstractNumId w:val="10"/>
  </w:num>
  <w:num w:numId="2" w16cid:durableId="1111701545">
    <w:abstractNumId w:val="13"/>
  </w:num>
  <w:num w:numId="3" w16cid:durableId="207305115">
    <w:abstractNumId w:val="1"/>
  </w:num>
  <w:num w:numId="4" w16cid:durableId="575672561">
    <w:abstractNumId w:val="9"/>
  </w:num>
  <w:num w:numId="5" w16cid:durableId="1066103370">
    <w:abstractNumId w:val="0"/>
  </w:num>
  <w:num w:numId="6" w16cid:durableId="1029648110">
    <w:abstractNumId w:val="14"/>
  </w:num>
  <w:num w:numId="7" w16cid:durableId="728501075">
    <w:abstractNumId w:val="6"/>
  </w:num>
  <w:num w:numId="8" w16cid:durableId="461191027">
    <w:abstractNumId w:val="3"/>
  </w:num>
  <w:num w:numId="9" w16cid:durableId="1710950354">
    <w:abstractNumId w:val="16"/>
  </w:num>
  <w:num w:numId="10" w16cid:durableId="477301815">
    <w:abstractNumId w:val="2"/>
  </w:num>
  <w:num w:numId="11" w16cid:durableId="1512988881">
    <w:abstractNumId w:val="17"/>
  </w:num>
  <w:num w:numId="12" w16cid:durableId="670135697">
    <w:abstractNumId w:val="4"/>
  </w:num>
  <w:num w:numId="13" w16cid:durableId="1033461977">
    <w:abstractNumId w:val="7"/>
  </w:num>
  <w:num w:numId="14" w16cid:durableId="99494801">
    <w:abstractNumId w:val="8"/>
  </w:num>
  <w:num w:numId="15" w16cid:durableId="1447769741">
    <w:abstractNumId w:val="5"/>
  </w:num>
  <w:num w:numId="16" w16cid:durableId="1449548848">
    <w:abstractNumId w:val="15"/>
  </w:num>
  <w:num w:numId="17" w16cid:durableId="165556812">
    <w:abstractNumId w:val="10"/>
    <w:lvlOverride w:ilvl="0">
      <w:startOverride w:val="1"/>
    </w:lvlOverride>
  </w:num>
  <w:num w:numId="18" w16cid:durableId="1565676586">
    <w:abstractNumId w:val="12"/>
  </w:num>
  <w:num w:numId="19" w16cid:durableId="126611047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ert Poels">
    <w15:presenceInfo w15:providerId="AD" w15:userId="S::geert.poels@ugent.be::cf41602c-1803-48c1-a4c0-ff3ac03076e1"/>
  </w15:person>
  <w15:person w15:author="dirk steuperaert">
    <w15:presenceInfo w15:providerId="Windows Live" w15:userId="2b9aa3a184d53b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737"/>
    <w:rsid w:val="00393B8D"/>
    <w:rsid w:val="0041264B"/>
    <w:rsid w:val="004C3610"/>
    <w:rsid w:val="006A5B01"/>
    <w:rsid w:val="00911C94"/>
    <w:rsid w:val="009D609F"/>
    <w:rsid w:val="00A07166"/>
    <w:rsid w:val="00B43FD1"/>
    <w:rsid w:val="00B8510C"/>
    <w:rsid w:val="00C5394F"/>
    <w:rsid w:val="00C56737"/>
    <w:rsid w:val="00D71A11"/>
    <w:rsid w:val="00F256EA"/>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25BE5A61"/>
  <w15:chartTrackingRefBased/>
  <w15:docId w15:val="{D0957361-43BB-864C-9A6D-4D258F2F0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7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67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67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67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567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C567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67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67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67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7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67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67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67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5673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C567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67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67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6737"/>
    <w:rPr>
      <w:rFonts w:eastAsiaTheme="majorEastAsia" w:cstheme="majorBidi"/>
      <w:color w:val="272727" w:themeColor="text1" w:themeTint="D8"/>
    </w:rPr>
  </w:style>
  <w:style w:type="paragraph" w:styleId="Title">
    <w:name w:val="Title"/>
    <w:basedOn w:val="Normal"/>
    <w:next w:val="Normal"/>
    <w:link w:val="TitleChar"/>
    <w:uiPriority w:val="10"/>
    <w:qFormat/>
    <w:rsid w:val="00C567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7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67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67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6737"/>
    <w:pPr>
      <w:spacing w:before="160"/>
      <w:jc w:val="center"/>
    </w:pPr>
    <w:rPr>
      <w:i/>
      <w:iCs/>
      <w:color w:val="404040" w:themeColor="text1" w:themeTint="BF"/>
    </w:rPr>
  </w:style>
  <w:style w:type="character" w:customStyle="1" w:styleId="QuoteChar">
    <w:name w:val="Quote Char"/>
    <w:basedOn w:val="DefaultParagraphFont"/>
    <w:link w:val="Quote"/>
    <w:uiPriority w:val="29"/>
    <w:rsid w:val="00C56737"/>
    <w:rPr>
      <w:i/>
      <w:iCs/>
      <w:color w:val="404040" w:themeColor="text1" w:themeTint="BF"/>
    </w:rPr>
  </w:style>
  <w:style w:type="paragraph" w:styleId="ListParagraph">
    <w:name w:val="List Paragraph"/>
    <w:basedOn w:val="Normal"/>
    <w:uiPriority w:val="34"/>
    <w:qFormat/>
    <w:rsid w:val="00C56737"/>
    <w:pPr>
      <w:ind w:left="720"/>
      <w:contextualSpacing/>
    </w:pPr>
  </w:style>
  <w:style w:type="character" w:styleId="IntenseEmphasis">
    <w:name w:val="Intense Emphasis"/>
    <w:basedOn w:val="DefaultParagraphFont"/>
    <w:uiPriority w:val="21"/>
    <w:qFormat/>
    <w:rsid w:val="00C56737"/>
    <w:rPr>
      <w:i/>
      <w:iCs/>
      <w:color w:val="0F4761" w:themeColor="accent1" w:themeShade="BF"/>
    </w:rPr>
  </w:style>
  <w:style w:type="paragraph" w:styleId="IntenseQuote">
    <w:name w:val="Intense Quote"/>
    <w:basedOn w:val="Normal"/>
    <w:next w:val="Normal"/>
    <w:link w:val="IntenseQuoteChar"/>
    <w:uiPriority w:val="30"/>
    <w:qFormat/>
    <w:rsid w:val="00C567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6737"/>
    <w:rPr>
      <w:i/>
      <w:iCs/>
      <w:color w:val="0F4761" w:themeColor="accent1" w:themeShade="BF"/>
    </w:rPr>
  </w:style>
  <w:style w:type="character" w:styleId="IntenseReference">
    <w:name w:val="Intense Reference"/>
    <w:basedOn w:val="DefaultParagraphFont"/>
    <w:uiPriority w:val="32"/>
    <w:qFormat/>
    <w:rsid w:val="00C56737"/>
    <w:rPr>
      <w:b/>
      <w:bCs/>
      <w:smallCaps/>
      <w:color w:val="0F4761" w:themeColor="accent1" w:themeShade="BF"/>
      <w:spacing w:val="5"/>
    </w:rPr>
  </w:style>
  <w:style w:type="numbering" w:customStyle="1" w:styleId="NoList1">
    <w:name w:val="No List1"/>
    <w:next w:val="NoList"/>
    <w:uiPriority w:val="99"/>
    <w:semiHidden/>
    <w:unhideWhenUsed/>
    <w:rsid w:val="00C56737"/>
  </w:style>
  <w:style w:type="paragraph" w:customStyle="1" w:styleId="Articletitle">
    <w:name w:val="Article title"/>
    <w:basedOn w:val="Normal"/>
    <w:next w:val="Normal"/>
    <w:qFormat/>
    <w:rsid w:val="00C56737"/>
    <w:pPr>
      <w:spacing w:after="120" w:line="360" w:lineRule="auto"/>
    </w:pPr>
    <w:rPr>
      <w:rFonts w:ascii="Times New Roman" w:eastAsia="Times New Roman" w:hAnsi="Times New Roman" w:cs="Times New Roman"/>
      <w:b/>
      <w:kern w:val="0"/>
      <w:sz w:val="28"/>
      <w:lang w:val="en-GB" w:eastAsia="en-GB"/>
      <w14:ligatures w14:val="none"/>
    </w:rPr>
  </w:style>
  <w:style w:type="paragraph" w:customStyle="1" w:styleId="Authornames">
    <w:name w:val="Author names"/>
    <w:basedOn w:val="Normal"/>
    <w:next w:val="Normal"/>
    <w:qFormat/>
    <w:rsid w:val="00C56737"/>
    <w:pPr>
      <w:spacing w:before="240" w:after="0" w:line="360" w:lineRule="auto"/>
    </w:pPr>
    <w:rPr>
      <w:rFonts w:ascii="Times New Roman" w:eastAsia="Times New Roman" w:hAnsi="Times New Roman" w:cs="Times New Roman"/>
      <w:kern w:val="0"/>
      <w:sz w:val="28"/>
      <w:lang w:val="en-GB" w:eastAsia="en-GB"/>
      <w14:ligatures w14:val="none"/>
    </w:rPr>
  </w:style>
  <w:style w:type="paragraph" w:customStyle="1" w:styleId="Affiliation">
    <w:name w:val="Affiliation"/>
    <w:basedOn w:val="Normal"/>
    <w:qFormat/>
    <w:rsid w:val="00C56737"/>
    <w:pPr>
      <w:spacing w:before="240" w:after="0" w:line="360" w:lineRule="auto"/>
    </w:pPr>
    <w:rPr>
      <w:rFonts w:ascii="Times New Roman" w:eastAsia="Times New Roman" w:hAnsi="Times New Roman" w:cs="Times New Roman"/>
      <w:i/>
      <w:kern w:val="0"/>
      <w:lang w:val="en-GB" w:eastAsia="en-GB"/>
      <w14:ligatures w14:val="none"/>
    </w:rPr>
  </w:style>
  <w:style w:type="paragraph" w:customStyle="1" w:styleId="Receiveddates">
    <w:name w:val="Received dates"/>
    <w:basedOn w:val="Affiliation"/>
    <w:next w:val="Normal"/>
    <w:qFormat/>
    <w:rsid w:val="00C56737"/>
  </w:style>
  <w:style w:type="paragraph" w:customStyle="1" w:styleId="Abstract">
    <w:name w:val="Abstract"/>
    <w:basedOn w:val="Normal"/>
    <w:next w:val="Keywords"/>
    <w:qFormat/>
    <w:rsid w:val="00C56737"/>
    <w:pPr>
      <w:spacing w:before="360" w:after="300" w:line="360" w:lineRule="auto"/>
      <w:ind w:left="720" w:right="567"/>
    </w:pPr>
    <w:rPr>
      <w:rFonts w:ascii="Times New Roman" w:eastAsia="Times New Roman" w:hAnsi="Times New Roman" w:cs="Times New Roman"/>
      <w:kern w:val="0"/>
      <w:sz w:val="22"/>
      <w:lang w:val="en-GB" w:eastAsia="en-GB"/>
      <w14:ligatures w14:val="none"/>
    </w:rPr>
  </w:style>
  <w:style w:type="paragraph" w:customStyle="1" w:styleId="Keywords">
    <w:name w:val="Keywords"/>
    <w:basedOn w:val="Normal"/>
    <w:next w:val="Paragraph"/>
    <w:qFormat/>
    <w:rsid w:val="00C56737"/>
    <w:pPr>
      <w:spacing w:before="240" w:after="240" w:line="360" w:lineRule="auto"/>
      <w:ind w:left="720" w:right="567"/>
    </w:pPr>
    <w:rPr>
      <w:rFonts w:ascii="Times New Roman" w:eastAsia="Times New Roman" w:hAnsi="Times New Roman" w:cs="Times New Roman"/>
      <w:kern w:val="0"/>
      <w:sz w:val="22"/>
      <w:lang w:val="en-GB" w:eastAsia="en-GB"/>
      <w14:ligatures w14:val="none"/>
    </w:rPr>
  </w:style>
  <w:style w:type="paragraph" w:customStyle="1" w:styleId="Correspondencedetails">
    <w:name w:val="Correspondence details"/>
    <w:basedOn w:val="Normal"/>
    <w:qFormat/>
    <w:rsid w:val="00C56737"/>
    <w:pPr>
      <w:spacing w:before="240" w:after="0" w:line="360" w:lineRule="auto"/>
    </w:pPr>
    <w:rPr>
      <w:rFonts w:ascii="Times New Roman" w:eastAsia="Times New Roman" w:hAnsi="Times New Roman" w:cs="Times New Roman"/>
      <w:kern w:val="0"/>
      <w:lang w:val="en-GB" w:eastAsia="en-GB"/>
      <w14:ligatures w14:val="none"/>
    </w:rPr>
  </w:style>
  <w:style w:type="paragraph" w:customStyle="1" w:styleId="Displayedquotation">
    <w:name w:val="Displayed quotation"/>
    <w:basedOn w:val="Normal"/>
    <w:qFormat/>
    <w:rsid w:val="00C56737"/>
    <w:pPr>
      <w:tabs>
        <w:tab w:val="left" w:pos="1077"/>
        <w:tab w:val="left" w:pos="1440"/>
        <w:tab w:val="left" w:pos="1797"/>
        <w:tab w:val="left" w:pos="2155"/>
        <w:tab w:val="left" w:pos="2512"/>
      </w:tabs>
      <w:spacing w:before="240" w:after="360" w:line="360" w:lineRule="auto"/>
      <w:ind w:left="709" w:right="425"/>
      <w:contextualSpacing/>
    </w:pPr>
    <w:rPr>
      <w:rFonts w:ascii="Times New Roman" w:eastAsia="Times New Roman" w:hAnsi="Times New Roman" w:cs="Times New Roman"/>
      <w:kern w:val="0"/>
      <w:sz w:val="22"/>
      <w:lang w:val="en-GB" w:eastAsia="en-GB"/>
      <w14:ligatures w14:val="none"/>
    </w:rPr>
  </w:style>
  <w:style w:type="paragraph" w:customStyle="1" w:styleId="Numberedlist">
    <w:name w:val="Numbered list"/>
    <w:basedOn w:val="Paragraph"/>
    <w:next w:val="Paragraph"/>
    <w:qFormat/>
    <w:rsid w:val="00C56737"/>
    <w:pPr>
      <w:widowControl/>
      <w:numPr>
        <w:numId w:val="1"/>
      </w:numPr>
      <w:spacing w:after="240"/>
      <w:contextualSpacing/>
    </w:pPr>
  </w:style>
  <w:style w:type="paragraph" w:customStyle="1" w:styleId="Displayedequation">
    <w:name w:val="Displayed equation"/>
    <w:basedOn w:val="Normal"/>
    <w:next w:val="Paragraph"/>
    <w:qFormat/>
    <w:rsid w:val="00C56737"/>
    <w:pPr>
      <w:tabs>
        <w:tab w:val="center" w:pos="4253"/>
        <w:tab w:val="right" w:pos="8222"/>
      </w:tabs>
      <w:spacing w:before="240" w:after="240" w:line="480" w:lineRule="auto"/>
      <w:jc w:val="center"/>
    </w:pPr>
    <w:rPr>
      <w:rFonts w:ascii="Times New Roman" w:eastAsia="Times New Roman" w:hAnsi="Times New Roman" w:cs="Times New Roman"/>
      <w:kern w:val="0"/>
      <w:lang w:val="en-GB" w:eastAsia="en-GB"/>
      <w14:ligatures w14:val="none"/>
    </w:rPr>
  </w:style>
  <w:style w:type="paragraph" w:customStyle="1" w:styleId="Acknowledgements">
    <w:name w:val="Acknowledgements"/>
    <w:basedOn w:val="Normal"/>
    <w:next w:val="Normal"/>
    <w:qFormat/>
    <w:rsid w:val="00C56737"/>
    <w:pPr>
      <w:spacing w:before="120" w:after="0" w:line="360" w:lineRule="auto"/>
    </w:pPr>
    <w:rPr>
      <w:rFonts w:ascii="Times New Roman" w:eastAsia="Times New Roman" w:hAnsi="Times New Roman" w:cs="Times New Roman"/>
      <w:kern w:val="0"/>
      <w:sz w:val="22"/>
      <w:lang w:val="en-GB" w:eastAsia="en-GB"/>
      <w14:ligatures w14:val="none"/>
    </w:rPr>
  </w:style>
  <w:style w:type="paragraph" w:customStyle="1" w:styleId="Tabletitle">
    <w:name w:val="Table title"/>
    <w:basedOn w:val="Normal"/>
    <w:next w:val="Normal"/>
    <w:qFormat/>
    <w:rsid w:val="00C56737"/>
    <w:pPr>
      <w:spacing w:before="240" w:after="0" w:line="360" w:lineRule="auto"/>
      <w:jc w:val="center"/>
    </w:pPr>
    <w:rPr>
      <w:rFonts w:ascii="Times New Roman" w:eastAsia="Times New Roman" w:hAnsi="Times New Roman" w:cs="Times New Roman"/>
      <w:kern w:val="0"/>
      <w:lang w:val="en-US" w:eastAsia="en-GB"/>
      <w14:ligatures w14:val="none"/>
    </w:rPr>
  </w:style>
  <w:style w:type="paragraph" w:customStyle="1" w:styleId="Figurecaption">
    <w:name w:val="Figure caption"/>
    <w:basedOn w:val="Normal"/>
    <w:next w:val="Normal"/>
    <w:qFormat/>
    <w:rsid w:val="00C56737"/>
    <w:pPr>
      <w:spacing w:before="240" w:after="0" w:line="360" w:lineRule="auto"/>
      <w:jc w:val="center"/>
    </w:pPr>
    <w:rPr>
      <w:rFonts w:ascii="Times New Roman" w:eastAsia="Times New Roman" w:hAnsi="Times New Roman" w:cs="Times New Roman"/>
      <w:kern w:val="0"/>
      <w:lang w:val="en-US" w:eastAsia="en-GB"/>
      <w14:ligatures w14:val="none"/>
    </w:rPr>
  </w:style>
  <w:style w:type="paragraph" w:customStyle="1" w:styleId="Footnotes">
    <w:name w:val="Footnotes"/>
    <w:basedOn w:val="Normal"/>
    <w:qFormat/>
    <w:rsid w:val="00C56737"/>
    <w:pPr>
      <w:spacing w:before="120" w:after="0" w:line="360" w:lineRule="auto"/>
      <w:ind w:left="482" w:hanging="482"/>
      <w:contextualSpacing/>
    </w:pPr>
    <w:rPr>
      <w:rFonts w:ascii="Times New Roman" w:eastAsia="Times New Roman" w:hAnsi="Times New Roman" w:cs="Times New Roman"/>
      <w:kern w:val="0"/>
      <w:sz w:val="22"/>
      <w:lang w:val="en-GB" w:eastAsia="en-GB"/>
      <w14:ligatures w14:val="none"/>
    </w:rPr>
  </w:style>
  <w:style w:type="paragraph" w:customStyle="1" w:styleId="Notesoncontributors">
    <w:name w:val="Notes on contributors"/>
    <w:basedOn w:val="Normal"/>
    <w:qFormat/>
    <w:rsid w:val="00C56737"/>
    <w:pPr>
      <w:spacing w:before="240" w:after="0" w:line="360" w:lineRule="auto"/>
    </w:pPr>
    <w:rPr>
      <w:rFonts w:ascii="Times New Roman" w:eastAsia="Times New Roman" w:hAnsi="Times New Roman" w:cs="Times New Roman"/>
      <w:kern w:val="0"/>
      <w:sz w:val="22"/>
      <w:lang w:val="en-GB" w:eastAsia="en-GB"/>
      <w14:ligatures w14:val="none"/>
    </w:rPr>
  </w:style>
  <w:style w:type="paragraph" w:customStyle="1" w:styleId="Normalparagraphstyle">
    <w:name w:val="Normal paragraph style"/>
    <w:basedOn w:val="Normal"/>
    <w:next w:val="Normal"/>
    <w:rsid w:val="00C56737"/>
    <w:pPr>
      <w:spacing w:after="0" w:line="480" w:lineRule="auto"/>
    </w:pPr>
    <w:rPr>
      <w:rFonts w:ascii="Times New Roman" w:eastAsia="Times New Roman" w:hAnsi="Times New Roman" w:cs="Times New Roman"/>
      <w:kern w:val="0"/>
      <w:lang w:val="en-GB" w:eastAsia="en-GB"/>
      <w14:ligatures w14:val="none"/>
    </w:rPr>
  </w:style>
  <w:style w:type="paragraph" w:customStyle="1" w:styleId="Paragraph">
    <w:name w:val="Paragraph"/>
    <w:basedOn w:val="Normal"/>
    <w:next w:val="Newparagraph"/>
    <w:qFormat/>
    <w:rsid w:val="00C56737"/>
    <w:pPr>
      <w:widowControl w:val="0"/>
      <w:spacing w:before="240" w:after="0" w:line="480" w:lineRule="auto"/>
      <w:jc w:val="both"/>
    </w:pPr>
    <w:rPr>
      <w:rFonts w:ascii="Times New Roman" w:eastAsia="Times New Roman" w:hAnsi="Times New Roman" w:cs="Times New Roman"/>
      <w:kern w:val="0"/>
      <w:lang w:val="en-GB" w:eastAsia="en-GB"/>
      <w14:ligatures w14:val="none"/>
    </w:rPr>
  </w:style>
  <w:style w:type="paragraph" w:customStyle="1" w:styleId="Newparagraph">
    <w:name w:val="New paragraph"/>
    <w:basedOn w:val="Normal"/>
    <w:qFormat/>
    <w:rsid w:val="00C56737"/>
    <w:pPr>
      <w:spacing w:after="0" w:line="480" w:lineRule="auto"/>
      <w:ind w:firstLine="720"/>
      <w:jc w:val="both"/>
    </w:pPr>
    <w:rPr>
      <w:rFonts w:ascii="Times New Roman" w:eastAsia="Times New Roman" w:hAnsi="Times New Roman" w:cs="Times New Roman"/>
      <w:kern w:val="0"/>
      <w:lang w:val="en-GB" w:eastAsia="en-GB"/>
      <w14:ligatures w14:val="none"/>
    </w:rPr>
  </w:style>
  <w:style w:type="paragraph" w:styleId="NormalIndent">
    <w:name w:val="Normal Indent"/>
    <w:basedOn w:val="Normal"/>
    <w:rsid w:val="00C56737"/>
    <w:pPr>
      <w:spacing w:after="0" w:line="480" w:lineRule="auto"/>
      <w:ind w:left="720"/>
    </w:pPr>
    <w:rPr>
      <w:rFonts w:ascii="Times New Roman" w:eastAsia="Times New Roman" w:hAnsi="Times New Roman" w:cs="Times New Roman"/>
      <w:kern w:val="0"/>
      <w:lang w:val="en-GB" w:eastAsia="en-GB"/>
      <w14:ligatures w14:val="none"/>
    </w:rPr>
  </w:style>
  <w:style w:type="paragraph" w:customStyle="1" w:styleId="References">
    <w:name w:val="References"/>
    <w:basedOn w:val="Normal"/>
    <w:qFormat/>
    <w:rsid w:val="00C56737"/>
    <w:pPr>
      <w:spacing w:before="120" w:after="0" w:line="360" w:lineRule="auto"/>
      <w:ind w:left="720" w:hanging="720"/>
      <w:contextualSpacing/>
    </w:pPr>
    <w:rPr>
      <w:rFonts w:ascii="Times New Roman" w:eastAsia="Times New Roman" w:hAnsi="Times New Roman" w:cs="Times New Roman"/>
      <w:kern w:val="0"/>
      <w:lang w:val="en-GB" w:eastAsia="en-GB"/>
      <w14:ligatures w14:val="none"/>
    </w:rPr>
  </w:style>
  <w:style w:type="paragraph" w:customStyle="1" w:styleId="Subjectcodes">
    <w:name w:val="Subject codes"/>
    <w:basedOn w:val="Keywords"/>
    <w:next w:val="Paragraph"/>
    <w:qFormat/>
    <w:rsid w:val="00C56737"/>
  </w:style>
  <w:style w:type="paragraph" w:customStyle="1" w:styleId="Bulletedlist">
    <w:name w:val="Bulleted list"/>
    <w:basedOn w:val="Paragraph"/>
    <w:next w:val="Paragraph"/>
    <w:qFormat/>
    <w:rsid w:val="00C56737"/>
    <w:pPr>
      <w:widowControl/>
      <w:numPr>
        <w:numId w:val="2"/>
      </w:numPr>
      <w:spacing w:after="240"/>
      <w:contextualSpacing/>
    </w:pPr>
  </w:style>
  <w:style w:type="paragraph" w:styleId="FootnoteText">
    <w:name w:val="footnote text"/>
    <w:basedOn w:val="Normal"/>
    <w:link w:val="FootnoteTextChar"/>
    <w:autoRedefine/>
    <w:uiPriority w:val="99"/>
    <w:rsid w:val="00C56737"/>
    <w:pPr>
      <w:spacing w:after="0" w:line="480" w:lineRule="auto"/>
      <w:ind w:left="284" w:hanging="284"/>
      <w:jc w:val="both"/>
    </w:pPr>
    <w:rPr>
      <w:rFonts w:ascii="Times New Roman" w:eastAsia="Times New Roman" w:hAnsi="Times New Roman" w:cs="Times New Roman"/>
      <w:kern w:val="0"/>
      <w:sz w:val="22"/>
      <w:szCs w:val="20"/>
      <w:lang w:val="en-GB" w:eastAsia="en-GB"/>
      <w14:ligatures w14:val="none"/>
    </w:rPr>
  </w:style>
  <w:style w:type="character" w:customStyle="1" w:styleId="FootnoteTextChar">
    <w:name w:val="Footnote Text Char"/>
    <w:basedOn w:val="DefaultParagraphFont"/>
    <w:link w:val="FootnoteText"/>
    <w:uiPriority w:val="99"/>
    <w:rsid w:val="00C56737"/>
    <w:rPr>
      <w:rFonts w:ascii="Times New Roman" w:eastAsia="Times New Roman" w:hAnsi="Times New Roman" w:cs="Times New Roman"/>
      <w:kern w:val="0"/>
      <w:sz w:val="22"/>
      <w:szCs w:val="20"/>
      <w:lang w:val="en-GB" w:eastAsia="en-GB"/>
      <w14:ligatures w14:val="none"/>
    </w:rPr>
  </w:style>
  <w:style w:type="character" w:styleId="FootnoteReference">
    <w:name w:val="footnote reference"/>
    <w:basedOn w:val="DefaultParagraphFont"/>
    <w:uiPriority w:val="99"/>
    <w:rsid w:val="00C56737"/>
    <w:rPr>
      <w:vertAlign w:val="superscript"/>
    </w:rPr>
  </w:style>
  <w:style w:type="paragraph" w:styleId="EndnoteText">
    <w:name w:val="endnote text"/>
    <w:basedOn w:val="Normal"/>
    <w:link w:val="EndnoteTextChar"/>
    <w:autoRedefine/>
    <w:rsid w:val="00C56737"/>
    <w:pPr>
      <w:spacing w:after="0" w:line="480" w:lineRule="auto"/>
      <w:ind w:left="284" w:hanging="284"/>
    </w:pPr>
    <w:rPr>
      <w:rFonts w:ascii="Times New Roman" w:eastAsia="Times New Roman" w:hAnsi="Times New Roman" w:cs="Times New Roman"/>
      <w:kern w:val="0"/>
      <w:sz w:val="22"/>
      <w:szCs w:val="20"/>
      <w:lang w:val="en-GB" w:eastAsia="en-GB"/>
      <w14:ligatures w14:val="none"/>
    </w:rPr>
  </w:style>
  <w:style w:type="character" w:customStyle="1" w:styleId="EndnoteTextChar">
    <w:name w:val="Endnote Text Char"/>
    <w:basedOn w:val="DefaultParagraphFont"/>
    <w:link w:val="EndnoteText"/>
    <w:rsid w:val="00C56737"/>
    <w:rPr>
      <w:rFonts w:ascii="Times New Roman" w:eastAsia="Times New Roman" w:hAnsi="Times New Roman" w:cs="Times New Roman"/>
      <w:kern w:val="0"/>
      <w:sz w:val="22"/>
      <w:szCs w:val="20"/>
      <w:lang w:val="en-GB" w:eastAsia="en-GB"/>
      <w14:ligatures w14:val="none"/>
    </w:rPr>
  </w:style>
  <w:style w:type="character" w:styleId="EndnoteReference">
    <w:name w:val="endnote reference"/>
    <w:basedOn w:val="DefaultParagraphFont"/>
    <w:rsid w:val="00C56737"/>
    <w:rPr>
      <w:vertAlign w:val="superscript"/>
    </w:rPr>
  </w:style>
  <w:style w:type="paragraph" w:styleId="Header">
    <w:name w:val="header"/>
    <w:basedOn w:val="Normal"/>
    <w:link w:val="HeaderChar"/>
    <w:uiPriority w:val="99"/>
    <w:rsid w:val="00C56737"/>
    <w:pPr>
      <w:tabs>
        <w:tab w:val="center" w:pos="4320"/>
        <w:tab w:val="right" w:pos="8640"/>
      </w:tabs>
      <w:spacing w:after="120" w:line="240" w:lineRule="auto"/>
      <w:contextualSpacing/>
    </w:pPr>
    <w:rPr>
      <w:rFonts w:ascii="Times New Roman" w:eastAsia="Times New Roman" w:hAnsi="Times New Roman" w:cs="Times New Roman"/>
      <w:kern w:val="0"/>
      <w:lang w:val="en-GB" w:eastAsia="en-GB"/>
      <w14:ligatures w14:val="none"/>
    </w:rPr>
  </w:style>
  <w:style w:type="character" w:customStyle="1" w:styleId="HeaderChar">
    <w:name w:val="Header Char"/>
    <w:basedOn w:val="DefaultParagraphFont"/>
    <w:link w:val="Header"/>
    <w:uiPriority w:val="99"/>
    <w:rsid w:val="00C56737"/>
    <w:rPr>
      <w:rFonts w:ascii="Times New Roman" w:eastAsia="Times New Roman" w:hAnsi="Times New Roman" w:cs="Times New Roman"/>
      <w:kern w:val="0"/>
      <w:lang w:val="en-GB" w:eastAsia="en-GB"/>
      <w14:ligatures w14:val="none"/>
    </w:rPr>
  </w:style>
  <w:style w:type="paragraph" w:styleId="Footer">
    <w:name w:val="footer"/>
    <w:basedOn w:val="Normal"/>
    <w:link w:val="FooterChar"/>
    <w:uiPriority w:val="99"/>
    <w:rsid w:val="00C56737"/>
    <w:pPr>
      <w:tabs>
        <w:tab w:val="center" w:pos="4320"/>
        <w:tab w:val="right" w:pos="8640"/>
      </w:tabs>
      <w:spacing w:before="240" w:after="0" w:line="240" w:lineRule="auto"/>
      <w:contextualSpacing/>
    </w:pPr>
    <w:rPr>
      <w:rFonts w:ascii="Times New Roman" w:eastAsia="Times New Roman" w:hAnsi="Times New Roman" w:cs="Times New Roman"/>
      <w:kern w:val="0"/>
      <w:lang w:val="en-GB" w:eastAsia="en-GB"/>
      <w14:ligatures w14:val="none"/>
    </w:rPr>
  </w:style>
  <w:style w:type="character" w:customStyle="1" w:styleId="FooterChar">
    <w:name w:val="Footer Char"/>
    <w:basedOn w:val="DefaultParagraphFont"/>
    <w:link w:val="Footer"/>
    <w:uiPriority w:val="99"/>
    <w:rsid w:val="00C56737"/>
    <w:rPr>
      <w:rFonts w:ascii="Times New Roman" w:eastAsia="Times New Roman" w:hAnsi="Times New Roman" w:cs="Times New Roman"/>
      <w:kern w:val="0"/>
      <w:lang w:val="en-GB" w:eastAsia="en-GB"/>
      <w14:ligatures w14:val="none"/>
    </w:rPr>
  </w:style>
  <w:style w:type="paragraph" w:customStyle="1" w:styleId="Heading4Paragraph">
    <w:name w:val="Heading 4 + Paragraph"/>
    <w:basedOn w:val="Paragraph"/>
    <w:next w:val="Newparagraph"/>
    <w:qFormat/>
    <w:rsid w:val="00C56737"/>
    <w:pPr>
      <w:widowControl/>
      <w:spacing w:before="360"/>
    </w:pPr>
  </w:style>
  <w:style w:type="character" w:styleId="Hyperlink">
    <w:name w:val="Hyperlink"/>
    <w:basedOn w:val="DefaultParagraphFont"/>
    <w:uiPriority w:val="99"/>
    <w:unhideWhenUsed/>
    <w:rsid w:val="00C56737"/>
    <w:rPr>
      <w:color w:val="0000FF"/>
      <w:u w:val="single"/>
    </w:rPr>
  </w:style>
  <w:style w:type="character" w:styleId="CommentReference">
    <w:name w:val="annotation reference"/>
    <w:basedOn w:val="DefaultParagraphFont"/>
    <w:uiPriority w:val="99"/>
    <w:semiHidden/>
    <w:unhideWhenUsed/>
    <w:rsid w:val="00C56737"/>
    <w:rPr>
      <w:sz w:val="16"/>
      <w:szCs w:val="16"/>
    </w:rPr>
  </w:style>
  <w:style w:type="paragraph" w:customStyle="1" w:styleId="CommentText1">
    <w:name w:val="Comment Text1"/>
    <w:basedOn w:val="Normal"/>
    <w:next w:val="CommentText"/>
    <w:link w:val="CommentTextChar"/>
    <w:uiPriority w:val="99"/>
    <w:unhideWhenUsed/>
    <w:rsid w:val="00C56737"/>
    <w:pPr>
      <w:spacing w:line="240" w:lineRule="auto"/>
      <w:jc w:val="both"/>
    </w:pPr>
    <w:rPr>
      <w:rFonts w:eastAsia="Calibri" w:cs="Arial"/>
      <w:lang w:val="nl-BE"/>
    </w:rPr>
  </w:style>
  <w:style w:type="character" w:customStyle="1" w:styleId="CommentTextChar">
    <w:name w:val="Comment Text Char"/>
    <w:basedOn w:val="DefaultParagraphFont"/>
    <w:link w:val="CommentText1"/>
    <w:uiPriority w:val="99"/>
    <w:rsid w:val="00C56737"/>
    <w:rPr>
      <w:rFonts w:eastAsia="Calibri" w:cs="Arial"/>
      <w:lang w:val="nl-BE" w:eastAsia="en-US"/>
    </w:rPr>
  </w:style>
  <w:style w:type="paragraph" w:styleId="CommentText">
    <w:name w:val="annotation text"/>
    <w:basedOn w:val="Normal"/>
    <w:link w:val="CommentTextChar1"/>
    <w:uiPriority w:val="99"/>
    <w:semiHidden/>
    <w:unhideWhenUsed/>
    <w:rsid w:val="00C56737"/>
    <w:pPr>
      <w:spacing w:line="240" w:lineRule="auto"/>
    </w:pPr>
    <w:rPr>
      <w:sz w:val="20"/>
      <w:szCs w:val="20"/>
    </w:rPr>
  </w:style>
  <w:style w:type="character" w:customStyle="1" w:styleId="CommentTextChar1">
    <w:name w:val="Comment Text Char1"/>
    <w:basedOn w:val="DefaultParagraphFont"/>
    <w:link w:val="CommentText"/>
    <w:uiPriority w:val="99"/>
    <w:semiHidden/>
    <w:rsid w:val="00C56737"/>
    <w:rPr>
      <w:sz w:val="20"/>
      <w:szCs w:val="20"/>
    </w:rPr>
  </w:style>
  <w:style w:type="paragraph" w:styleId="CommentSubject">
    <w:name w:val="annotation subject"/>
    <w:basedOn w:val="CommentText"/>
    <w:next w:val="CommentText"/>
    <w:link w:val="CommentSubjectChar"/>
    <w:uiPriority w:val="99"/>
    <w:semiHidden/>
    <w:unhideWhenUsed/>
    <w:rsid w:val="00C56737"/>
    <w:pPr>
      <w:jc w:val="both"/>
    </w:pPr>
    <w:rPr>
      <w:rFonts w:ascii="Times New Roman" w:hAnsi="Times New Roman"/>
      <w:b/>
      <w:bCs/>
      <w:kern w:val="0"/>
      <w:lang w:val="nl-BE"/>
      <w14:ligatures w14:val="none"/>
    </w:rPr>
  </w:style>
  <w:style w:type="character" w:customStyle="1" w:styleId="CommentSubjectChar">
    <w:name w:val="Comment Subject Char"/>
    <w:basedOn w:val="CommentTextChar1"/>
    <w:link w:val="CommentSubject"/>
    <w:uiPriority w:val="99"/>
    <w:semiHidden/>
    <w:rsid w:val="00C56737"/>
    <w:rPr>
      <w:rFonts w:ascii="Times New Roman" w:hAnsi="Times New Roman"/>
      <w:b/>
      <w:bCs/>
      <w:kern w:val="0"/>
      <w:sz w:val="20"/>
      <w:szCs w:val="20"/>
      <w:lang w:val="nl-BE"/>
      <w14:ligatures w14:val="none"/>
    </w:rPr>
  </w:style>
  <w:style w:type="paragraph" w:customStyle="1" w:styleId="BalloonText1">
    <w:name w:val="Balloon Text1"/>
    <w:basedOn w:val="Normal"/>
    <w:next w:val="BalloonText"/>
    <w:link w:val="BalloonTextChar"/>
    <w:uiPriority w:val="99"/>
    <w:semiHidden/>
    <w:unhideWhenUsed/>
    <w:rsid w:val="00C56737"/>
    <w:pPr>
      <w:spacing w:after="0" w:line="240" w:lineRule="auto"/>
      <w:jc w:val="both"/>
    </w:pPr>
    <w:rPr>
      <w:rFonts w:ascii="Segoe UI" w:eastAsia="Calibri" w:hAnsi="Segoe UI" w:cs="Segoe UI"/>
      <w:sz w:val="18"/>
      <w:szCs w:val="18"/>
      <w:lang w:val="nl-BE"/>
    </w:rPr>
  </w:style>
  <w:style w:type="character" w:customStyle="1" w:styleId="BalloonTextChar">
    <w:name w:val="Balloon Text Char"/>
    <w:basedOn w:val="DefaultParagraphFont"/>
    <w:link w:val="BalloonText1"/>
    <w:uiPriority w:val="99"/>
    <w:semiHidden/>
    <w:rsid w:val="00C56737"/>
    <w:rPr>
      <w:rFonts w:ascii="Segoe UI" w:eastAsia="Calibri" w:hAnsi="Segoe UI" w:cs="Segoe UI"/>
      <w:sz w:val="18"/>
      <w:szCs w:val="18"/>
      <w:lang w:val="nl-BE" w:eastAsia="en-US"/>
    </w:rPr>
  </w:style>
  <w:style w:type="paragraph" w:customStyle="1" w:styleId="Caption1">
    <w:name w:val="Caption1"/>
    <w:basedOn w:val="Normal"/>
    <w:next w:val="Normal"/>
    <w:uiPriority w:val="35"/>
    <w:unhideWhenUsed/>
    <w:qFormat/>
    <w:rsid w:val="00C56737"/>
    <w:pPr>
      <w:spacing w:after="120" w:line="240" w:lineRule="auto"/>
      <w:contextualSpacing/>
      <w:jc w:val="center"/>
    </w:pPr>
    <w:rPr>
      <w:rFonts w:ascii="Times New Roman" w:hAnsi="Times New Roman"/>
      <w:i/>
      <w:iCs/>
      <w:color w:val="1F497D"/>
      <w:kern w:val="0"/>
      <w:sz w:val="18"/>
      <w:szCs w:val="18"/>
      <w:lang w:val="nl-BE"/>
      <w14:ligatures w14:val="none"/>
    </w:rPr>
  </w:style>
  <w:style w:type="paragraph" w:customStyle="1" w:styleId="Revision1">
    <w:name w:val="Revision1"/>
    <w:next w:val="Revision"/>
    <w:hidden/>
    <w:uiPriority w:val="99"/>
    <w:semiHidden/>
    <w:rsid w:val="00C56737"/>
    <w:pPr>
      <w:spacing w:after="0" w:line="240" w:lineRule="auto"/>
    </w:pPr>
    <w:rPr>
      <w:kern w:val="0"/>
      <w:sz w:val="22"/>
      <w:szCs w:val="22"/>
      <w:lang w:val="nl-BE"/>
      <w14:ligatures w14:val="none"/>
    </w:rPr>
  </w:style>
  <w:style w:type="paragraph" w:customStyle="1" w:styleId="TOC11">
    <w:name w:val="TOC 11"/>
    <w:basedOn w:val="Normal"/>
    <w:next w:val="Normal"/>
    <w:autoRedefine/>
    <w:uiPriority w:val="39"/>
    <w:unhideWhenUsed/>
    <w:rsid w:val="00C56737"/>
    <w:pPr>
      <w:spacing w:before="120" w:after="120" w:line="480" w:lineRule="auto"/>
    </w:pPr>
    <w:rPr>
      <w:rFonts w:eastAsia="Times New Roman" w:cs="Calibri"/>
      <w:b/>
      <w:bCs/>
      <w:caps/>
      <w:kern w:val="0"/>
      <w:sz w:val="20"/>
      <w:szCs w:val="20"/>
      <w:lang w:val="en-GB" w:eastAsia="en-GB"/>
      <w14:ligatures w14:val="none"/>
    </w:rPr>
  </w:style>
  <w:style w:type="paragraph" w:customStyle="1" w:styleId="TOC21">
    <w:name w:val="TOC 21"/>
    <w:basedOn w:val="Normal"/>
    <w:next w:val="Normal"/>
    <w:autoRedefine/>
    <w:uiPriority w:val="39"/>
    <w:unhideWhenUsed/>
    <w:rsid w:val="00C56737"/>
    <w:pPr>
      <w:spacing w:after="0" w:line="480" w:lineRule="auto"/>
      <w:ind w:left="240"/>
    </w:pPr>
    <w:rPr>
      <w:rFonts w:eastAsia="Times New Roman" w:cs="Calibri"/>
      <w:smallCaps/>
      <w:kern w:val="0"/>
      <w:sz w:val="20"/>
      <w:szCs w:val="20"/>
      <w:lang w:val="en-GB" w:eastAsia="en-GB"/>
      <w14:ligatures w14:val="none"/>
    </w:rPr>
  </w:style>
  <w:style w:type="paragraph" w:customStyle="1" w:styleId="TOC31">
    <w:name w:val="TOC 31"/>
    <w:basedOn w:val="Normal"/>
    <w:next w:val="Normal"/>
    <w:autoRedefine/>
    <w:uiPriority w:val="39"/>
    <w:unhideWhenUsed/>
    <w:rsid w:val="00C56737"/>
    <w:pPr>
      <w:spacing w:after="0" w:line="480" w:lineRule="auto"/>
      <w:ind w:left="480"/>
    </w:pPr>
    <w:rPr>
      <w:rFonts w:eastAsia="Times New Roman" w:cs="Calibri"/>
      <w:i/>
      <w:iCs/>
      <w:kern w:val="0"/>
      <w:sz w:val="20"/>
      <w:szCs w:val="20"/>
      <w:lang w:val="en-GB" w:eastAsia="en-GB"/>
      <w14:ligatures w14:val="none"/>
    </w:rPr>
  </w:style>
  <w:style w:type="paragraph" w:customStyle="1" w:styleId="TOC41">
    <w:name w:val="TOC 41"/>
    <w:basedOn w:val="Normal"/>
    <w:next w:val="Normal"/>
    <w:autoRedefine/>
    <w:uiPriority w:val="39"/>
    <w:unhideWhenUsed/>
    <w:rsid w:val="00C56737"/>
    <w:pPr>
      <w:spacing w:after="0" w:line="480" w:lineRule="auto"/>
      <w:ind w:left="720"/>
    </w:pPr>
    <w:rPr>
      <w:rFonts w:eastAsia="Times New Roman" w:cs="Calibri"/>
      <w:kern w:val="0"/>
      <w:sz w:val="18"/>
      <w:szCs w:val="18"/>
      <w:lang w:val="en-GB" w:eastAsia="en-GB"/>
      <w14:ligatures w14:val="none"/>
    </w:rPr>
  </w:style>
  <w:style w:type="paragraph" w:customStyle="1" w:styleId="TOC51">
    <w:name w:val="TOC 51"/>
    <w:basedOn w:val="Normal"/>
    <w:next w:val="Normal"/>
    <w:autoRedefine/>
    <w:uiPriority w:val="39"/>
    <w:unhideWhenUsed/>
    <w:rsid w:val="00C56737"/>
    <w:pPr>
      <w:spacing w:after="0" w:line="480" w:lineRule="auto"/>
      <w:ind w:left="960"/>
    </w:pPr>
    <w:rPr>
      <w:rFonts w:eastAsia="Times New Roman" w:cs="Calibri"/>
      <w:kern w:val="0"/>
      <w:sz w:val="18"/>
      <w:szCs w:val="18"/>
      <w:lang w:val="en-GB" w:eastAsia="en-GB"/>
      <w14:ligatures w14:val="none"/>
    </w:rPr>
  </w:style>
  <w:style w:type="paragraph" w:customStyle="1" w:styleId="TOC61">
    <w:name w:val="TOC 61"/>
    <w:basedOn w:val="Normal"/>
    <w:next w:val="Normal"/>
    <w:autoRedefine/>
    <w:uiPriority w:val="39"/>
    <w:unhideWhenUsed/>
    <w:rsid w:val="00C56737"/>
    <w:pPr>
      <w:spacing w:after="0" w:line="480" w:lineRule="auto"/>
      <w:ind w:left="1200"/>
    </w:pPr>
    <w:rPr>
      <w:rFonts w:eastAsia="Times New Roman" w:cs="Calibri"/>
      <w:kern w:val="0"/>
      <w:sz w:val="18"/>
      <w:szCs w:val="18"/>
      <w:lang w:val="en-GB" w:eastAsia="en-GB"/>
      <w14:ligatures w14:val="none"/>
    </w:rPr>
  </w:style>
  <w:style w:type="paragraph" w:customStyle="1" w:styleId="TOC71">
    <w:name w:val="TOC 71"/>
    <w:basedOn w:val="Normal"/>
    <w:next w:val="Normal"/>
    <w:autoRedefine/>
    <w:uiPriority w:val="39"/>
    <w:unhideWhenUsed/>
    <w:rsid w:val="00C56737"/>
    <w:pPr>
      <w:spacing w:after="0" w:line="480" w:lineRule="auto"/>
      <w:ind w:left="1440"/>
    </w:pPr>
    <w:rPr>
      <w:rFonts w:eastAsia="Times New Roman" w:cs="Calibri"/>
      <w:kern w:val="0"/>
      <w:sz w:val="18"/>
      <w:szCs w:val="18"/>
      <w:lang w:val="en-GB" w:eastAsia="en-GB"/>
      <w14:ligatures w14:val="none"/>
    </w:rPr>
  </w:style>
  <w:style w:type="paragraph" w:customStyle="1" w:styleId="TOC81">
    <w:name w:val="TOC 81"/>
    <w:basedOn w:val="Normal"/>
    <w:next w:val="Normal"/>
    <w:autoRedefine/>
    <w:uiPriority w:val="39"/>
    <w:unhideWhenUsed/>
    <w:rsid w:val="00C56737"/>
    <w:pPr>
      <w:spacing w:after="0" w:line="480" w:lineRule="auto"/>
      <w:ind w:left="1680"/>
    </w:pPr>
    <w:rPr>
      <w:rFonts w:eastAsia="Times New Roman" w:cs="Calibri"/>
      <w:kern w:val="0"/>
      <w:sz w:val="18"/>
      <w:szCs w:val="18"/>
      <w:lang w:val="en-GB" w:eastAsia="en-GB"/>
      <w14:ligatures w14:val="none"/>
    </w:rPr>
  </w:style>
  <w:style w:type="paragraph" w:customStyle="1" w:styleId="TOC91">
    <w:name w:val="TOC 91"/>
    <w:basedOn w:val="Normal"/>
    <w:next w:val="Normal"/>
    <w:autoRedefine/>
    <w:uiPriority w:val="39"/>
    <w:unhideWhenUsed/>
    <w:rsid w:val="00C56737"/>
    <w:pPr>
      <w:spacing w:after="0" w:line="480" w:lineRule="auto"/>
      <w:ind w:left="1920"/>
    </w:pPr>
    <w:rPr>
      <w:rFonts w:eastAsia="Times New Roman" w:cs="Calibri"/>
      <w:kern w:val="0"/>
      <w:sz w:val="18"/>
      <w:szCs w:val="18"/>
      <w:lang w:val="en-GB" w:eastAsia="en-GB"/>
      <w14:ligatures w14:val="none"/>
    </w:rPr>
  </w:style>
  <w:style w:type="character" w:styleId="UnresolvedMention">
    <w:name w:val="Unresolved Mention"/>
    <w:basedOn w:val="DefaultParagraphFont"/>
    <w:uiPriority w:val="99"/>
    <w:semiHidden/>
    <w:unhideWhenUsed/>
    <w:rsid w:val="00C56737"/>
    <w:rPr>
      <w:color w:val="605E5C"/>
      <w:shd w:val="clear" w:color="auto" w:fill="E1DFDD"/>
    </w:rPr>
  </w:style>
  <w:style w:type="paragraph" w:customStyle="1" w:styleId="TableofFigures1">
    <w:name w:val="Table of Figures1"/>
    <w:basedOn w:val="Normal"/>
    <w:next w:val="Normal"/>
    <w:uiPriority w:val="99"/>
    <w:unhideWhenUsed/>
    <w:rsid w:val="00C56737"/>
    <w:pPr>
      <w:spacing w:after="0" w:line="259" w:lineRule="auto"/>
      <w:ind w:left="440" w:hanging="440"/>
      <w:jc w:val="both"/>
    </w:pPr>
    <w:rPr>
      <w:rFonts w:ascii="Times New Roman" w:hAnsi="Times New Roman" w:cs="Calibri"/>
      <w:smallCaps/>
      <w:kern w:val="0"/>
      <w:sz w:val="20"/>
      <w:szCs w:val="20"/>
      <w:lang w:val="nl-BE"/>
      <w14:ligatures w14:val="none"/>
    </w:rPr>
  </w:style>
  <w:style w:type="table" w:customStyle="1" w:styleId="TableGrid1">
    <w:name w:val="Table Grid1"/>
    <w:basedOn w:val="TableNormal"/>
    <w:next w:val="TableGrid"/>
    <w:uiPriority w:val="39"/>
    <w:rsid w:val="00C56737"/>
    <w:pPr>
      <w:spacing w:after="0" w:line="240" w:lineRule="auto"/>
    </w:pPr>
    <w:rPr>
      <w:kern w:val="0"/>
      <w:sz w:val="22"/>
      <w:szCs w:val="22"/>
      <w:lang w:val="nl-B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C56737"/>
    <w:rPr>
      <w:color w:val="808080"/>
    </w:rPr>
  </w:style>
  <w:style w:type="table" w:customStyle="1" w:styleId="GridTable41">
    <w:name w:val="Grid Table 41"/>
    <w:basedOn w:val="TableNormal"/>
    <w:next w:val="GridTable4"/>
    <w:uiPriority w:val="49"/>
    <w:rsid w:val="00C56737"/>
    <w:pPr>
      <w:spacing w:after="0" w:line="240" w:lineRule="auto"/>
    </w:pPr>
    <w:rPr>
      <w:kern w:val="0"/>
      <w:sz w:val="22"/>
      <w:szCs w:val="22"/>
      <w:lang w:val="nl-BE"/>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1Light1">
    <w:name w:val="Grid Table 1 Light1"/>
    <w:basedOn w:val="TableNormal"/>
    <w:next w:val="GridTable1Light"/>
    <w:uiPriority w:val="46"/>
    <w:rsid w:val="00C56737"/>
    <w:pPr>
      <w:spacing w:after="0" w:line="240" w:lineRule="auto"/>
    </w:pPr>
    <w:rPr>
      <w:kern w:val="0"/>
      <w:sz w:val="22"/>
      <w:szCs w:val="22"/>
      <w:lang w:val="nl-BE"/>
      <w14:ligatures w14:val="none"/>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pf0">
    <w:name w:val="pf0"/>
    <w:basedOn w:val="Normal"/>
    <w:rsid w:val="00C56737"/>
    <w:pPr>
      <w:spacing w:before="100" w:beforeAutospacing="1" w:after="100" w:afterAutospacing="1" w:line="240" w:lineRule="auto"/>
    </w:pPr>
    <w:rPr>
      <w:rFonts w:ascii="Times New Roman" w:eastAsia="Times New Roman" w:hAnsi="Times New Roman" w:cs="Times New Roman"/>
      <w:kern w:val="0"/>
      <w:lang w:val="nl-BE"/>
      <w14:ligatures w14:val="none"/>
    </w:rPr>
  </w:style>
  <w:style w:type="character" w:customStyle="1" w:styleId="cf01">
    <w:name w:val="cf01"/>
    <w:basedOn w:val="DefaultParagraphFont"/>
    <w:rsid w:val="00C56737"/>
    <w:rPr>
      <w:rFonts w:ascii="Segoe UI" w:hAnsi="Segoe UI" w:cs="Segoe UI" w:hint="default"/>
      <w:sz w:val="18"/>
      <w:szCs w:val="18"/>
    </w:rPr>
  </w:style>
  <w:style w:type="character" w:customStyle="1" w:styleId="action-arrow">
    <w:name w:val="action-arrow"/>
    <w:basedOn w:val="DefaultParagraphFont"/>
    <w:rsid w:val="00C56737"/>
  </w:style>
  <w:style w:type="table" w:customStyle="1" w:styleId="GridTable4-Accent61">
    <w:name w:val="Grid Table 4 - Accent 61"/>
    <w:basedOn w:val="TableNormal"/>
    <w:next w:val="GridTable4-Accent6"/>
    <w:uiPriority w:val="49"/>
    <w:rsid w:val="00C56737"/>
    <w:pPr>
      <w:spacing w:after="0" w:line="240" w:lineRule="auto"/>
    </w:pPr>
    <w:rPr>
      <w:kern w:val="0"/>
      <w:sz w:val="22"/>
      <w:szCs w:val="22"/>
      <w:lang w:val="nl-BE"/>
      <w14:ligatures w14:val="none"/>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GridTable4-Accent41">
    <w:name w:val="Grid Table 4 - Accent 41"/>
    <w:basedOn w:val="TableNormal"/>
    <w:next w:val="GridTable4-Accent4"/>
    <w:uiPriority w:val="49"/>
    <w:rsid w:val="00C56737"/>
    <w:pPr>
      <w:spacing w:after="0" w:line="240" w:lineRule="auto"/>
    </w:pPr>
    <w:rPr>
      <w:kern w:val="0"/>
      <w:sz w:val="22"/>
      <w:szCs w:val="22"/>
      <w:lang w:val="nl-BE"/>
      <w14:ligatures w14:val="none"/>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bCs/>
      </w:rPr>
      <w:tblPr/>
      <w:tcPr>
        <w:tcBorders>
          <w:top w:val="double" w:sz="4" w:space="0" w:color="8064A2"/>
        </w:tcBorders>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table" w:customStyle="1" w:styleId="GridTable4-Accent21">
    <w:name w:val="Grid Table 4 - Accent 21"/>
    <w:basedOn w:val="TableNormal"/>
    <w:next w:val="GridTable4-Accent2"/>
    <w:uiPriority w:val="49"/>
    <w:rsid w:val="00C56737"/>
    <w:pPr>
      <w:spacing w:after="0" w:line="240" w:lineRule="auto"/>
    </w:pPr>
    <w:rPr>
      <w:kern w:val="0"/>
      <w:sz w:val="22"/>
      <w:szCs w:val="22"/>
      <w:lang w:val="nl-BE"/>
      <w14:ligatures w14:val="none"/>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paragraph" w:customStyle="1" w:styleId="NoSpacing1">
    <w:name w:val="No Spacing1"/>
    <w:next w:val="NoSpacing"/>
    <w:uiPriority w:val="1"/>
    <w:qFormat/>
    <w:rsid w:val="00C56737"/>
    <w:pPr>
      <w:spacing w:after="0" w:line="240" w:lineRule="auto"/>
      <w:jc w:val="both"/>
    </w:pPr>
    <w:rPr>
      <w:rFonts w:ascii="Times New Roman" w:hAnsi="Times New Roman"/>
      <w:kern w:val="0"/>
      <w:sz w:val="20"/>
      <w:szCs w:val="22"/>
      <w:lang w:val="nl-BE"/>
      <w14:ligatures w14:val="none"/>
    </w:rPr>
  </w:style>
  <w:style w:type="character" w:customStyle="1" w:styleId="cf11">
    <w:name w:val="cf11"/>
    <w:basedOn w:val="DefaultParagraphFont"/>
    <w:rsid w:val="00C56737"/>
    <w:rPr>
      <w:rFonts w:ascii="Segoe UI" w:hAnsi="Segoe UI" w:cs="Segoe UI" w:hint="default"/>
      <w:i/>
      <w:iCs/>
      <w:sz w:val="18"/>
      <w:szCs w:val="18"/>
    </w:rPr>
  </w:style>
  <w:style w:type="character" w:customStyle="1" w:styleId="cf21">
    <w:name w:val="cf21"/>
    <w:basedOn w:val="DefaultParagraphFont"/>
    <w:rsid w:val="00C56737"/>
    <w:rPr>
      <w:rFonts w:ascii="Segoe UI" w:hAnsi="Segoe UI" w:cs="Segoe UI" w:hint="default"/>
      <w:sz w:val="18"/>
      <w:szCs w:val="18"/>
    </w:rPr>
  </w:style>
  <w:style w:type="paragraph" w:styleId="NormalWeb">
    <w:name w:val="Normal (Web)"/>
    <w:basedOn w:val="Normal"/>
    <w:uiPriority w:val="99"/>
    <w:semiHidden/>
    <w:unhideWhenUsed/>
    <w:rsid w:val="00C56737"/>
    <w:pPr>
      <w:spacing w:before="100" w:beforeAutospacing="1" w:after="100" w:afterAutospacing="1" w:line="240" w:lineRule="auto"/>
    </w:pPr>
    <w:rPr>
      <w:rFonts w:ascii="Times New Roman" w:eastAsia="Times New Roman" w:hAnsi="Times New Roman" w:cs="Times New Roman"/>
      <w:kern w:val="0"/>
      <w:lang w:val="nl-BE" w:eastAsia="en-GB"/>
      <w14:ligatures w14:val="none"/>
    </w:rPr>
  </w:style>
  <w:style w:type="character" w:customStyle="1" w:styleId="FollowedHyperlink1">
    <w:name w:val="FollowedHyperlink1"/>
    <w:basedOn w:val="DefaultParagraphFont"/>
    <w:uiPriority w:val="99"/>
    <w:semiHidden/>
    <w:unhideWhenUsed/>
    <w:rsid w:val="00C56737"/>
    <w:rPr>
      <w:color w:val="800080"/>
      <w:u w:val="single"/>
    </w:rPr>
  </w:style>
  <w:style w:type="paragraph" w:customStyle="1" w:styleId="Default">
    <w:name w:val="Default"/>
    <w:rsid w:val="00C56737"/>
    <w:pPr>
      <w:autoSpaceDE w:val="0"/>
      <w:autoSpaceDN w:val="0"/>
      <w:adjustRightInd w:val="0"/>
      <w:spacing w:after="0" w:line="240" w:lineRule="auto"/>
    </w:pPr>
    <w:rPr>
      <w:rFonts w:ascii="Cambria Math" w:hAnsi="Cambria Math" w:cs="Cambria Math"/>
      <w:color w:val="000000"/>
      <w:kern w:val="0"/>
      <w:lang w:val="en-GB"/>
      <w14:ligatures w14:val="none"/>
    </w:rPr>
  </w:style>
  <w:style w:type="paragraph" w:customStyle="1" w:styleId="TableParagraph">
    <w:name w:val="Table Paragraph"/>
    <w:basedOn w:val="Normal"/>
    <w:uiPriority w:val="1"/>
    <w:qFormat/>
    <w:rsid w:val="00C56737"/>
    <w:pPr>
      <w:autoSpaceDE w:val="0"/>
      <w:autoSpaceDN w:val="0"/>
      <w:adjustRightInd w:val="0"/>
      <w:spacing w:before="1" w:after="0" w:line="240" w:lineRule="auto"/>
      <w:ind w:left="28"/>
    </w:pPr>
    <w:rPr>
      <w:rFonts w:ascii="Calibri" w:hAnsi="Calibri" w:cs="Calibri"/>
      <w:color w:val="000000"/>
      <w:kern w:val="0"/>
      <w:sz w:val="20"/>
      <w:szCs w:val="21"/>
      <w:lang w:val="nl-BE"/>
      <w14:ligatures w14:val="none"/>
    </w:rPr>
  </w:style>
  <w:style w:type="table" w:customStyle="1" w:styleId="GridTable2-Accent11">
    <w:name w:val="Grid Table 2 - Accent 11"/>
    <w:basedOn w:val="TableNormal"/>
    <w:next w:val="GridTable2-Accent1"/>
    <w:uiPriority w:val="47"/>
    <w:rsid w:val="00C56737"/>
    <w:pPr>
      <w:spacing w:after="0" w:line="240" w:lineRule="auto"/>
    </w:pPr>
    <w:rPr>
      <w:kern w:val="0"/>
      <w:sz w:val="22"/>
      <w:szCs w:val="22"/>
      <w:lang w:val="nl-BE"/>
      <w14:ligatures w14:val="none"/>
    </w:rPr>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1">
    <w:name w:val="Grid Table 4 - Accent 11"/>
    <w:basedOn w:val="TableNormal"/>
    <w:next w:val="GridTable4-Accent1"/>
    <w:uiPriority w:val="49"/>
    <w:rsid w:val="00C56737"/>
    <w:pPr>
      <w:spacing w:after="0" w:line="240" w:lineRule="auto"/>
    </w:pPr>
    <w:rPr>
      <w:kern w:val="0"/>
      <w:sz w:val="22"/>
      <w:szCs w:val="22"/>
      <w:lang w:val="nl-BE"/>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apple-converted-space">
    <w:name w:val="apple-converted-space"/>
    <w:basedOn w:val="DefaultParagraphFont"/>
    <w:rsid w:val="00C56737"/>
  </w:style>
  <w:style w:type="paragraph" w:customStyle="1" w:styleId="msonormal0">
    <w:name w:val="msonormal"/>
    <w:basedOn w:val="Normal"/>
    <w:rsid w:val="00C56737"/>
    <w:pPr>
      <w:spacing w:before="100" w:beforeAutospacing="1" w:after="100" w:afterAutospacing="1" w:line="240" w:lineRule="auto"/>
    </w:pPr>
    <w:rPr>
      <w:rFonts w:ascii="Times New Roman" w:eastAsia="Times New Roman" w:hAnsi="Times New Roman" w:cs="Times New Roman"/>
      <w:kern w:val="0"/>
      <w:lang w:val="en-GB" w:eastAsia="en-GB"/>
      <w14:ligatures w14:val="none"/>
    </w:rPr>
  </w:style>
  <w:style w:type="paragraph" w:customStyle="1" w:styleId="font5">
    <w:name w:val="font5"/>
    <w:basedOn w:val="Normal"/>
    <w:rsid w:val="00C56737"/>
    <w:pPr>
      <w:spacing w:before="100" w:beforeAutospacing="1" w:after="100" w:afterAutospacing="1" w:line="240" w:lineRule="auto"/>
    </w:pPr>
    <w:rPr>
      <w:rFonts w:ascii="Times New Roman" w:eastAsia="Times New Roman" w:hAnsi="Times New Roman" w:cs="Times New Roman"/>
      <w:color w:val="000000"/>
      <w:kern w:val="0"/>
      <w:sz w:val="18"/>
      <w:szCs w:val="18"/>
      <w:lang w:val="en-GB" w:eastAsia="en-GB"/>
      <w14:ligatures w14:val="none"/>
    </w:rPr>
  </w:style>
  <w:style w:type="paragraph" w:customStyle="1" w:styleId="font6">
    <w:name w:val="font6"/>
    <w:basedOn w:val="Normal"/>
    <w:rsid w:val="00C56737"/>
    <w:pPr>
      <w:spacing w:before="100" w:beforeAutospacing="1" w:after="100" w:afterAutospacing="1" w:line="240" w:lineRule="auto"/>
    </w:pPr>
    <w:rPr>
      <w:rFonts w:ascii="Times New Roman" w:eastAsia="Times New Roman" w:hAnsi="Times New Roman" w:cs="Times New Roman"/>
      <w:i/>
      <w:iCs/>
      <w:color w:val="000000"/>
      <w:kern w:val="0"/>
      <w:sz w:val="18"/>
      <w:szCs w:val="18"/>
      <w:lang w:val="en-GB" w:eastAsia="en-GB"/>
      <w14:ligatures w14:val="none"/>
    </w:rPr>
  </w:style>
  <w:style w:type="paragraph" w:customStyle="1" w:styleId="font7">
    <w:name w:val="font7"/>
    <w:basedOn w:val="Normal"/>
    <w:rsid w:val="00C56737"/>
    <w:pPr>
      <w:spacing w:before="100" w:beforeAutospacing="1" w:after="100" w:afterAutospacing="1" w:line="240" w:lineRule="auto"/>
    </w:pPr>
    <w:rPr>
      <w:rFonts w:ascii="Times New Roman" w:eastAsia="Times New Roman" w:hAnsi="Times New Roman" w:cs="Times New Roman"/>
      <w:color w:val="000000"/>
      <w:kern w:val="0"/>
      <w:sz w:val="18"/>
      <w:szCs w:val="18"/>
      <w:lang w:val="en-GB" w:eastAsia="en-GB"/>
      <w14:ligatures w14:val="none"/>
    </w:rPr>
  </w:style>
  <w:style w:type="paragraph" w:customStyle="1" w:styleId="font8">
    <w:name w:val="font8"/>
    <w:basedOn w:val="Normal"/>
    <w:rsid w:val="00C56737"/>
    <w:pPr>
      <w:spacing w:before="100" w:beforeAutospacing="1" w:after="100" w:afterAutospacing="1" w:line="240" w:lineRule="auto"/>
    </w:pPr>
    <w:rPr>
      <w:rFonts w:ascii="Times New Roman" w:eastAsia="Times New Roman" w:hAnsi="Times New Roman" w:cs="Times New Roman"/>
      <w:i/>
      <w:iCs/>
      <w:color w:val="000000"/>
      <w:kern w:val="0"/>
      <w:sz w:val="18"/>
      <w:szCs w:val="18"/>
      <w:lang w:val="en-GB" w:eastAsia="en-GB"/>
      <w14:ligatures w14:val="none"/>
    </w:rPr>
  </w:style>
  <w:style w:type="paragraph" w:customStyle="1" w:styleId="font9">
    <w:name w:val="font9"/>
    <w:basedOn w:val="Normal"/>
    <w:rsid w:val="00C56737"/>
    <w:pPr>
      <w:spacing w:before="100" w:beforeAutospacing="1" w:after="100" w:afterAutospacing="1" w:line="240" w:lineRule="auto"/>
    </w:pPr>
    <w:rPr>
      <w:rFonts w:ascii="Times New Roman" w:eastAsia="Times New Roman" w:hAnsi="Times New Roman" w:cs="Times New Roman"/>
      <w:color w:val="FF0000"/>
      <w:kern w:val="0"/>
      <w:sz w:val="18"/>
      <w:szCs w:val="18"/>
      <w:lang w:val="en-GB" w:eastAsia="en-GB"/>
      <w14:ligatures w14:val="none"/>
    </w:rPr>
  </w:style>
  <w:style w:type="paragraph" w:customStyle="1" w:styleId="font10">
    <w:name w:val="font10"/>
    <w:basedOn w:val="Normal"/>
    <w:rsid w:val="00C56737"/>
    <w:pPr>
      <w:spacing w:before="100" w:beforeAutospacing="1" w:after="100" w:afterAutospacing="1" w:line="240" w:lineRule="auto"/>
    </w:pPr>
    <w:rPr>
      <w:rFonts w:ascii="Times New Roman" w:eastAsia="Times New Roman" w:hAnsi="Times New Roman" w:cs="Times New Roman"/>
      <w:i/>
      <w:iCs/>
      <w:color w:val="FF0000"/>
      <w:kern w:val="0"/>
      <w:sz w:val="18"/>
      <w:szCs w:val="18"/>
      <w:lang w:val="en-GB" w:eastAsia="en-GB"/>
      <w14:ligatures w14:val="none"/>
    </w:rPr>
  </w:style>
  <w:style w:type="paragraph" w:customStyle="1" w:styleId="xl63">
    <w:name w:val="xl63"/>
    <w:basedOn w:val="Normal"/>
    <w:rsid w:val="00C56737"/>
    <w:pPr>
      <w:spacing w:before="100" w:beforeAutospacing="1" w:after="100" w:afterAutospacing="1" w:line="240" w:lineRule="auto"/>
    </w:pPr>
    <w:rPr>
      <w:rFonts w:ascii="Times New Roman" w:eastAsia="Times New Roman" w:hAnsi="Times New Roman" w:cs="Times New Roman"/>
      <w:kern w:val="0"/>
      <w:sz w:val="18"/>
      <w:szCs w:val="18"/>
      <w:lang w:val="en-GB" w:eastAsia="en-GB"/>
      <w14:ligatures w14:val="none"/>
    </w:rPr>
  </w:style>
  <w:style w:type="paragraph" w:customStyle="1" w:styleId="xl64">
    <w:name w:val="xl64"/>
    <w:basedOn w:val="Normal"/>
    <w:rsid w:val="00C56737"/>
    <w:pPr>
      <w:spacing w:before="100" w:beforeAutospacing="1" w:after="100" w:afterAutospacing="1" w:line="240" w:lineRule="auto"/>
      <w:jc w:val="center"/>
      <w:textAlignment w:val="center"/>
    </w:pPr>
    <w:rPr>
      <w:rFonts w:ascii="Times New Roman" w:eastAsia="Times New Roman" w:hAnsi="Times New Roman" w:cs="Times New Roman"/>
      <w:kern w:val="0"/>
      <w:lang w:val="en-GB" w:eastAsia="en-GB"/>
      <w14:ligatures w14:val="none"/>
    </w:rPr>
  </w:style>
  <w:style w:type="paragraph" w:customStyle="1" w:styleId="xl65">
    <w:name w:val="xl65"/>
    <w:basedOn w:val="Normal"/>
    <w:rsid w:val="00C567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18"/>
      <w:szCs w:val="18"/>
      <w:lang w:val="en-GB" w:eastAsia="en-GB"/>
      <w14:ligatures w14:val="none"/>
    </w:rPr>
  </w:style>
  <w:style w:type="paragraph" w:customStyle="1" w:styleId="xl66">
    <w:name w:val="xl66"/>
    <w:basedOn w:val="Normal"/>
    <w:rsid w:val="00C567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lang w:val="en-GB" w:eastAsia="en-GB"/>
      <w14:ligatures w14:val="none"/>
    </w:rPr>
  </w:style>
  <w:style w:type="paragraph" w:customStyle="1" w:styleId="xl67">
    <w:name w:val="xl67"/>
    <w:basedOn w:val="Normal"/>
    <w:rsid w:val="00C56737"/>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textAlignment w:val="center"/>
    </w:pPr>
    <w:rPr>
      <w:rFonts w:ascii="Times New Roman" w:eastAsia="Times New Roman" w:hAnsi="Times New Roman" w:cs="Times New Roman"/>
      <w:kern w:val="0"/>
      <w:sz w:val="18"/>
      <w:szCs w:val="18"/>
      <w:lang w:val="en-GB" w:eastAsia="en-GB"/>
      <w14:ligatures w14:val="none"/>
    </w:rPr>
  </w:style>
  <w:style w:type="paragraph" w:customStyle="1" w:styleId="xl68">
    <w:name w:val="xl68"/>
    <w:basedOn w:val="Normal"/>
    <w:rsid w:val="00C56737"/>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textAlignment w:val="center"/>
    </w:pPr>
    <w:rPr>
      <w:rFonts w:ascii="Times New Roman" w:eastAsia="Times New Roman" w:hAnsi="Times New Roman" w:cs="Times New Roman"/>
      <w:i/>
      <w:iCs/>
      <w:kern w:val="0"/>
      <w:sz w:val="18"/>
      <w:szCs w:val="18"/>
      <w:lang w:val="en-GB" w:eastAsia="en-GB"/>
      <w14:ligatures w14:val="none"/>
    </w:rPr>
  </w:style>
  <w:style w:type="paragraph" w:customStyle="1" w:styleId="xl69">
    <w:name w:val="xl69"/>
    <w:basedOn w:val="Normal"/>
    <w:rsid w:val="00C56737"/>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textAlignment w:val="center"/>
    </w:pPr>
    <w:rPr>
      <w:rFonts w:ascii="Times New Roman" w:eastAsia="Times New Roman" w:hAnsi="Times New Roman" w:cs="Times New Roman"/>
      <w:kern w:val="0"/>
      <w:sz w:val="18"/>
      <w:szCs w:val="18"/>
      <w:lang w:val="en-GB" w:eastAsia="en-GB"/>
      <w14:ligatures w14:val="none"/>
    </w:rPr>
  </w:style>
  <w:style w:type="paragraph" w:customStyle="1" w:styleId="xl70">
    <w:name w:val="xl70"/>
    <w:basedOn w:val="Normal"/>
    <w:rsid w:val="00C56737"/>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textAlignment w:val="center"/>
    </w:pPr>
    <w:rPr>
      <w:rFonts w:ascii="Times New Roman" w:eastAsia="Times New Roman" w:hAnsi="Times New Roman" w:cs="Times New Roman"/>
      <w:i/>
      <w:iCs/>
      <w:kern w:val="0"/>
      <w:sz w:val="18"/>
      <w:szCs w:val="18"/>
      <w:lang w:val="en-GB" w:eastAsia="en-GB"/>
      <w14:ligatures w14:val="none"/>
    </w:rPr>
  </w:style>
  <w:style w:type="character" w:styleId="PageNumber">
    <w:name w:val="page number"/>
    <w:basedOn w:val="DefaultParagraphFont"/>
    <w:semiHidden/>
    <w:unhideWhenUsed/>
    <w:rsid w:val="00C56737"/>
  </w:style>
  <w:style w:type="paragraph" w:customStyle="1" w:styleId="TOCHeading1">
    <w:name w:val="TOC Heading1"/>
    <w:basedOn w:val="Heading1"/>
    <w:next w:val="Normal"/>
    <w:uiPriority w:val="39"/>
    <w:unhideWhenUsed/>
    <w:qFormat/>
    <w:rsid w:val="00C56737"/>
    <w:pPr>
      <w:spacing w:before="480" w:after="0" w:line="276" w:lineRule="auto"/>
      <w:ind w:left="720" w:hanging="360"/>
      <w:jc w:val="center"/>
      <w:outlineLvl w:val="9"/>
    </w:pPr>
    <w:rPr>
      <w:caps/>
      <w:kern w:val="0"/>
      <w:sz w:val="28"/>
      <w:szCs w:val="28"/>
      <w:lang w:val="en-US"/>
      <w14:ligatures w14:val="none"/>
    </w:rPr>
  </w:style>
  <w:style w:type="numbering" w:customStyle="1" w:styleId="CurrentList1">
    <w:name w:val="Current List1"/>
    <w:uiPriority w:val="99"/>
    <w:rsid w:val="00C56737"/>
    <w:pPr>
      <w:numPr>
        <w:numId w:val="4"/>
      </w:numPr>
    </w:pPr>
  </w:style>
  <w:style w:type="numbering" w:customStyle="1" w:styleId="CurrentList2">
    <w:name w:val="Current List2"/>
    <w:uiPriority w:val="99"/>
    <w:rsid w:val="00C56737"/>
    <w:pPr>
      <w:numPr>
        <w:numId w:val="5"/>
      </w:numPr>
    </w:pPr>
  </w:style>
  <w:style w:type="paragraph" w:customStyle="1" w:styleId="xl71">
    <w:name w:val="xl71"/>
    <w:basedOn w:val="Normal"/>
    <w:rsid w:val="00C56737"/>
    <w:pPr>
      <w:pBdr>
        <w:top w:val="single" w:sz="4" w:space="0" w:color="auto"/>
        <w:left w:val="single" w:sz="4" w:space="0" w:color="auto"/>
        <w:bottom w:val="single" w:sz="4" w:space="0" w:color="auto"/>
        <w:right w:val="single" w:sz="4" w:space="0" w:color="auto"/>
      </w:pBdr>
      <w:shd w:val="clear" w:color="000000" w:fill="8497B0"/>
      <w:spacing w:before="100" w:beforeAutospacing="1" w:after="100" w:afterAutospacing="1" w:line="240" w:lineRule="auto"/>
      <w:jc w:val="center"/>
      <w:textAlignment w:val="center"/>
    </w:pPr>
    <w:rPr>
      <w:rFonts w:ascii="Times New Roman" w:eastAsia="Times New Roman" w:hAnsi="Times New Roman" w:cs="Times New Roman"/>
      <w:b/>
      <w:bCs/>
      <w:color w:val="FFFFFF"/>
      <w:kern w:val="0"/>
      <w:sz w:val="16"/>
      <w:szCs w:val="16"/>
      <w:lang w:val="nl-BE" w:eastAsia="nl-BE"/>
      <w14:ligatures w14:val="none"/>
    </w:rPr>
  </w:style>
  <w:style w:type="paragraph" w:customStyle="1" w:styleId="xl72">
    <w:name w:val="xl72"/>
    <w:basedOn w:val="Normal"/>
    <w:rsid w:val="00C56737"/>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val="nl-BE" w:eastAsia="nl-BE"/>
      <w14:ligatures w14:val="none"/>
    </w:rPr>
  </w:style>
  <w:style w:type="paragraph" w:customStyle="1" w:styleId="xl73">
    <w:name w:val="xl73"/>
    <w:basedOn w:val="Normal"/>
    <w:rsid w:val="00C56737"/>
    <w:pPr>
      <w:pBdr>
        <w:left w:val="single" w:sz="4" w:space="0" w:color="auto"/>
        <w:bottom w:val="single" w:sz="4" w:space="0" w:color="auto"/>
        <w:right w:val="single" w:sz="4" w:space="0" w:color="auto"/>
      </w:pBdr>
      <w:shd w:val="clear" w:color="000000" w:fill="8497B0"/>
      <w:spacing w:before="100" w:beforeAutospacing="1" w:after="100" w:afterAutospacing="1" w:line="240" w:lineRule="auto"/>
      <w:jc w:val="center"/>
      <w:textAlignment w:val="center"/>
    </w:pPr>
    <w:rPr>
      <w:rFonts w:ascii="Times New Roman" w:eastAsia="Times New Roman" w:hAnsi="Times New Roman" w:cs="Times New Roman"/>
      <w:b/>
      <w:bCs/>
      <w:color w:val="FFFFFF"/>
      <w:kern w:val="0"/>
      <w:sz w:val="16"/>
      <w:szCs w:val="16"/>
      <w:lang w:val="nl-BE" w:eastAsia="nl-BE"/>
      <w14:ligatures w14:val="none"/>
    </w:rPr>
  </w:style>
  <w:style w:type="paragraph" w:customStyle="1" w:styleId="xl74">
    <w:name w:val="xl74"/>
    <w:basedOn w:val="Normal"/>
    <w:rsid w:val="00C5673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kern w:val="0"/>
      <w:lang w:val="nl-BE" w:eastAsia="nl-BE"/>
      <w14:ligatures w14:val="none"/>
    </w:rPr>
  </w:style>
  <w:style w:type="paragraph" w:customStyle="1" w:styleId="xl75">
    <w:name w:val="xl75"/>
    <w:basedOn w:val="Normal"/>
    <w:rsid w:val="00C567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kern w:val="0"/>
      <w:lang w:val="nl-BE" w:eastAsia="nl-BE"/>
      <w14:ligatures w14:val="none"/>
    </w:rPr>
  </w:style>
  <w:style w:type="paragraph" w:customStyle="1" w:styleId="xl76">
    <w:name w:val="xl76"/>
    <w:basedOn w:val="Normal"/>
    <w:rsid w:val="00C5673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lang w:val="nl-BE" w:eastAsia="nl-BE"/>
      <w14:ligatures w14:val="none"/>
    </w:rPr>
  </w:style>
  <w:style w:type="paragraph" w:customStyle="1" w:styleId="xl77">
    <w:name w:val="xl77"/>
    <w:basedOn w:val="Normal"/>
    <w:rsid w:val="00C56737"/>
    <w:pPr>
      <w:pBdr>
        <w:top w:val="single" w:sz="4" w:space="0" w:color="auto"/>
        <w:left w:val="single" w:sz="4" w:space="0" w:color="auto"/>
        <w:bottom w:val="single" w:sz="4" w:space="0" w:color="auto"/>
        <w:right w:val="single" w:sz="4" w:space="0" w:color="auto"/>
      </w:pBdr>
      <w:shd w:val="clear" w:color="000000" w:fill="375623"/>
      <w:spacing w:before="100" w:beforeAutospacing="1" w:after="100" w:afterAutospacing="1" w:line="240" w:lineRule="auto"/>
      <w:jc w:val="center"/>
    </w:pPr>
    <w:rPr>
      <w:rFonts w:ascii="Times New Roman" w:eastAsia="Times New Roman" w:hAnsi="Times New Roman" w:cs="Times New Roman"/>
      <w:color w:val="FFFFFF"/>
      <w:kern w:val="0"/>
      <w:lang w:val="nl-BE" w:eastAsia="nl-BE"/>
      <w14:ligatures w14:val="none"/>
    </w:rPr>
  </w:style>
  <w:style w:type="paragraph" w:customStyle="1" w:styleId="xl78">
    <w:name w:val="xl78"/>
    <w:basedOn w:val="Normal"/>
    <w:rsid w:val="00C567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kern w:val="0"/>
      <w:lang w:val="nl-BE" w:eastAsia="nl-BE"/>
      <w14:ligatures w14:val="none"/>
    </w:rPr>
  </w:style>
  <w:style w:type="paragraph" w:customStyle="1" w:styleId="xl79">
    <w:name w:val="xl79"/>
    <w:basedOn w:val="Normal"/>
    <w:rsid w:val="00C567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lang w:val="nl-BE" w:eastAsia="nl-BE"/>
      <w14:ligatures w14:val="none"/>
    </w:rPr>
  </w:style>
  <w:style w:type="paragraph" w:customStyle="1" w:styleId="xl80">
    <w:name w:val="xl80"/>
    <w:basedOn w:val="Normal"/>
    <w:rsid w:val="00C5673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kern w:val="0"/>
      <w:lang w:val="nl-BE" w:eastAsia="nl-BE"/>
      <w14:ligatures w14:val="none"/>
    </w:rPr>
  </w:style>
  <w:style w:type="paragraph" w:customStyle="1" w:styleId="xl81">
    <w:name w:val="xl81"/>
    <w:basedOn w:val="Normal"/>
    <w:rsid w:val="00C56737"/>
    <w:pPr>
      <w:pBdr>
        <w:top w:val="single" w:sz="4" w:space="0" w:color="FFFFFF"/>
        <w:left w:val="single" w:sz="4" w:space="0" w:color="FFFFFF"/>
        <w:bottom w:val="single" w:sz="4" w:space="0" w:color="FFFFFF"/>
        <w:right w:val="single" w:sz="4" w:space="0" w:color="FFFFFF"/>
      </w:pBdr>
      <w:shd w:val="clear" w:color="000000" w:fill="333F4F"/>
      <w:spacing w:before="100" w:beforeAutospacing="1" w:after="100" w:afterAutospacing="1" w:line="240" w:lineRule="auto"/>
      <w:jc w:val="center"/>
      <w:textAlignment w:val="center"/>
    </w:pPr>
    <w:rPr>
      <w:rFonts w:ascii="Times New Roman" w:eastAsia="Times New Roman" w:hAnsi="Times New Roman" w:cs="Times New Roman"/>
      <w:b/>
      <w:bCs/>
      <w:color w:val="FFFFFF"/>
      <w:kern w:val="0"/>
      <w:lang w:val="nl-BE" w:eastAsia="nl-BE"/>
      <w14:ligatures w14:val="none"/>
    </w:rPr>
  </w:style>
  <w:style w:type="paragraph" w:customStyle="1" w:styleId="xl82">
    <w:name w:val="xl82"/>
    <w:basedOn w:val="Normal"/>
    <w:rsid w:val="00C56737"/>
    <w:pPr>
      <w:pBdr>
        <w:top w:val="single" w:sz="4" w:space="0" w:color="FFFFFF"/>
        <w:left w:val="single" w:sz="4" w:space="0" w:color="FFFFFF"/>
        <w:bottom w:val="single" w:sz="4" w:space="0" w:color="FFFFFF"/>
        <w:right w:val="single" w:sz="4" w:space="0" w:color="FFFFFF"/>
      </w:pBdr>
      <w:shd w:val="clear" w:color="000000" w:fill="333F4F"/>
      <w:spacing w:before="100" w:beforeAutospacing="1" w:after="100" w:afterAutospacing="1" w:line="240" w:lineRule="auto"/>
      <w:jc w:val="center"/>
      <w:textAlignment w:val="center"/>
    </w:pPr>
    <w:rPr>
      <w:rFonts w:ascii="Times New Roman" w:eastAsia="Times New Roman" w:hAnsi="Times New Roman" w:cs="Times New Roman"/>
      <w:b/>
      <w:bCs/>
      <w:color w:val="FFFFFF"/>
      <w:kern w:val="0"/>
      <w:lang w:val="nl-BE" w:eastAsia="nl-BE"/>
      <w14:ligatures w14:val="none"/>
    </w:rPr>
  </w:style>
  <w:style w:type="paragraph" w:customStyle="1" w:styleId="xl83">
    <w:name w:val="xl83"/>
    <w:basedOn w:val="Normal"/>
    <w:rsid w:val="00C56737"/>
    <w:pPr>
      <w:spacing w:before="100" w:beforeAutospacing="1" w:after="100" w:afterAutospacing="1" w:line="240" w:lineRule="auto"/>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84">
    <w:name w:val="xl84"/>
    <w:basedOn w:val="Normal"/>
    <w:rsid w:val="00C56737"/>
    <w:pPr>
      <w:spacing w:before="100" w:beforeAutospacing="1" w:after="100" w:afterAutospacing="1" w:line="240" w:lineRule="auto"/>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85">
    <w:name w:val="xl85"/>
    <w:basedOn w:val="Normal"/>
    <w:rsid w:val="00C56737"/>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86">
    <w:name w:val="xl86"/>
    <w:basedOn w:val="Normal"/>
    <w:rsid w:val="00C56737"/>
    <w:pP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87">
    <w:name w:val="xl87"/>
    <w:basedOn w:val="Normal"/>
    <w:rsid w:val="00C56737"/>
    <w:pPr>
      <w:spacing w:before="100" w:beforeAutospacing="1" w:after="100" w:afterAutospacing="1" w:line="240" w:lineRule="auto"/>
    </w:pPr>
    <w:rPr>
      <w:rFonts w:ascii="Times New Roman" w:eastAsia="Times New Roman" w:hAnsi="Times New Roman" w:cs="Times New Roman"/>
      <w:b/>
      <w:bCs/>
      <w:kern w:val="0"/>
      <w:sz w:val="16"/>
      <w:szCs w:val="16"/>
      <w:lang w:val="nl-BE" w:eastAsia="nl-BE"/>
      <w14:ligatures w14:val="none"/>
    </w:rPr>
  </w:style>
  <w:style w:type="paragraph" w:customStyle="1" w:styleId="xl88">
    <w:name w:val="xl88"/>
    <w:basedOn w:val="Normal"/>
    <w:rsid w:val="00C56737"/>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89">
    <w:name w:val="xl89"/>
    <w:basedOn w:val="Normal"/>
    <w:rsid w:val="00C56737"/>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90">
    <w:name w:val="xl90"/>
    <w:basedOn w:val="Normal"/>
    <w:rsid w:val="00C56737"/>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91">
    <w:name w:val="xl91"/>
    <w:basedOn w:val="Normal"/>
    <w:rsid w:val="00C56737"/>
    <w:pPr>
      <w:pBdr>
        <w:top w:val="single" w:sz="4" w:space="0" w:color="auto"/>
        <w:left w:val="single" w:sz="4" w:space="0" w:color="auto"/>
        <w:bottom w:val="single" w:sz="4" w:space="0" w:color="auto"/>
        <w:right w:val="single" w:sz="4" w:space="0" w:color="auto"/>
      </w:pBdr>
      <w:shd w:val="clear" w:color="000000" w:fill="333F4F"/>
      <w:spacing w:before="100" w:beforeAutospacing="1" w:after="100" w:afterAutospacing="1" w:line="240" w:lineRule="auto"/>
      <w:jc w:val="center"/>
      <w:textAlignment w:val="center"/>
    </w:pPr>
    <w:rPr>
      <w:rFonts w:ascii="Times New Roman" w:eastAsia="Times New Roman" w:hAnsi="Times New Roman" w:cs="Times New Roman"/>
      <w:b/>
      <w:bCs/>
      <w:color w:val="FFFFFF"/>
      <w:kern w:val="0"/>
      <w:sz w:val="16"/>
      <w:szCs w:val="16"/>
      <w:lang w:val="nl-BE" w:eastAsia="nl-BE"/>
      <w14:ligatures w14:val="none"/>
    </w:rPr>
  </w:style>
  <w:style w:type="paragraph" w:customStyle="1" w:styleId="xl92">
    <w:name w:val="xl92"/>
    <w:basedOn w:val="Normal"/>
    <w:rsid w:val="00C56737"/>
    <w:pPr>
      <w:pBdr>
        <w:top w:val="single" w:sz="4" w:space="0" w:color="auto"/>
        <w:left w:val="single" w:sz="4" w:space="0" w:color="auto"/>
        <w:right w:val="single" w:sz="4" w:space="0" w:color="auto"/>
      </w:pBdr>
      <w:shd w:val="clear" w:color="000000" w:fill="333F4F"/>
      <w:spacing w:before="100" w:beforeAutospacing="1" w:after="100" w:afterAutospacing="1" w:line="240" w:lineRule="auto"/>
      <w:jc w:val="center"/>
      <w:textAlignment w:val="center"/>
    </w:pPr>
    <w:rPr>
      <w:rFonts w:ascii="Times New Roman" w:eastAsia="Times New Roman" w:hAnsi="Times New Roman" w:cs="Times New Roman"/>
      <w:b/>
      <w:bCs/>
      <w:color w:val="FFFFFF"/>
      <w:kern w:val="0"/>
      <w:sz w:val="16"/>
      <w:szCs w:val="16"/>
      <w:lang w:val="nl-BE" w:eastAsia="nl-BE"/>
      <w14:ligatures w14:val="none"/>
    </w:rPr>
  </w:style>
  <w:style w:type="paragraph" w:customStyle="1" w:styleId="xl93">
    <w:name w:val="xl93"/>
    <w:basedOn w:val="Normal"/>
    <w:rsid w:val="00C56737"/>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94">
    <w:name w:val="xl94"/>
    <w:basedOn w:val="Normal"/>
    <w:rsid w:val="00C56737"/>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95">
    <w:name w:val="xl95"/>
    <w:basedOn w:val="Normal"/>
    <w:rsid w:val="00C56737"/>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96">
    <w:name w:val="xl96"/>
    <w:basedOn w:val="Normal"/>
    <w:rsid w:val="00C56737"/>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97">
    <w:name w:val="xl97"/>
    <w:basedOn w:val="Normal"/>
    <w:rsid w:val="00C56737"/>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98">
    <w:name w:val="xl98"/>
    <w:basedOn w:val="Normal"/>
    <w:rsid w:val="00C56737"/>
    <w:pPr>
      <w:pBdr>
        <w:top w:val="single" w:sz="4" w:space="0" w:color="auto"/>
        <w:left w:val="single" w:sz="4" w:space="0" w:color="auto"/>
        <w:bottom w:val="single" w:sz="4" w:space="0" w:color="auto"/>
        <w:right w:val="single" w:sz="4" w:space="0" w:color="auto"/>
      </w:pBdr>
      <w:shd w:val="clear" w:color="000000" w:fill="8496B0"/>
      <w:spacing w:before="100" w:beforeAutospacing="1" w:after="100" w:afterAutospacing="1" w:line="240" w:lineRule="auto"/>
      <w:jc w:val="center"/>
      <w:textAlignment w:val="center"/>
    </w:pPr>
    <w:rPr>
      <w:rFonts w:ascii="Times New Roman" w:eastAsia="Times New Roman" w:hAnsi="Times New Roman" w:cs="Times New Roman"/>
      <w:b/>
      <w:bCs/>
      <w:color w:val="FFFFFF"/>
      <w:kern w:val="0"/>
      <w:sz w:val="16"/>
      <w:szCs w:val="16"/>
      <w:lang w:val="nl-BE" w:eastAsia="nl-BE"/>
      <w14:ligatures w14:val="none"/>
    </w:rPr>
  </w:style>
  <w:style w:type="paragraph" w:customStyle="1" w:styleId="xl99">
    <w:name w:val="xl99"/>
    <w:basedOn w:val="Normal"/>
    <w:rsid w:val="00C56737"/>
    <w:pPr>
      <w:pBdr>
        <w:top w:val="single" w:sz="4" w:space="0" w:color="auto"/>
        <w:left w:val="single" w:sz="4" w:space="0" w:color="auto"/>
        <w:bottom w:val="single" w:sz="4" w:space="0" w:color="auto"/>
      </w:pBdr>
      <w:shd w:val="clear" w:color="000000" w:fill="8497B0"/>
      <w:spacing w:before="100" w:beforeAutospacing="1" w:after="100" w:afterAutospacing="1" w:line="240" w:lineRule="auto"/>
      <w:jc w:val="center"/>
      <w:textAlignment w:val="center"/>
    </w:pPr>
    <w:rPr>
      <w:rFonts w:ascii="Times New Roman" w:eastAsia="Times New Roman" w:hAnsi="Times New Roman" w:cs="Times New Roman"/>
      <w:b/>
      <w:bCs/>
      <w:color w:val="FFFFFF"/>
      <w:kern w:val="0"/>
      <w:sz w:val="16"/>
      <w:szCs w:val="16"/>
      <w:lang w:val="nl-BE" w:eastAsia="nl-BE"/>
      <w14:ligatures w14:val="none"/>
    </w:rPr>
  </w:style>
  <w:style w:type="paragraph" w:customStyle="1" w:styleId="xl100">
    <w:name w:val="xl100"/>
    <w:basedOn w:val="Normal"/>
    <w:rsid w:val="00C567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101">
    <w:name w:val="xl101"/>
    <w:basedOn w:val="Normal"/>
    <w:rsid w:val="00C56737"/>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102">
    <w:name w:val="xl102"/>
    <w:basedOn w:val="Normal"/>
    <w:rsid w:val="00C567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103">
    <w:name w:val="xl103"/>
    <w:basedOn w:val="Normal"/>
    <w:rsid w:val="00C56737"/>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val="nl-BE" w:eastAsia="nl-BE"/>
      <w14:ligatures w14:val="none"/>
    </w:rPr>
  </w:style>
  <w:style w:type="paragraph" w:customStyle="1" w:styleId="xl104">
    <w:name w:val="xl104"/>
    <w:basedOn w:val="Normal"/>
    <w:rsid w:val="00C56737"/>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jc w:val="center"/>
      <w:textAlignment w:val="center"/>
    </w:pPr>
    <w:rPr>
      <w:rFonts w:ascii="Times New Roman" w:eastAsia="Times New Roman" w:hAnsi="Times New Roman" w:cs="Times New Roman"/>
      <w:color w:val="000000"/>
      <w:kern w:val="0"/>
      <w:sz w:val="16"/>
      <w:szCs w:val="16"/>
      <w:lang w:val="nl-BE" w:eastAsia="nl-BE"/>
      <w14:ligatures w14:val="none"/>
    </w:rPr>
  </w:style>
  <w:style w:type="paragraph" w:customStyle="1" w:styleId="xl105">
    <w:name w:val="xl105"/>
    <w:basedOn w:val="Normal"/>
    <w:rsid w:val="00C56737"/>
    <w:pPr>
      <w:pBdr>
        <w:top w:val="single" w:sz="4" w:space="0" w:color="auto"/>
        <w:left w:val="single" w:sz="4" w:space="0" w:color="auto"/>
        <w:bottom w:val="single" w:sz="4" w:space="0" w:color="auto"/>
      </w:pBdr>
      <w:shd w:val="clear" w:color="000000" w:fill="A9D08E"/>
      <w:spacing w:before="100" w:beforeAutospacing="1" w:after="100" w:afterAutospacing="1" w:line="240" w:lineRule="auto"/>
      <w:textAlignment w:val="center"/>
    </w:pPr>
    <w:rPr>
      <w:rFonts w:ascii="Times New Roman" w:eastAsia="Times New Roman" w:hAnsi="Times New Roman" w:cs="Times New Roman"/>
      <w:color w:val="000000"/>
      <w:kern w:val="0"/>
      <w:sz w:val="16"/>
      <w:szCs w:val="16"/>
      <w:lang w:val="nl-BE" w:eastAsia="nl-BE"/>
      <w14:ligatures w14:val="none"/>
    </w:rPr>
  </w:style>
  <w:style w:type="paragraph" w:customStyle="1" w:styleId="xl106">
    <w:name w:val="xl106"/>
    <w:basedOn w:val="Normal"/>
    <w:rsid w:val="00C5673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16"/>
      <w:szCs w:val="16"/>
      <w:lang w:val="nl-BE" w:eastAsia="nl-BE"/>
      <w14:ligatures w14:val="none"/>
    </w:rPr>
  </w:style>
  <w:style w:type="paragraph" w:customStyle="1" w:styleId="xl107">
    <w:name w:val="xl107"/>
    <w:basedOn w:val="Normal"/>
    <w:rsid w:val="00C56737"/>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ascii="Times New Roman" w:eastAsia="Times New Roman" w:hAnsi="Times New Roman" w:cs="Times New Roman"/>
      <w:kern w:val="0"/>
      <w:sz w:val="16"/>
      <w:szCs w:val="16"/>
      <w:lang w:val="nl-BE" w:eastAsia="nl-BE"/>
      <w14:ligatures w14:val="none"/>
    </w:rPr>
  </w:style>
  <w:style w:type="paragraph" w:customStyle="1" w:styleId="xl108">
    <w:name w:val="xl108"/>
    <w:basedOn w:val="Normal"/>
    <w:rsid w:val="00C56737"/>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ascii="Times New Roman" w:eastAsia="Times New Roman" w:hAnsi="Times New Roman" w:cs="Times New Roman"/>
      <w:kern w:val="0"/>
      <w:sz w:val="16"/>
      <w:szCs w:val="16"/>
      <w:lang w:val="nl-BE" w:eastAsia="nl-BE"/>
      <w14:ligatures w14:val="none"/>
    </w:rPr>
  </w:style>
  <w:style w:type="paragraph" w:customStyle="1" w:styleId="xl109">
    <w:name w:val="xl109"/>
    <w:basedOn w:val="Normal"/>
    <w:rsid w:val="00C56737"/>
    <w:pPr>
      <w:pBdr>
        <w:top w:val="single" w:sz="4" w:space="0" w:color="auto"/>
        <w:left w:val="single" w:sz="4" w:space="0" w:color="auto"/>
        <w:bottom w:val="single" w:sz="4" w:space="0" w:color="auto"/>
        <w:right w:val="single" w:sz="4" w:space="0" w:color="auto"/>
      </w:pBdr>
      <w:shd w:val="clear" w:color="000000" w:fill="333F4F"/>
      <w:spacing w:before="100" w:beforeAutospacing="1" w:after="100" w:afterAutospacing="1" w:line="240" w:lineRule="auto"/>
      <w:jc w:val="center"/>
      <w:textAlignment w:val="center"/>
    </w:pPr>
    <w:rPr>
      <w:rFonts w:ascii="Times New Roman" w:eastAsia="Times New Roman" w:hAnsi="Times New Roman" w:cs="Times New Roman"/>
      <w:color w:val="FFFFFF"/>
      <w:kern w:val="0"/>
      <w:sz w:val="16"/>
      <w:szCs w:val="16"/>
      <w:lang w:val="nl-BE" w:eastAsia="nl-BE"/>
      <w14:ligatures w14:val="none"/>
    </w:rPr>
  </w:style>
  <w:style w:type="paragraph" w:customStyle="1" w:styleId="xl110">
    <w:name w:val="xl110"/>
    <w:basedOn w:val="Normal"/>
    <w:rsid w:val="00C5673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kern w:val="0"/>
      <w:sz w:val="16"/>
      <w:szCs w:val="16"/>
      <w:lang w:val="nl-BE" w:eastAsia="nl-BE"/>
      <w14:ligatures w14:val="none"/>
    </w:rPr>
  </w:style>
  <w:style w:type="paragraph" w:customStyle="1" w:styleId="xl111">
    <w:name w:val="xl111"/>
    <w:basedOn w:val="Normal"/>
    <w:rsid w:val="00C56737"/>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color w:val="000000"/>
      <w:kern w:val="0"/>
      <w:sz w:val="16"/>
      <w:szCs w:val="16"/>
      <w:lang w:val="nl-BE" w:eastAsia="nl-BE"/>
      <w14:ligatures w14:val="none"/>
    </w:rPr>
  </w:style>
  <w:style w:type="paragraph" w:customStyle="1" w:styleId="xl112">
    <w:name w:val="xl112"/>
    <w:basedOn w:val="Normal"/>
    <w:rsid w:val="00C56737"/>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kern w:val="0"/>
      <w:sz w:val="16"/>
      <w:szCs w:val="16"/>
      <w:lang w:val="nl-BE" w:eastAsia="nl-BE"/>
      <w14:ligatures w14:val="none"/>
    </w:rPr>
  </w:style>
  <w:style w:type="character" w:styleId="Strong">
    <w:name w:val="Strong"/>
    <w:basedOn w:val="DefaultParagraphFont"/>
    <w:uiPriority w:val="22"/>
    <w:qFormat/>
    <w:rsid w:val="00C56737"/>
    <w:rPr>
      <w:b/>
      <w:bCs/>
    </w:rPr>
  </w:style>
  <w:style w:type="numbering" w:customStyle="1" w:styleId="Huidigelijst1">
    <w:name w:val="Huidige lijst1"/>
    <w:uiPriority w:val="99"/>
    <w:rsid w:val="00C56737"/>
    <w:pPr>
      <w:numPr>
        <w:numId w:val="19"/>
      </w:numPr>
    </w:pPr>
  </w:style>
  <w:style w:type="paragraph" w:styleId="BalloonText">
    <w:name w:val="Balloon Text"/>
    <w:basedOn w:val="Normal"/>
    <w:link w:val="BalloonTextChar1"/>
    <w:uiPriority w:val="99"/>
    <w:semiHidden/>
    <w:unhideWhenUsed/>
    <w:rsid w:val="00C56737"/>
    <w:pPr>
      <w:spacing w:after="0" w:line="240" w:lineRule="auto"/>
    </w:pPr>
    <w:rPr>
      <w:rFonts w:ascii="Times New Roman" w:hAnsi="Times New Roman" w:cs="Times New Roman"/>
      <w:sz w:val="18"/>
      <w:szCs w:val="18"/>
    </w:rPr>
  </w:style>
  <w:style w:type="character" w:customStyle="1" w:styleId="BalloonTextChar1">
    <w:name w:val="Balloon Text Char1"/>
    <w:basedOn w:val="DefaultParagraphFont"/>
    <w:link w:val="BalloonText"/>
    <w:uiPriority w:val="99"/>
    <w:semiHidden/>
    <w:rsid w:val="00C56737"/>
    <w:rPr>
      <w:rFonts w:ascii="Times New Roman" w:hAnsi="Times New Roman" w:cs="Times New Roman"/>
      <w:sz w:val="18"/>
      <w:szCs w:val="18"/>
    </w:rPr>
  </w:style>
  <w:style w:type="paragraph" w:styleId="Revision">
    <w:name w:val="Revision"/>
    <w:hidden/>
    <w:uiPriority w:val="99"/>
    <w:semiHidden/>
    <w:rsid w:val="00C56737"/>
    <w:pPr>
      <w:spacing w:after="0" w:line="240" w:lineRule="auto"/>
    </w:pPr>
  </w:style>
  <w:style w:type="table" w:styleId="TableGrid">
    <w:name w:val="Table Grid"/>
    <w:basedOn w:val="TableNormal"/>
    <w:uiPriority w:val="39"/>
    <w:rsid w:val="00C56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C5673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567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C5673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4">
    <w:name w:val="Grid Table 4 Accent 4"/>
    <w:basedOn w:val="TableNormal"/>
    <w:uiPriority w:val="49"/>
    <w:rsid w:val="00C5673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2">
    <w:name w:val="Grid Table 4 Accent 2"/>
    <w:basedOn w:val="TableNormal"/>
    <w:uiPriority w:val="49"/>
    <w:rsid w:val="00C5673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uiPriority w:val="1"/>
    <w:qFormat/>
    <w:rsid w:val="00C56737"/>
    <w:pPr>
      <w:spacing w:after="0" w:line="240" w:lineRule="auto"/>
    </w:pPr>
  </w:style>
  <w:style w:type="character" w:styleId="FollowedHyperlink">
    <w:name w:val="FollowedHyperlink"/>
    <w:basedOn w:val="DefaultParagraphFont"/>
    <w:uiPriority w:val="99"/>
    <w:semiHidden/>
    <w:unhideWhenUsed/>
    <w:rsid w:val="00C56737"/>
    <w:rPr>
      <w:color w:val="96607D" w:themeColor="followedHyperlink"/>
      <w:u w:val="single"/>
    </w:rPr>
  </w:style>
  <w:style w:type="table" w:styleId="GridTable2-Accent1">
    <w:name w:val="Grid Table 2 Accent 1"/>
    <w:basedOn w:val="TableNormal"/>
    <w:uiPriority w:val="47"/>
    <w:rsid w:val="00C56737"/>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1">
    <w:name w:val="Grid Table 4 Accent 1"/>
    <w:basedOn w:val="TableNormal"/>
    <w:uiPriority w:val="49"/>
    <w:rsid w:val="00C5673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1">
    <w:name w:val="toc 1"/>
    <w:basedOn w:val="Normal"/>
    <w:next w:val="Normal"/>
    <w:autoRedefine/>
    <w:uiPriority w:val="39"/>
    <w:unhideWhenUsed/>
    <w:rsid w:val="0041264B"/>
    <w:pPr>
      <w:spacing w:before="120" w:after="120"/>
    </w:pPr>
    <w:rPr>
      <w:b/>
      <w:bCs/>
      <w:caps/>
      <w:sz w:val="20"/>
      <w:szCs w:val="20"/>
    </w:rPr>
  </w:style>
  <w:style w:type="paragraph" w:styleId="TOC2">
    <w:name w:val="toc 2"/>
    <w:basedOn w:val="Normal"/>
    <w:next w:val="Normal"/>
    <w:autoRedefine/>
    <w:uiPriority w:val="39"/>
    <w:unhideWhenUsed/>
    <w:rsid w:val="0041264B"/>
    <w:pPr>
      <w:spacing w:after="0"/>
      <w:ind w:left="240"/>
    </w:pPr>
    <w:rPr>
      <w:smallCaps/>
      <w:sz w:val="20"/>
      <w:szCs w:val="20"/>
    </w:rPr>
  </w:style>
  <w:style w:type="paragraph" w:styleId="TOC3">
    <w:name w:val="toc 3"/>
    <w:basedOn w:val="Normal"/>
    <w:next w:val="Normal"/>
    <w:autoRedefine/>
    <w:uiPriority w:val="39"/>
    <w:unhideWhenUsed/>
    <w:rsid w:val="0041264B"/>
    <w:pPr>
      <w:spacing w:after="0"/>
      <w:ind w:left="480"/>
    </w:pPr>
    <w:rPr>
      <w:i/>
      <w:iCs/>
      <w:sz w:val="20"/>
      <w:szCs w:val="20"/>
    </w:rPr>
  </w:style>
  <w:style w:type="paragraph" w:styleId="TOC4">
    <w:name w:val="toc 4"/>
    <w:basedOn w:val="Normal"/>
    <w:next w:val="Normal"/>
    <w:autoRedefine/>
    <w:uiPriority w:val="39"/>
    <w:unhideWhenUsed/>
    <w:rsid w:val="0041264B"/>
    <w:pPr>
      <w:spacing w:after="0"/>
      <w:ind w:left="720"/>
    </w:pPr>
    <w:rPr>
      <w:sz w:val="18"/>
      <w:szCs w:val="18"/>
    </w:rPr>
  </w:style>
  <w:style w:type="paragraph" w:styleId="TOC5">
    <w:name w:val="toc 5"/>
    <w:basedOn w:val="Normal"/>
    <w:next w:val="Normal"/>
    <w:autoRedefine/>
    <w:uiPriority w:val="39"/>
    <w:unhideWhenUsed/>
    <w:rsid w:val="0041264B"/>
    <w:pPr>
      <w:spacing w:after="0"/>
      <w:ind w:left="960"/>
    </w:pPr>
    <w:rPr>
      <w:sz w:val="18"/>
      <w:szCs w:val="18"/>
    </w:rPr>
  </w:style>
  <w:style w:type="paragraph" w:styleId="TOC6">
    <w:name w:val="toc 6"/>
    <w:basedOn w:val="Normal"/>
    <w:next w:val="Normal"/>
    <w:autoRedefine/>
    <w:uiPriority w:val="39"/>
    <w:unhideWhenUsed/>
    <w:rsid w:val="0041264B"/>
    <w:pPr>
      <w:spacing w:after="0"/>
      <w:ind w:left="1200"/>
    </w:pPr>
    <w:rPr>
      <w:sz w:val="18"/>
      <w:szCs w:val="18"/>
    </w:rPr>
  </w:style>
  <w:style w:type="paragraph" w:styleId="TOC7">
    <w:name w:val="toc 7"/>
    <w:basedOn w:val="Normal"/>
    <w:next w:val="Normal"/>
    <w:autoRedefine/>
    <w:uiPriority w:val="39"/>
    <w:unhideWhenUsed/>
    <w:rsid w:val="0041264B"/>
    <w:pPr>
      <w:spacing w:after="0"/>
      <w:ind w:left="1440"/>
    </w:pPr>
    <w:rPr>
      <w:sz w:val="18"/>
      <w:szCs w:val="18"/>
    </w:rPr>
  </w:style>
  <w:style w:type="paragraph" w:styleId="TOC8">
    <w:name w:val="toc 8"/>
    <w:basedOn w:val="Normal"/>
    <w:next w:val="Normal"/>
    <w:autoRedefine/>
    <w:uiPriority w:val="39"/>
    <w:unhideWhenUsed/>
    <w:rsid w:val="0041264B"/>
    <w:pPr>
      <w:spacing w:after="0"/>
      <w:ind w:left="1680"/>
    </w:pPr>
    <w:rPr>
      <w:sz w:val="18"/>
      <w:szCs w:val="18"/>
    </w:rPr>
  </w:style>
  <w:style w:type="paragraph" w:styleId="TOC9">
    <w:name w:val="toc 9"/>
    <w:basedOn w:val="Normal"/>
    <w:next w:val="Normal"/>
    <w:autoRedefine/>
    <w:uiPriority w:val="39"/>
    <w:unhideWhenUsed/>
    <w:rsid w:val="0041264B"/>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help.coveo.com/en/ces/7.0/administrator/what_is_the_difference_between_structured_and_unstructured_information.htm" TargetMode="External"/><Relationship Id="rId13" Type="http://schemas.openxmlformats.org/officeDocument/2006/relationships/footer" Target="footer1.xml"/><Relationship Id="rId18" Type="http://schemas.openxmlformats.org/officeDocument/2006/relationships/image" Target="media/image5.emf"/><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tis.techtarget.com/definition/semi-structured-data" TargetMode="External"/><Relationship Id="rId24" Type="http://schemas.microsoft.com/office/2011/relationships/commentsExtended" Target="commentsExtended.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omments" Target="comments.xml"/><Relationship Id="rId28" Type="http://schemas.openxmlformats.org/officeDocument/2006/relationships/image" Target="media/image11.emf"/><Relationship Id="rId10" Type="http://schemas.openxmlformats.org/officeDocument/2006/relationships/hyperlink" Target="https://whatis.techtarget.com/definition/structured-data" TargetMode="External"/><Relationship Id="rId19" Type="http://schemas.openxmlformats.org/officeDocument/2006/relationships/image" Target="media/image6.em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geeksforgeeks.org/what-is-structured-data/"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07981-6C49-B54F-9715-932900681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22</Pages>
  <Words>5822</Words>
  <Characters>32781</Characters>
  <Application>Microsoft Office Word</Application>
  <DocSecurity>0</DocSecurity>
  <Lines>2048</Lines>
  <Paragraphs>1754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36849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dirk steuperaert</cp:lastModifiedBy>
  <cp:revision>9</cp:revision>
  <cp:lastPrinted>2024-11-04T21:15:00Z</cp:lastPrinted>
  <dcterms:created xsi:type="dcterms:W3CDTF">2024-10-25T13:00:00Z</dcterms:created>
  <dcterms:modified xsi:type="dcterms:W3CDTF">2024-11-12T11:02:00Z</dcterms:modified>
  <cp:category/>
</cp:coreProperties>
</file>