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By now, everyone knows what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Hardcore Henry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is. It’s an all first-person action movie, or as almost everyone who has seen a trailer named it,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Call of Duty: The Movie.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Maybe it was because I walked in with lower standards than a balding manlet on titty Tuesdays at the local budget strip club, or maybe it was because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Hardcore Henry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was actually decent, but I found myself somewhat enjoying the movie (only somewhat, though, sadly).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Let’s get going with the plot. There isn’t much, so this will be short: Henry has died, his hot science girlfriend has brought him back, and now, it’s time to fight the telepathic final boss. That’s it. That really is it. I mean, I know it’s a first-person action movie, but c’mon guys.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So now that we’ve got the mundane out of the way, let’s cover the unusual part: the first person point of view. Now, let me stop you rabid overweight neckbeards “MUH DOOM” “MUH 40’s MOBIES.” Yeah, we know. A first-person view isn’t original, but it has never been done on this scale before, and I’m here to say, it works. It shouldn’t, but it does.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The action scenes are inventive and filmed very well. They are intense and all-around great. The only problem? There are simply too many of them. The movie has a lot of cool ideas, characters, and little moments it could have expanded on, but instead of a subtle, quiet moment, we get “1 vs. 100” clones. THRILLING.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Everything is just fine here. The acting is passable (except for Copley, who is just having a fucking blast). The music is actually really great. The editing and everything works. It just needed a rewrite and maybe trimmed a little.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 it stands,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 Hardcore Henry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is a reluctant “shit,” a triumph in its own right. It tragically is held down by the same thing that elevates it: its gimmick.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The movie is nowhere close to bad and is sadly just so close to good. Hopefully, now that the concept is proven to work, we can get a real movie and not just a test reel.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