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5EB" w14:textId="77777777" w:rsidR="007E0C9E" w:rsidRPr="007E0C9E" w:rsidRDefault="007E0C9E">
      <w:pPr>
        <w:rPr>
          <w:rFonts w:ascii="Times New Roman" w:hAnsi="Times New Roman" w:cs="Times New Roman"/>
        </w:rPr>
      </w:pPr>
    </w:p>
    <w:p w14:paraId="55950544" w14:textId="77777777" w:rsidR="007E0C9E" w:rsidRPr="007E0C9E" w:rsidRDefault="007E0C9E">
      <w:pPr>
        <w:rPr>
          <w:rFonts w:ascii="Times New Roman" w:hAnsi="Times New Roman" w:cs="Times New Roman"/>
        </w:rPr>
      </w:pPr>
    </w:p>
    <w:p w14:paraId="4D6DEE9E" w14:textId="77777777" w:rsidR="007E0C9E" w:rsidRPr="007E0C9E" w:rsidRDefault="007E0C9E">
      <w:pPr>
        <w:rPr>
          <w:rFonts w:ascii="Times New Roman" w:hAnsi="Times New Roman" w:cs="Times New Roman"/>
        </w:rPr>
      </w:pPr>
    </w:p>
    <w:p w14:paraId="6C78BBA7" w14:textId="77777777" w:rsidR="007E0C9E" w:rsidRPr="007E0C9E" w:rsidRDefault="007E0C9E">
      <w:pPr>
        <w:rPr>
          <w:rFonts w:ascii="Times New Roman" w:hAnsi="Times New Roman" w:cs="Times New Roman"/>
        </w:rPr>
      </w:pPr>
    </w:p>
    <w:p w14:paraId="6D690D04" w14:textId="77777777" w:rsidR="007E0C9E" w:rsidRPr="007E0C9E" w:rsidRDefault="007E0C9E">
      <w:pPr>
        <w:rPr>
          <w:rFonts w:ascii="Times New Roman" w:hAnsi="Times New Roman" w:cs="Times New Roman"/>
        </w:rPr>
      </w:pPr>
    </w:p>
    <w:p w14:paraId="1C0092DE" w14:textId="77777777" w:rsidR="007E0C9E" w:rsidRPr="007E0C9E" w:rsidRDefault="007E0C9E">
      <w:pPr>
        <w:rPr>
          <w:rFonts w:ascii="Times New Roman" w:hAnsi="Times New Roman" w:cs="Times New Roman"/>
        </w:rPr>
      </w:pPr>
    </w:p>
    <w:p w14:paraId="26FBF2D4" w14:textId="77777777" w:rsidR="007E0C9E" w:rsidRPr="007E0C9E" w:rsidRDefault="007E0C9E">
      <w:pPr>
        <w:rPr>
          <w:rFonts w:ascii="Times New Roman" w:hAnsi="Times New Roman" w:cs="Times New Roman"/>
        </w:rPr>
      </w:pPr>
    </w:p>
    <w:p w14:paraId="43919F68" w14:textId="77777777" w:rsidR="007E0C9E" w:rsidRPr="007E0C9E" w:rsidRDefault="007E0C9E">
      <w:pPr>
        <w:rPr>
          <w:rFonts w:ascii="Times New Roman" w:hAnsi="Times New Roman" w:cs="Times New Roman"/>
        </w:rPr>
      </w:pPr>
    </w:p>
    <w:p w14:paraId="7D17B658" w14:textId="77777777" w:rsidR="007E0C9E" w:rsidRPr="007E0C9E" w:rsidRDefault="007E0C9E">
      <w:pPr>
        <w:rPr>
          <w:rFonts w:ascii="Times New Roman" w:hAnsi="Times New Roman" w:cs="Times New Roman"/>
        </w:rPr>
      </w:pPr>
    </w:p>
    <w:p w14:paraId="43259186" w14:textId="77777777" w:rsidR="007E0C9E" w:rsidRPr="007E0C9E" w:rsidRDefault="00000000" w:rsidP="007E0C9E">
      <w:pPr>
        <w:spacing w:line="360" w:lineRule="auto"/>
        <w:jc w:val="center"/>
        <w:rPr>
          <w:rFonts w:ascii="Times New Roman" w:hAnsi="Times New Roman" w:cs="Times New Roman"/>
          <w:sz w:val="24"/>
          <w:szCs w:val="24"/>
        </w:rPr>
      </w:pPr>
      <w:r w:rsidRPr="007E0C9E">
        <w:rPr>
          <w:rFonts w:ascii="Times New Roman" w:hAnsi="Times New Roman" w:cs="Times New Roman"/>
          <w:sz w:val="24"/>
          <w:szCs w:val="24"/>
        </w:rPr>
        <w:t>Bradley Johnson</w:t>
      </w:r>
      <w:r w:rsidRPr="007E0C9E">
        <w:rPr>
          <w:rFonts w:ascii="Times New Roman" w:hAnsi="Times New Roman" w:cs="Times New Roman"/>
          <w:sz w:val="24"/>
          <w:szCs w:val="24"/>
        </w:rPr>
        <w:br/>
      </w:r>
      <w:r w:rsidR="007E0C9E" w:rsidRPr="007E0C9E">
        <w:rPr>
          <w:rFonts w:ascii="Times New Roman" w:hAnsi="Times New Roman" w:cs="Times New Roman"/>
          <w:sz w:val="24"/>
          <w:szCs w:val="24"/>
        </w:rPr>
        <w:t>ITAI 4375</w:t>
      </w:r>
    </w:p>
    <w:p w14:paraId="785F078C" w14:textId="2320FA0D" w:rsidR="007E0C9E" w:rsidRPr="007E0C9E" w:rsidRDefault="007E0C9E" w:rsidP="007E0C9E">
      <w:pPr>
        <w:spacing w:line="360" w:lineRule="auto"/>
        <w:jc w:val="center"/>
        <w:rPr>
          <w:rStyle w:val="Strong"/>
          <w:rFonts w:ascii="Times New Roman" w:hAnsi="Times New Roman" w:cs="Times New Roman"/>
          <w:b w:val="0"/>
          <w:bCs w:val="0"/>
          <w:sz w:val="24"/>
          <w:szCs w:val="24"/>
        </w:rPr>
      </w:pPr>
      <w:r w:rsidRPr="007E0C9E">
        <w:rPr>
          <w:rStyle w:val="Strong"/>
          <w:rFonts w:ascii="Times New Roman" w:hAnsi="Times New Roman" w:cs="Times New Roman"/>
          <w:b w:val="0"/>
          <w:bCs w:val="0"/>
          <w:sz w:val="24"/>
          <w:szCs w:val="24"/>
        </w:rPr>
        <w:t>Professor Dr. Doreen Rosenstrauch</w:t>
      </w:r>
    </w:p>
    <w:p w14:paraId="27F79DAA" w14:textId="0D89C50D" w:rsidR="007E0C9E" w:rsidRPr="007E0C9E" w:rsidRDefault="007E0C9E" w:rsidP="007E0C9E">
      <w:pPr>
        <w:spacing w:line="360" w:lineRule="auto"/>
        <w:jc w:val="center"/>
        <w:rPr>
          <w:rStyle w:val="Strong"/>
          <w:rFonts w:ascii="Times New Roman" w:hAnsi="Times New Roman" w:cs="Times New Roman"/>
          <w:b w:val="0"/>
          <w:bCs w:val="0"/>
          <w:sz w:val="24"/>
          <w:szCs w:val="24"/>
        </w:rPr>
      </w:pPr>
      <w:r w:rsidRPr="007E0C9E">
        <w:rPr>
          <w:rStyle w:val="Strong"/>
          <w:rFonts w:ascii="Times New Roman" w:hAnsi="Times New Roman" w:cs="Times New Roman"/>
          <w:b w:val="0"/>
          <w:bCs w:val="0"/>
          <w:sz w:val="24"/>
          <w:szCs w:val="24"/>
        </w:rPr>
        <w:t>25 January 2026</w:t>
      </w:r>
    </w:p>
    <w:p w14:paraId="6E513514" w14:textId="77777777" w:rsidR="007E0C9E" w:rsidRPr="007E0C9E" w:rsidRDefault="007E0C9E">
      <w:pPr>
        <w:rPr>
          <w:rFonts w:ascii="Times New Roman" w:hAnsi="Times New Roman" w:cs="Times New Roman"/>
        </w:rPr>
      </w:pPr>
    </w:p>
    <w:p w14:paraId="440EA487" w14:textId="77777777" w:rsidR="007E0C9E" w:rsidRPr="007E0C9E" w:rsidRDefault="007E0C9E">
      <w:pPr>
        <w:rPr>
          <w:rFonts w:ascii="Times New Roman" w:hAnsi="Times New Roman" w:cs="Times New Roman"/>
        </w:rPr>
      </w:pPr>
    </w:p>
    <w:p w14:paraId="0AA516D7" w14:textId="77777777" w:rsidR="00B4438D" w:rsidRPr="007E0C9E" w:rsidRDefault="00000000">
      <w:pPr>
        <w:rPr>
          <w:rFonts w:ascii="Times New Roman" w:hAnsi="Times New Roman" w:cs="Times New Roman"/>
        </w:rPr>
      </w:pPr>
      <w:r w:rsidRPr="007E0C9E">
        <w:rPr>
          <w:rFonts w:ascii="Times New Roman" w:hAnsi="Times New Roman" w:cs="Times New Roman"/>
        </w:rPr>
        <w:br w:type="page"/>
      </w:r>
    </w:p>
    <w:p w14:paraId="57349C71" w14:textId="72642017" w:rsidR="007E0C9E" w:rsidRPr="007E0C9E" w:rsidRDefault="00000000" w:rsidP="006E070D">
      <w:pPr>
        <w:spacing w:line="480" w:lineRule="auto"/>
        <w:rPr>
          <w:rFonts w:ascii="Times New Roman" w:hAnsi="Times New Roman" w:cs="Times New Roman"/>
          <w:sz w:val="24"/>
        </w:rPr>
      </w:pPr>
      <w:r w:rsidRPr="007E0C9E">
        <w:rPr>
          <w:rFonts w:ascii="Times New Roman" w:hAnsi="Times New Roman" w:cs="Times New Roman"/>
          <w:sz w:val="24"/>
        </w:rPr>
        <w:lastRenderedPageBreak/>
        <w:br/>
      </w:r>
      <w:r w:rsidR="007E0C9E">
        <w:rPr>
          <w:rFonts w:ascii="Times New Roman" w:hAnsi="Times New Roman" w:cs="Times New Roman"/>
          <w:sz w:val="24"/>
        </w:rPr>
        <w:t xml:space="preserve">  </w:t>
      </w:r>
      <w:r w:rsidR="007E0C9E">
        <w:rPr>
          <w:rFonts w:ascii="Times New Roman" w:hAnsi="Times New Roman" w:cs="Times New Roman"/>
          <w:sz w:val="24"/>
        </w:rPr>
        <w:tab/>
      </w:r>
      <w:r w:rsidRPr="007E0C9E">
        <w:rPr>
          <w:rFonts w:ascii="Times New Roman" w:hAnsi="Times New Roman" w:cs="Times New Roman"/>
          <w:sz w:val="24"/>
        </w:rPr>
        <w:t>This paper reviews medical terminology commonly used in recent healthcare literature and news reports. The terms selected reflect concepts that are central to modern clinical practice, healthcare delivery, and medical research. Understanding these terms is essential for effective communication, evidence-based decision-making, and patient safety.</w:t>
      </w:r>
      <w:r w:rsidRPr="007E0C9E">
        <w:rPr>
          <w:rFonts w:ascii="Times New Roman" w:hAnsi="Times New Roman" w:cs="Times New Roman"/>
          <w:sz w:val="24"/>
        </w:rPr>
        <w:br/>
      </w:r>
      <w:r w:rsidRPr="007E0C9E">
        <w:rPr>
          <w:rFonts w:ascii="Times New Roman" w:hAnsi="Times New Roman" w:cs="Times New Roman"/>
          <w:sz w:val="24"/>
        </w:rPr>
        <w:br/>
        <w:t>Term: Sepsis</w:t>
      </w:r>
      <w:r w:rsidRPr="007E0C9E">
        <w:rPr>
          <w:rFonts w:ascii="Times New Roman" w:hAnsi="Times New Roman" w:cs="Times New Roman"/>
          <w:sz w:val="24"/>
        </w:rPr>
        <w:br/>
        <w:t>Definition: Sepsis is a life-threatening condition characterized by organ dysfunction resulting from a dysregulated immune response to infection.</w:t>
      </w:r>
      <w:r w:rsidRPr="007E0C9E">
        <w:rPr>
          <w:rFonts w:ascii="Times New Roman" w:hAnsi="Times New Roman" w:cs="Times New Roman"/>
          <w:sz w:val="24"/>
        </w:rPr>
        <w:br/>
        <w:t>Context: One journal article emphasized the importance of early sepsis screening protocols in hospitals to reduce mortality rates.</w:t>
      </w:r>
      <w:r w:rsidRPr="007E0C9E">
        <w:rPr>
          <w:rFonts w:ascii="Times New Roman" w:hAnsi="Times New Roman" w:cs="Times New Roman"/>
          <w:sz w:val="24"/>
        </w:rPr>
        <w:br/>
        <w:t>Importance: Sepsis is a leading cause of death in hospitalized patients, and timely recognition and treatment are critical to improving survival outcomes (Rhee et al., 2020).</w:t>
      </w:r>
      <w:r w:rsidRPr="007E0C9E">
        <w:rPr>
          <w:rFonts w:ascii="Times New Roman" w:hAnsi="Times New Roman" w:cs="Times New Roman"/>
          <w:sz w:val="24"/>
        </w:rPr>
        <w:br/>
      </w:r>
      <w:r w:rsidRPr="007E0C9E">
        <w:rPr>
          <w:rFonts w:ascii="Times New Roman" w:hAnsi="Times New Roman" w:cs="Times New Roman"/>
          <w:sz w:val="24"/>
        </w:rPr>
        <w:br/>
        <w:t>Term: Telehealth</w:t>
      </w:r>
      <w:r w:rsidRPr="007E0C9E">
        <w:rPr>
          <w:rFonts w:ascii="Times New Roman" w:hAnsi="Times New Roman" w:cs="Times New Roman"/>
          <w:sz w:val="24"/>
        </w:rPr>
        <w:br/>
        <w:t>Definition: Telehealth refers to the use of digital communication technologies to provide healthcare services remotely.</w:t>
      </w:r>
      <w:r w:rsidRPr="007E0C9E">
        <w:rPr>
          <w:rFonts w:ascii="Times New Roman" w:hAnsi="Times New Roman" w:cs="Times New Roman"/>
          <w:sz w:val="24"/>
        </w:rPr>
        <w:br/>
        <w:t>Context: Telehealth was discussed as a key strategy for maintaining patient access to care during public health emergencies.</w:t>
      </w:r>
      <w:r w:rsidRPr="007E0C9E">
        <w:rPr>
          <w:rFonts w:ascii="Times New Roman" w:hAnsi="Times New Roman" w:cs="Times New Roman"/>
          <w:sz w:val="24"/>
        </w:rPr>
        <w:br/>
        <w:t>Importance: Telehealth expands access to healthcare, reduces travel barriers, and supports continuity of care for chronic disease management (Koonin et al., 2020).</w:t>
      </w:r>
      <w:r w:rsidRPr="007E0C9E">
        <w:rPr>
          <w:rFonts w:ascii="Times New Roman" w:hAnsi="Times New Roman" w:cs="Times New Roman"/>
          <w:sz w:val="24"/>
        </w:rPr>
        <w:br/>
      </w:r>
      <w:r w:rsidRPr="007E0C9E">
        <w:rPr>
          <w:rFonts w:ascii="Times New Roman" w:hAnsi="Times New Roman" w:cs="Times New Roman"/>
          <w:sz w:val="24"/>
        </w:rPr>
        <w:br/>
      </w:r>
      <w:r w:rsidRPr="007E0C9E">
        <w:rPr>
          <w:rFonts w:ascii="Times New Roman" w:hAnsi="Times New Roman" w:cs="Times New Roman"/>
          <w:sz w:val="24"/>
        </w:rPr>
        <w:lastRenderedPageBreak/>
        <w:t>Term: Comorbidity</w:t>
      </w:r>
      <w:r w:rsidRPr="007E0C9E">
        <w:rPr>
          <w:rFonts w:ascii="Times New Roman" w:hAnsi="Times New Roman" w:cs="Times New Roman"/>
          <w:sz w:val="24"/>
        </w:rPr>
        <w:br/>
        <w:t>Definition: Comorbidity describes the presence of one or more additional medical conditions occurring alongside a primary diagnosis.</w:t>
      </w:r>
      <w:r w:rsidRPr="007E0C9E">
        <w:rPr>
          <w:rFonts w:ascii="Times New Roman" w:hAnsi="Times New Roman" w:cs="Times New Roman"/>
          <w:sz w:val="24"/>
        </w:rPr>
        <w:br/>
        <w:t>Context: The articles noted that patients with multiple comorbidities experienced higher rates of complications.</w:t>
      </w:r>
      <w:r w:rsidRPr="007E0C9E">
        <w:rPr>
          <w:rFonts w:ascii="Times New Roman" w:hAnsi="Times New Roman" w:cs="Times New Roman"/>
          <w:sz w:val="24"/>
        </w:rPr>
        <w:br/>
        <w:t>Importance: Identifying comorbidities allows healthcare providers to individualize treatment plans and anticipate potential risks.</w:t>
      </w:r>
      <w:r w:rsidRPr="007E0C9E">
        <w:rPr>
          <w:rFonts w:ascii="Times New Roman" w:hAnsi="Times New Roman" w:cs="Times New Roman"/>
          <w:sz w:val="24"/>
        </w:rPr>
        <w:br/>
      </w:r>
      <w:r w:rsidRPr="007E0C9E">
        <w:rPr>
          <w:rFonts w:ascii="Times New Roman" w:hAnsi="Times New Roman" w:cs="Times New Roman"/>
          <w:sz w:val="24"/>
        </w:rPr>
        <w:br/>
        <w:t>Term: Biomarker</w:t>
      </w:r>
      <w:r w:rsidRPr="007E0C9E">
        <w:rPr>
          <w:rFonts w:ascii="Times New Roman" w:hAnsi="Times New Roman" w:cs="Times New Roman"/>
          <w:sz w:val="24"/>
        </w:rPr>
        <w:br/>
        <w:t>Definition: A biomarker is a measurable biological indicator that reflects normal physiological processes, disease states, or responses to treatment.</w:t>
      </w:r>
      <w:r w:rsidRPr="007E0C9E">
        <w:rPr>
          <w:rFonts w:ascii="Times New Roman" w:hAnsi="Times New Roman" w:cs="Times New Roman"/>
          <w:sz w:val="24"/>
        </w:rPr>
        <w:br/>
        <w:t>Context: Biomarkers were used in studies to predict disease progression and treatment effectiveness.</w:t>
      </w:r>
      <w:r w:rsidRPr="007E0C9E">
        <w:rPr>
          <w:rFonts w:ascii="Times New Roman" w:hAnsi="Times New Roman" w:cs="Times New Roman"/>
          <w:sz w:val="24"/>
        </w:rPr>
        <w:br/>
        <w:t>Importance: Biomarkers play a vital role in early diagnosis, disease monitoring, and the development of personalized medicine.</w:t>
      </w:r>
      <w:r w:rsidRPr="007E0C9E">
        <w:rPr>
          <w:rFonts w:ascii="Times New Roman" w:hAnsi="Times New Roman" w:cs="Times New Roman"/>
          <w:sz w:val="24"/>
        </w:rPr>
        <w:br/>
      </w:r>
      <w:r w:rsidRPr="007E0C9E">
        <w:rPr>
          <w:rFonts w:ascii="Times New Roman" w:hAnsi="Times New Roman" w:cs="Times New Roman"/>
          <w:sz w:val="24"/>
        </w:rPr>
        <w:br/>
        <w:t>Term: Mechanical Ventilation</w:t>
      </w:r>
      <w:r w:rsidRPr="007E0C9E">
        <w:rPr>
          <w:rFonts w:ascii="Times New Roman" w:hAnsi="Times New Roman" w:cs="Times New Roman"/>
          <w:sz w:val="24"/>
        </w:rPr>
        <w:br/>
        <w:t>Definition: Mechanical ventilation is a life-support technique that assists or replaces spontaneous breathing.</w:t>
      </w:r>
      <w:r w:rsidRPr="007E0C9E">
        <w:rPr>
          <w:rFonts w:ascii="Times New Roman" w:hAnsi="Times New Roman" w:cs="Times New Roman"/>
          <w:sz w:val="24"/>
        </w:rPr>
        <w:br/>
        <w:t>Context: Several reports highlighted increased use of mechanical ventilation in patients with severe respiratory failure.</w:t>
      </w:r>
      <w:r w:rsidRPr="007E0C9E">
        <w:rPr>
          <w:rFonts w:ascii="Times New Roman" w:hAnsi="Times New Roman" w:cs="Times New Roman"/>
          <w:sz w:val="24"/>
        </w:rPr>
        <w:br/>
        <w:t>Importance: Mechanical ventilation is essential in critical care settings to maintain oxygenation and support life.</w:t>
      </w:r>
      <w:r w:rsidRPr="007E0C9E">
        <w:rPr>
          <w:rFonts w:ascii="Times New Roman" w:hAnsi="Times New Roman" w:cs="Times New Roman"/>
          <w:sz w:val="24"/>
        </w:rPr>
        <w:br/>
      </w:r>
      <w:r w:rsidRPr="007E0C9E">
        <w:rPr>
          <w:rFonts w:ascii="Times New Roman" w:hAnsi="Times New Roman" w:cs="Times New Roman"/>
          <w:sz w:val="24"/>
        </w:rPr>
        <w:lastRenderedPageBreak/>
        <w:br/>
        <w:t>Term: Electronic Health Record (EHR)</w:t>
      </w:r>
      <w:r w:rsidRPr="007E0C9E">
        <w:rPr>
          <w:rFonts w:ascii="Times New Roman" w:hAnsi="Times New Roman" w:cs="Times New Roman"/>
          <w:sz w:val="24"/>
        </w:rPr>
        <w:br/>
        <w:t>Definition: An electronic health record is a digital version of a patient’s medical history maintained over time.</w:t>
      </w:r>
      <w:r w:rsidRPr="007E0C9E">
        <w:rPr>
          <w:rFonts w:ascii="Times New Roman" w:hAnsi="Times New Roman" w:cs="Times New Roman"/>
          <w:sz w:val="24"/>
        </w:rPr>
        <w:br/>
        <w:t>Context: EHR data were analyzed to identify trends in patient outcomes and healthcare quality.</w:t>
      </w:r>
      <w:r w:rsidRPr="007E0C9E">
        <w:rPr>
          <w:rFonts w:ascii="Times New Roman" w:hAnsi="Times New Roman" w:cs="Times New Roman"/>
          <w:sz w:val="24"/>
        </w:rPr>
        <w:br/>
        <w:t>Importance: EHRs improve care coordination, enhance patient safety, and support data-driven clinical decisions.</w:t>
      </w:r>
      <w:r w:rsidRPr="007E0C9E">
        <w:rPr>
          <w:rFonts w:ascii="Times New Roman" w:hAnsi="Times New Roman" w:cs="Times New Roman"/>
          <w:sz w:val="24"/>
        </w:rPr>
        <w:br/>
      </w:r>
      <w:r w:rsidRPr="007E0C9E">
        <w:rPr>
          <w:rFonts w:ascii="Times New Roman" w:hAnsi="Times New Roman" w:cs="Times New Roman"/>
          <w:sz w:val="24"/>
        </w:rPr>
        <w:br/>
        <w:t>Term: Antimicrobial Resistance</w:t>
      </w:r>
      <w:r w:rsidRPr="007E0C9E">
        <w:rPr>
          <w:rFonts w:ascii="Times New Roman" w:hAnsi="Times New Roman" w:cs="Times New Roman"/>
          <w:sz w:val="24"/>
        </w:rPr>
        <w:br/>
        <w:t>Definition: Antimicrobial resistance occurs when microorganisms evolve mechanisms that render antimicrobial treatments ineffective.</w:t>
      </w:r>
      <w:r w:rsidRPr="007E0C9E">
        <w:rPr>
          <w:rFonts w:ascii="Times New Roman" w:hAnsi="Times New Roman" w:cs="Times New Roman"/>
          <w:sz w:val="24"/>
        </w:rPr>
        <w:br/>
        <w:t>Context: Rising antimicrobial resistance was identified as a growing global health concern.</w:t>
      </w:r>
      <w:r w:rsidRPr="007E0C9E">
        <w:rPr>
          <w:rFonts w:ascii="Times New Roman" w:hAnsi="Times New Roman" w:cs="Times New Roman"/>
          <w:sz w:val="24"/>
        </w:rPr>
        <w:br/>
        <w:t>Importance: Antimicrobial resistance increases morbidity, mortality, and healthcare costs, making it a major public health challenge (World Health Organization, 2021).</w:t>
      </w:r>
      <w:r w:rsidRPr="007E0C9E">
        <w:rPr>
          <w:rFonts w:ascii="Times New Roman" w:hAnsi="Times New Roman" w:cs="Times New Roman"/>
          <w:sz w:val="24"/>
        </w:rPr>
        <w:br/>
      </w:r>
      <w:r w:rsidRPr="007E0C9E">
        <w:rPr>
          <w:rFonts w:ascii="Times New Roman" w:hAnsi="Times New Roman" w:cs="Times New Roman"/>
          <w:sz w:val="24"/>
        </w:rPr>
        <w:br/>
        <w:t>Term: Randomized Controlled Trial</w:t>
      </w:r>
      <w:r w:rsidRPr="007E0C9E">
        <w:rPr>
          <w:rFonts w:ascii="Times New Roman" w:hAnsi="Times New Roman" w:cs="Times New Roman"/>
          <w:sz w:val="24"/>
        </w:rPr>
        <w:br/>
        <w:t>Definition: A randomized controlled trial is a research study design that randomly assigns participants to intervention or control groups.</w:t>
      </w:r>
      <w:r w:rsidRPr="007E0C9E">
        <w:rPr>
          <w:rFonts w:ascii="Times New Roman" w:hAnsi="Times New Roman" w:cs="Times New Roman"/>
          <w:sz w:val="24"/>
        </w:rPr>
        <w:br/>
        <w:t>Context: Treatment efficacy was evaluated using randomized controlled trials.</w:t>
      </w:r>
      <w:r w:rsidRPr="007E0C9E">
        <w:rPr>
          <w:rFonts w:ascii="Times New Roman" w:hAnsi="Times New Roman" w:cs="Times New Roman"/>
          <w:sz w:val="24"/>
        </w:rPr>
        <w:br/>
        <w:t>Importance: RCTs provide the highest level of evidence for determining the safety and effectiveness of medical interventions.</w:t>
      </w:r>
      <w:r w:rsidRPr="007E0C9E">
        <w:rPr>
          <w:rFonts w:ascii="Times New Roman" w:hAnsi="Times New Roman" w:cs="Times New Roman"/>
          <w:sz w:val="24"/>
        </w:rPr>
        <w:br/>
      </w:r>
      <w:r w:rsidRPr="007E0C9E">
        <w:rPr>
          <w:rFonts w:ascii="Times New Roman" w:hAnsi="Times New Roman" w:cs="Times New Roman"/>
          <w:sz w:val="24"/>
        </w:rPr>
        <w:lastRenderedPageBreak/>
        <w:br/>
        <w:t>Term: Intensive Care Unit (ICU)</w:t>
      </w:r>
      <w:r w:rsidRPr="007E0C9E">
        <w:rPr>
          <w:rFonts w:ascii="Times New Roman" w:hAnsi="Times New Roman" w:cs="Times New Roman"/>
          <w:sz w:val="24"/>
        </w:rPr>
        <w:br/>
        <w:t>Definition: An intensive care unit is a specialized hospital department that provides care for critically ill patients.</w:t>
      </w:r>
      <w:r w:rsidRPr="007E0C9E">
        <w:rPr>
          <w:rFonts w:ascii="Times New Roman" w:hAnsi="Times New Roman" w:cs="Times New Roman"/>
          <w:sz w:val="24"/>
        </w:rPr>
        <w:br/>
        <w:t>Context: ICU capacity and staffing challenges were discussed during periods of increased patient demand.</w:t>
      </w:r>
      <w:r w:rsidRPr="007E0C9E">
        <w:rPr>
          <w:rFonts w:ascii="Times New Roman" w:hAnsi="Times New Roman" w:cs="Times New Roman"/>
          <w:sz w:val="24"/>
        </w:rPr>
        <w:br/>
        <w:t>Importance: ICUs deliver advanced monitoring and life-saving treatments for patients with severe conditions.</w:t>
      </w:r>
      <w:r w:rsidRPr="007E0C9E">
        <w:rPr>
          <w:rFonts w:ascii="Times New Roman" w:hAnsi="Times New Roman" w:cs="Times New Roman"/>
          <w:sz w:val="24"/>
        </w:rPr>
        <w:br/>
      </w:r>
      <w:r w:rsidRPr="007E0C9E">
        <w:rPr>
          <w:rFonts w:ascii="Times New Roman" w:hAnsi="Times New Roman" w:cs="Times New Roman"/>
          <w:sz w:val="24"/>
        </w:rPr>
        <w:br/>
        <w:t>Term: Predictive Analytics</w:t>
      </w:r>
      <w:r w:rsidRPr="007E0C9E">
        <w:rPr>
          <w:rFonts w:ascii="Times New Roman" w:hAnsi="Times New Roman" w:cs="Times New Roman"/>
          <w:sz w:val="24"/>
        </w:rPr>
        <w:br/>
        <w:t>Definition: Predictive analytics involves the use of statistical techniques and data analysis to forecast future outcomes.</w:t>
      </w:r>
      <w:r w:rsidRPr="007E0C9E">
        <w:rPr>
          <w:rFonts w:ascii="Times New Roman" w:hAnsi="Times New Roman" w:cs="Times New Roman"/>
          <w:sz w:val="24"/>
        </w:rPr>
        <w:br/>
        <w:t>Context: Predictive analytics tools were applied to identify patients at high risk for complications.</w:t>
      </w:r>
      <w:r w:rsidRPr="007E0C9E">
        <w:rPr>
          <w:rFonts w:ascii="Times New Roman" w:hAnsi="Times New Roman" w:cs="Times New Roman"/>
          <w:sz w:val="24"/>
        </w:rPr>
        <w:br/>
        <w:t>Importance: These tools support proactive care planning and can improve patient outcomes through early intervention.</w:t>
      </w:r>
      <w:r w:rsidRPr="007E0C9E">
        <w:rPr>
          <w:rFonts w:ascii="Times New Roman" w:hAnsi="Times New Roman" w:cs="Times New Roman"/>
          <w:sz w:val="24"/>
        </w:rPr>
        <w:br/>
      </w:r>
      <w:r w:rsidRPr="007E0C9E">
        <w:rPr>
          <w:rFonts w:ascii="Times New Roman" w:hAnsi="Times New Roman" w:cs="Times New Roman"/>
          <w:sz w:val="24"/>
        </w:rPr>
        <w:br/>
      </w:r>
    </w:p>
    <w:p w14:paraId="1444FF57" w14:textId="77777777" w:rsidR="007E0C9E" w:rsidRPr="007E0C9E" w:rsidRDefault="007E0C9E" w:rsidP="006E070D">
      <w:pPr>
        <w:spacing w:line="480" w:lineRule="auto"/>
        <w:rPr>
          <w:rFonts w:ascii="Times New Roman" w:hAnsi="Times New Roman" w:cs="Times New Roman"/>
          <w:sz w:val="24"/>
        </w:rPr>
      </w:pPr>
    </w:p>
    <w:p w14:paraId="610675E0" w14:textId="77777777" w:rsidR="007E0C9E" w:rsidRPr="007E0C9E" w:rsidRDefault="007E0C9E" w:rsidP="006E070D">
      <w:pPr>
        <w:spacing w:line="480" w:lineRule="auto"/>
        <w:rPr>
          <w:rFonts w:ascii="Times New Roman" w:hAnsi="Times New Roman" w:cs="Times New Roman"/>
          <w:sz w:val="24"/>
        </w:rPr>
      </w:pPr>
    </w:p>
    <w:p w14:paraId="20E9F63E" w14:textId="77777777" w:rsidR="007E0C9E" w:rsidRPr="007E0C9E" w:rsidRDefault="007E0C9E" w:rsidP="006E070D">
      <w:pPr>
        <w:spacing w:line="480" w:lineRule="auto"/>
        <w:rPr>
          <w:rFonts w:ascii="Times New Roman" w:hAnsi="Times New Roman" w:cs="Times New Roman"/>
          <w:sz w:val="24"/>
        </w:rPr>
      </w:pPr>
    </w:p>
    <w:p w14:paraId="7A69EC33" w14:textId="0A5AAACE" w:rsidR="00B4438D" w:rsidRPr="007E0C9E" w:rsidRDefault="00000000">
      <w:pPr>
        <w:rPr>
          <w:rFonts w:ascii="Times New Roman" w:hAnsi="Times New Roman" w:cs="Times New Roman"/>
        </w:rPr>
      </w:pPr>
      <w:r w:rsidRPr="007E0C9E">
        <w:rPr>
          <w:rFonts w:ascii="Times New Roman" w:hAnsi="Times New Roman" w:cs="Times New Roman"/>
          <w:sz w:val="24"/>
        </w:rPr>
        <w:lastRenderedPageBreak/>
        <w:t>References</w:t>
      </w:r>
      <w:r w:rsidRPr="007E0C9E">
        <w:rPr>
          <w:rFonts w:ascii="Times New Roman" w:hAnsi="Times New Roman" w:cs="Times New Roman"/>
          <w:sz w:val="24"/>
        </w:rPr>
        <w:br/>
      </w:r>
      <w:r w:rsidRPr="007E0C9E">
        <w:rPr>
          <w:rFonts w:ascii="Times New Roman" w:hAnsi="Times New Roman" w:cs="Times New Roman"/>
          <w:sz w:val="24"/>
        </w:rPr>
        <w:br/>
        <w:t>Koonin, L. M., Hoots, B., Tsang, C. A., Leroy, Z., Farris, K., Jolly, T., &amp; Harris, A. M. (2020). Trends in the use of telehealth during the emergence of the COVID-19 pandemic. Journal of the American Medical Informatics Association, 27(9), 1595–1599.</w:t>
      </w:r>
      <w:r w:rsidRPr="007E0C9E">
        <w:rPr>
          <w:rFonts w:ascii="Times New Roman" w:hAnsi="Times New Roman" w:cs="Times New Roman"/>
          <w:sz w:val="24"/>
        </w:rPr>
        <w:br/>
      </w:r>
      <w:r w:rsidRPr="007E0C9E">
        <w:rPr>
          <w:rFonts w:ascii="Times New Roman" w:hAnsi="Times New Roman" w:cs="Times New Roman"/>
          <w:sz w:val="24"/>
        </w:rPr>
        <w:br/>
        <w:t>Rhee, C., Dantes, R., Epstein, L., Murphy, D. J., Seymour, C. W., Iwashyna, T. J., Kadri, S. S., Angus, D. C., &amp; Danner, R. L. (2020). Incidence and trends of sepsis in U.S. hospitals. JAMA, 323(12), 1241–1249.</w:t>
      </w:r>
      <w:r w:rsidRPr="007E0C9E">
        <w:rPr>
          <w:rFonts w:ascii="Times New Roman" w:hAnsi="Times New Roman" w:cs="Times New Roman"/>
          <w:sz w:val="24"/>
        </w:rPr>
        <w:br/>
      </w:r>
      <w:r w:rsidRPr="007E0C9E">
        <w:rPr>
          <w:rFonts w:ascii="Times New Roman" w:hAnsi="Times New Roman" w:cs="Times New Roman"/>
          <w:sz w:val="24"/>
        </w:rPr>
        <w:br/>
        <w:t>World Health Organization. (2021). Antimicrobial resistance. WHO.</w:t>
      </w:r>
      <w:r w:rsidRPr="007E0C9E">
        <w:rPr>
          <w:rFonts w:ascii="Times New Roman" w:hAnsi="Times New Roman" w:cs="Times New Roman"/>
          <w:sz w:val="24"/>
        </w:rPr>
        <w:br/>
      </w:r>
    </w:p>
    <w:sectPr w:rsidR="00B4438D" w:rsidRPr="007E0C9E" w:rsidSect="00034616">
      <w:headerReference w:type="even" r:id="rId8"/>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A2B44" w14:textId="77777777" w:rsidR="00E31676" w:rsidRDefault="00E31676" w:rsidP="007E0C9E">
      <w:pPr>
        <w:spacing w:after="0" w:line="240" w:lineRule="auto"/>
      </w:pPr>
      <w:r>
        <w:separator/>
      </w:r>
    </w:p>
  </w:endnote>
  <w:endnote w:type="continuationSeparator" w:id="0">
    <w:p w14:paraId="6E187C0D" w14:textId="77777777" w:rsidR="00E31676" w:rsidRDefault="00E31676" w:rsidP="007E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6584" w14:textId="77777777" w:rsidR="00E31676" w:rsidRDefault="00E31676" w:rsidP="007E0C9E">
      <w:pPr>
        <w:spacing w:after="0" w:line="240" w:lineRule="auto"/>
      </w:pPr>
      <w:r>
        <w:separator/>
      </w:r>
    </w:p>
  </w:footnote>
  <w:footnote w:type="continuationSeparator" w:id="0">
    <w:p w14:paraId="186BD346" w14:textId="77777777" w:rsidR="00E31676" w:rsidRDefault="00E31676" w:rsidP="007E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152822"/>
      <w:docPartObj>
        <w:docPartGallery w:val="Page Numbers (Top of Page)"/>
        <w:docPartUnique/>
      </w:docPartObj>
    </w:sdtPr>
    <w:sdtContent>
      <w:p w14:paraId="03767B30" w14:textId="58AD457C"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17792A" w14:textId="77777777" w:rsidR="007E0C9E" w:rsidRDefault="007E0C9E" w:rsidP="007E0C9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7088"/>
      <w:docPartObj>
        <w:docPartGallery w:val="Page Numbers (Top of Page)"/>
        <w:docPartUnique/>
      </w:docPartObj>
    </w:sdtPr>
    <w:sdtContent>
      <w:p w14:paraId="0F74D28F" w14:textId="00361F3E" w:rsidR="007E0C9E" w:rsidRDefault="007E0C9E" w:rsidP="0001778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CCB4B3" w14:textId="39F173E4" w:rsidR="007E0C9E" w:rsidRDefault="007E0C9E" w:rsidP="007E0C9E">
    <w:pPr>
      <w:pStyle w:val="Header"/>
      <w:ind w:right="360"/>
      <w:rPr>
        <w:rFonts w:ascii="Times New Roman" w:hAnsi="Times New Roman" w:cs="Times New Roman"/>
        <w:bCs/>
        <w:sz w:val="24"/>
        <w:szCs w:val="24"/>
      </w:rPr>
    </w:pPr>
    <w:r w:rsidRPr="007E0C9E">
      <w:rPr>
        <w:rFonts w:ascii="Times New Roman" w:hAnsi="Times New Roman" w:cs="Times New Roman"/>
        <w:bCs/>
        <w:sz w:val="24"/>
        <w:szCs w:val="24"/>
      </w:rPr>
      <w:t xml:space="preserve">Medical Terminology </w:t>
    </w:r>
    <w:r w:rsidR="006E070D" w:rsidRPr="007E0C9E">
      <w:rPr>
        <w:rFonts w:ascii="Times New Roman" w:hAnsi="Times New Roman" w:cs="Times New Roman"/>
        <w:bCs/>
        <w:sz w:val="24"/>
        <w:szCs w:val="24"/>
      </w:rPr>
      <w:t>in</w:t>
    </w:r>
    <w:r w:rsidR="006E070D">
      <w:rPr>
        <w:rFonts w:ascii="Times New Roman" w:hAnsi="Times New Roman" w:cs="Times New Roman"/>
        <w:bCs/>
        <w:sz w:val="24"/>
        <w:szCs w:val="24"/>
      </w:rPr>
      <w:t xml:space="preserve"> </w:t>
    </w:r>
    <w:r w:rsidR="006E070D" w:rsidRPr="007E0C9E">
      <w:rPr>
        <w:rFonts w:ascii="Times New Roman" w:hAnsi="Times New Roman" w:cs="Times New Roman"/>
        <w:bCs/>
        <w:sz w:val="24"/>
        <w:szCs w:val="24"/>
      </w:rPr>
      <w:t>Healthcare</w:t>
    </w:r>
    <w:r w:rsidRPr="007E0C9E">
      <w:rPr>
        <w:rFonts w:ascii="Times New Roman" w:hAnsi="Times New Roman" w:cs="Times New Roman"/>
        <w:bCs/>
        <w:sz w:val="24"/>
        <w:szCs w:val="24"/>
      </w:rPr>
      <w:t xml:space="preserve"> </w:t>
    </w:r>
  </w:p>
  <w:p w14:paraId="20F5DA12" w14:textId="77777777" w:rsidR="006E070D" w:rsidRPr="007E0C9E" w:rsidRDefault="006E070D" w:rsidP="007E0C9E">
    <w:pPr>
      <w:pStyle w:val="Header"/>
      <w:ind w:right="360"/>
      <w:rPr>
        <w:rFonts w:ascii="Times New Roman" w:hAnsi="Times New Roman" w:cs="Times New Roman"/>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416314">
    <w:abstractNumId w:val="8"/>
  </w:num>
  <w:num w:numId="2" w16cid:durableId="623075546">
    <w:abstractNumId w:val="6"/>
  </w:num>
  <w:num w:numId="3" w16cid:durableId="2013406578">
    <w:abstractNumId w:val="5"/>
  </w:num>
  <w:num w:numId="4" w16cid:durableId="1201897217">
    <w:abstractNumId w:val="4"/>
  </w:num>
  <w:num w:numId="5" w16cid:durableId="1529683745">
    <w:abstractNumId w:val="7"/>
  </w:num>
  <w:num w:numId="6" w16cid:durableId="1753507433">
    <w:abstractNumId w:val="3"/>
  </w:num>
  <w:num w:numId="7" w16cid:durableId="1537624303">
    <w:abstractNumId w:val="2"/>
  </w:num>
  <w:num w:numId="8" w16cid:durableId="1328747894">
    <w:abstractNumId w:val="1"/>
  </w:num>
  <w:num w:numId="9" w16cid:durableId="1268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70D"/>
    <w:rsid w:val="007E0C9E"/>
    <w:rsid w:val="00A474FB"/>
    <w:rsid w:val="00AA1D8D"/>
    <w:rsid w:val="00B4438D"/>
    <w:rsid w:val="00B47730"/>
    <w:rsid w:val="00CB0664"/>
    <w:rsid w:val="00E316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2AD025"/>
  <w14:defaultImageDpi w14:val="300"/>
  <w15:docId w15:val="{E294AF0E-5797-3C4F-81BD-422CCD09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E0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bradley.johnson4-W214604308</cp:lastModifiedBy>
  <cp:revision>2</cp:revision>
  <dcterms:created xsi:type="dcterms:W3CDTF">2026-01-25T20:09:00Z</dcterms:created>
  <dcterms:modified xsi:type="dcterms:W3CDTF">2026-01-25T20:09:00Z</dcterms:modified>
  <cp:category/>
</cp:coreProperties>
</file>