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D867AB" w:rsidRDefault="007E0C9E" w:rsidP="00D867AB">
      <w:pPr>
        <w:spacing w:line="480" w:lineRule="auto"/>
        <w:rPr>
          <w:rFonts w:ascii="Times New Roman" w:hAnsi="Times New Roman" w:cs="Times New Roman"/>
          <w:sz w:val="24"/>
          <w:szCs w:val="24"/>
        </w:rPr>
      </w:pPr>
    </w:p>
    <w:p w14:paraId="55950544" w14:textId="77777777" w:rsidR="007E0C9E" w:rsidRPr="00D867AB" w:rsidRDefault="007E0C9E" w:rsidP="00D867AB">
      <w:pPr>
        <w:spacing w:line="480" w:lineRule="auto"/>
        <w:rPr>
          <w:rFonts w:ascii="Times New Roman" w:hAnsi="Times New Roman" w:cs="Times New Roman"/>
          <w:sz w:val="24"/>
          <w:szCs w:val="24"/>
        </w:rPr>
      </w:pPr>
    </w:p>
    <w:p w14:paraId="4D6DEE9E" w14:textId="77777777" w:rsidR="007E0C9E" w:rsidRPr="00D867AB" w:rsidRDefault="007E0C9E" w:rsidP="00D867AB">
      <w:pPr>
        <w:spacing w:line="480" w:lineRule="auto"/>
        <w:rPr>
          <w:rFonts w:ascii="Times New Roman" w:hAnsi="Times New Roman" w:cs="Times New Roman"/>
          <w:sz w:val="24"/>
          <w:szCs w:val="24"/>
        </w:rPr>
      </w:pPr>
    </w:p>
    <w:p w14:paraId="6C78BBA7" w14:textId="77777777" w:rsidR="007E0C9E" w:rsidRPr="00D867AB" w:rsidRDefault="007E0C9E" w:rsidP="00D867AB">
      <w:pPr>
        <w:spacing w:line="480" w:lineRule="auto"/>
        <w:rPr>
          <w:rFonts w:ascii="Times New Roman" w:hAnsi="Times New Roman" w:cs="Times New Roman"/>
          <w:sz w:val="24"/>
          <w:szCs w:val="24"/>
        </w:rPr>
      </w:pPr>
    </w:p>
    <w:p w14:paraId="6D690D04" w14:textId="77777777" w:rsidR="007E0C9E" w:rsidRPr="00D867AB" w:rsidRDefault="007E0C9E" w:rsidP="00D867AB">
      <w:pPr>
        <w:spacing w:line="480" w:lineRule="auto"/>
        <w:rPr>
          <w:rFonts w:ascii="Times New Roman" w:hAnsi="Times New Roman" w:cs="Times New Roman"/>
          <w:sz w:val="24"/>
          <w:szCs w:val="24"/>
        </w:rPr>
      </w:pPr>
    </w:p>
    <w:p w14:paraId="7D17B658" w14:textId="77777777" w:rsidR="007E0C9E" w:rsidRPr="00D867AB" w:rsidRDefault="007E0C9E" w:rsidP="00D867AB">
      <w:pPr>
        <w:spacing w:line="480" w:lineRule="auto"/>
        <w:rPr>
          <w:rFonts w:ascii="Times New Roman" w:hAnsi="Times New Roman" w:cs="Times New Roman"/>
          <w:sz w:val="24"/>
          <w:szCs w:val="24"/>
        </w:rPr>
      </w:pPr>
    </w:p>
    <w:p w14:paraId="43259186" w14:textId="77777777" w:rsidR="007E0C9E" w:rsidRPr="00D867AB" w:rsidRDefault="00000000" w:rsidP="00D867AB">
      <w:pPr>
        <w:spacing w:line="480" w:lineRule="auto"/>
        <w:jc w:val="center"/>
        <w:rPr>
          <w:rFonts w:ascii="Times New Roman" w:hAnsi="Times New Roman" w:cs="Times New Roman"/>
          <w:sz w:val="24"/>
          <w:szCs w:val="24"/>
        </w:rPr>
      </w:pPr>
      <w:r w:rsidRPr="00D867AB">
        <w:rPr>
          <w:rFonts w:ascii="Times New Roman" w:hAnsi="Times New Roman" w:cs="Times New Roman"/>
          <w:sz w:val="24"/>
          <w:szCs w:val="24"/>
        </w:rPr>
        <w:t>Bradley Johnson</w:t>
      </w:r>
      <w:r w:rsidRPr="00D867AB">
        <w:rPr>
          <w:rFonts w:ascii="Times New Roman" w:hAnsi="Times New Roman" w:cs="Times New Roman"/>
          <w:sz w:val="24"/>
          <w:szCs w:val="24"/>
        </w:rPr>
        <w:br/>
      </w:r>
      <w:r w:rsidR="007E0C9E" w:rsidRPr="00D867AB">
        <w:rPr>
          <w:rFonts w:ascii="Times New Roman" w:hAnsi="Times New Roman" w:cs="Times New Roman"/>
          <w:sz w:val="24"/>
          <w:szCs w:val="24"/>
        </w:rPr>
        <w:t>ITAI 4375</w:t>
      </w:r>
    </w:p>
    <w:p w14:paraId="785F078C" w14:textId="2320FA0D" w:rsidR="007E0C9E" w:rsidRPr="00D867AB" w:rsidRDefault="007E0C9E" w:rsidP="00D867AB">
      <w:pPr>
        <w:spacing w:line="480" w:lineRule="auto"/>
        <w:jc w:val="center"/>
        <w:rPr>
          <w:rStyle w:val="Strong"/>
          <w:rFonts w:ascii="Times New Roman" w:hAnsi="Times New Roman" w:cs="Times New Roman"/>
          <w:b w:val="0"/>
          <w:bCs w:val="0"/>
          <w:sz w:val="24"/>
          <w:szCs w:val="24"/>
        </w:rPr>
      </w:pPr>
      <w:r w:rsidRPr="00D867AB">
        <w:rPr>
          <w:rStyle w:val="Strong"/>
          <w:rFonts w:ascii="Times New Roman" w:hAnsi="Times New Roman" w:cs="Times New Roman"/>
          <w:b w:val="0"/>
          <w:bCs w:val="0"/>
          <w:sz w:val="24"/>
          <w:szCs w:val="24"/>
        </w:rPr>
        <w:t>Professor Dr. Doreen Rosenstrauch</w:t>
      </w:r>
    </w:p>
    <w:p w14:paraId="27F79DAA" w14:textId="714C0C32" w:rsidR="007E0C9E" w:rsidRPr="00D867AB" w:rsidRDefault="00D867AB" w:rsidP="00D867AB">
      <w:pPr>
        <w:spacing w:line="480" w:lineRule="auto"/>
        <w:jc w:val="center"/>
        <w:rPr>
          <w:rStyle w:val="Strong"/>
          <w:rFonts w:ascii="Times New Roman" w:hAnsi="Times New Roman" w:cs="Times New Roman"/>
          <w:b w:val="0"/>
          <w:bCs w:val="0"/>
          <w:sz w:val="24"/>
          <w:szCs w:val="24"/>
        </w:rPr>
      </w:pPr>
      <w:r w:rsidRPr="00D867AB">
        <w:rPr>
          <w:rStyle w:val="Strong"/>
          <w:rFonts w:ascii="Times New Roman" w:hAnsi="Times New Roman" w:cs="Times New Roman"/>
          <w:b w:val="0"/>
          <w:bCs w:val="0"/>
          <w:sz w:val="24"/>
          <w:szCs w:val="24"/>
        </w:rPr>
        <w:t>9</w:t>
      </w:r>
      <w:r w:rsidR="00B71EEE" w:rsidRPr="00D867AB">
        <w:rPr>
          <w:rStyle w:val="Strong"/>
          <w:rFonts w:ascii="Times New Roman" w:hAnsi="Times New Roman" w:cs="Times New Roman"/>
          <w:b w:val="0"/>
          <w:bCs w:val="0"/>
          <w:sz w:val="24"/>
          <w:szCs w:val="24"/>
        </w:rPr>
        <w:t xml:space="preserve"> February</w:t>
      </w:r>
      <w:r w:rsidR="007E0C9E" w:rsidRPr="00D867AB">
        <w:rPr>
          <w:rStyle w:val="Strong"/>
          <w:rFonts w:ascii="Times New Roman" w:hAnsi="Times New Roman" w:cs="Times New Roman"/>
          <w:b w:val="0"/>
          <w:bCs w:val="0"/>
          <w:sz w:val="24"/>
          <w:szCs w:val="24"/>
        </w:rPr>
        <w:t xml:space="preserve"> 2026</w:t>
      </w:r>
    </w:p>
    <w:p w14:paraId="6E513514" w14:textId="77777777" w:rsidR="007E0C9E" w:rsidRPr="00D867AB" w:rsidRDefault="007E0C9E" w:rsidP="00D867AB">
      <w:pPr>
        <w:spacing w:line="480" w:lineRule="auto"/>
        <w:rPr>
          <w:rFonts w:ascii="Times New Roman" w:hAnsi="Times New Roman" w:cs="Times New Roman"/>
          <w:sz w:val="24"/>
          <w:szCs w:val="24"/>
        </w:rPr>
      </w:pPr>
    </w:p>
    <w:p w14:paraId="440EA487" w14:textId="77777777" w:rsidR="007E0C9E" w:rsidRPr="00D867AB" w:rsidRDefault="007E0C9E" w:rsidP="00D867AB">
      <w:pPr>
        <w:spacing w:line="480" w:lineRule="auto"/>
        <w:rPr>
          <w:rFonts w:ascii="Times New Roman" w:hAnsi="Times New Roman" w:cs="Times New Roman"/>
          <w:sz w:val="24"/>
          <w:szCs w:val="24"/>
        </w:rPr>
      </w:pPr>
    </w:p>
    <w:p w14:paraId="0AA516D7" w14:textId="77777777" w:rsidR="00B4438D" w:rsidRPr="00D867AB" w:rsidRDefault="00000000" w:rsidP="00D867AB">
      <w:pPr>
        <w:spacing w:line="480" w:lineRule="auto"/>
        <w:rPr>
          <w:rFonts w:ascii="Times New Roman" w:hAnsi="Times New Roman" w:cs="Times New Roman"/>
          <w:sz w:val="24"/>
          <w:szCs w:val="24"/>
        </w:rPr>
      </w:pPr>
      <w:r w:rsidRPr="00D867AB">
        <w:rPr>
          <w:rFonts w:ascii="Times New Roman" w:hAnsi="Times New Roman" w:cs="Times New Roman"/>
          <w:sz w:val="24"/>
          <w:szCs w:val="24"/>
        </w:rPr>
        <w:br w:type="page"/>
      </w:r>
    </w:p>
    <w:p w14:paraId="66D9E8E3" w14:textId="77777777" w:rsidR="00D867AB" w:rsidRPr="00D867AB" w:rsidRDefault="00000000" w:rsidP="00D867AB">
      <w:pPr>
        <w:spacing w:line="480" w:lineRule="auto"/>
        <w:rPr>
          <w:rFonts w:ascii="Times New Roman" w:hAnsi="Times New Roman" w:cs="Times New Roman"/>
          <w:sz w:val="24"/>
          <w:szCs w:val="24"/>
        </w:rPr>
      </w:pPr>
      <w:r w:rsidRPr="00D867AB">
        <w:rPr>
          <w:rFonts w:ascii="Times New Roman" w:hAnsi="Times New Roman" w:cs="Times New Roman"/>
          <w:sz w:val="24"/>
          <w:szCs w:val="24"/>
        </w:rPr>
        <w:lastRenderedPageBreak/>
        <w:br/>
      </w:r>
      <w:r w:rsidR="007E0C9E" w:rsidRPr="00D867AB">
        <w:rPr>
          <w:rFonts w:ascii="Times New Roman" w:hAnsi="Times New Roman" w:cs="Times New Roman"/>
          <w:sz w:val="24"/>
          <w:szCs w:val="24"/>
        </w:rPr>
        <w:t xml:space="preserve">  </w:t>
      </w:r>
      <w:r w:rsidR="007E0C9E" w:rsidRPr="00D867AB">
        <w:rPr>
          <w:rFonts w:ascii="Times New Roman" w:hAnsi="Times New Roman" w:cs="Times New Roman"/>
          <w:sz w:val="24"/>
          <w:szCs w:val="24"/>
        </w:rPr>
        <w:tab/>
      </w:r>
      <w:r w:rsidR="00D867AB" w:rsidRPr="00D867AB">
        <w:rPr>
          <w:rFonts w:ascii="Times New Roman" w:hAnsi="Times New Roman" w:cs="Times New Roman"/>
          <w:sz w:val="24"/>
          <w:szCs w:val="24"/>
        </w:rPr>
        <w:t>In an advanced healthcare environment 5–10 years from now, AI-powered Clinical Decision Support Systems (CDSS) such as the next generation of Glass Health are deeply integrated into Emergency Department (ED) workflows. These systems combine cutting-edge natural language processing, real-time data streams, and evidence-based medical knowledge to assist clinicians rapidly and accurately with triage, diagnosis, and disposition planning in time-critical scenarios. Drawing on structured EHR data, clinician narratives, continuous vital sign streams, and even patient-reported information, the AI model continuously updates risk stratification, suggesting objective differentials and prioritized next steps within seconds of patient presentation (Sutton et al., 2022).</w:t>
      </w:r>
    </w:p>
    <w:p w14:paraId="50C835E3" w14:textId="77777777" w:rsidR="00D867AB" w:rsidRPr="00D867AB" w:rsidRDefault="00D867AB" w:rsidP="00D867AB">
      <w:pPr>
        <w:spacing w:line="480" w:lineRule="auto"/>
        <w:ind w:firstLine="720"/>
        <w:rPr>
          <w:rFonts w:ascii="Times New Roman" w:hAnsi="Times New Roman" w:cs="Times New Roman"/>
          <w:sz w:val="24"/>
          <w:szCs w:val="24"/>
        </w:rPr>
      </w:pPr>
      <w:r w:rsidRPr="00D867AB">
        <w:rPr>
          <w:rFonts w:ascii="Times New Roman" w:hAnsi="Times New Roman" w:cs="Times New Roman"/>
          <w:sz w:val="24"/>
          <w:szCs w:val="24"/>
        </w:rPr>
        <w:t>In this future ER setting, the capabilities of the AI-powered CDSS are expansive. Upon patient arrival, the system instantly synthesizes triage notes, historical records, medications, allergies, labs, imaging, and wearable data. It generates differential diagnoses weighted by probability, suggests urgent diagnostics, and alerts clinicians to conditions that, if unrecognized, could lead to rapid deterioration. The system also incorporates adaptive learning from aggregated outcomes to refine future recommendations. Real-time guideline matching proposes evidence-based steps while flagging contraindications such as drug interactions or renal dosing needs (Amann et al., 2022).</w:t>
      </w:r>
    </w:p>
    <w:p w14:paraId="2BC8351C" w14:textId="77777777" w:rsidR="00D867AB" w:rsidRPr="00D867AB" w:rsidRDefault="00D867AB" w:rsidP="00D867AB">
      <w:pPr>
        <w:spacing w:line="480" w:lineRule="auto"/>
        <w:ind w:firstLine="720"/>
        <w:rPr>
          <w:rFonts w:ascii="Times New Roman" w:hAnsi="Times New Roman" w:cs="Times New Roman"/>
          <w:sz w:val="24"/>
          <w:szCs w:val="24"/>
        </w:rPr>
      </w:pPr>
      <w:r w:rsidRPr="00D867AB">
        <w:rPr>
          <w:rFonts w:ascii="Times New Roman" w:hAnsi="Times New Roman" w:cs="Times New Roman"/>
          <w:sz w:val="24"/>
          <w:szCs w:val="24"/>
        </w:rPr>
        <w:t xml:space="preserve">Healthcare professionals in the ER interact with the AI CDSS through conversational prompts integrated into their EHR interface. For example, a physician might ask, “What life-threatening diagnoses should I consider with this patient’s chest </w:t>
      </w:r>
      <w:r w:rsidRPr="00D867AB">
        <w:rPr>
          <w:rFonts w:ascii="Times New Roman" w:hAnsi="Times New Roman" w:cs="Times New Roman"/>
          <w:sz w:val="24"/>
          <w:szCs w:val="24"/>
        </w:rPr>
        <w:lastRenderedPageBreak/>
        <w:t>pain and diaphoresis?” The system returns a ranked list of possibilities with explanation, confidence levels, relevant guidelines, and suggested order sets. Voice and touchscreen interfaces allow rapid querying during high-acuity moments. Importantly, clinicians remain supervisors of the AI, reviewing and overriding suggestions as needed to prevent over-reliance. The system records clinician choices and outcomes, feeding de-identified data back to continually improve performance (Sendak et al., 2023).</w:t>
      </w:r>
    </w:p>
    <w:p w14:paraId="3AAA3F60" w14:textId="77777777" w:rsidR="00D867AB" w:rsidRPr="00D867AB" w:rsidRDefault="00D867AB" w:rsidP="00D867AB">
      <w:pPr>
        <w:spacing w:line="480" w:lineRule="auto"/>
        <w:ind w:firstLine="720"/>
        <w:rPr>
          <w:rFonts w:ascii="Times New Roman" w:hAnsi="Times New Roman" w:cs="Times New Roman"/>
          <w:sz w:val="24"/>
          <w:szCs w:val="24"/>
        </w:rPr>
      </w:pPr>
      <w:r w:rsidRPr="00D867AB">
        <w:rPr>
          <w:rFonts w:ascii="Times New Roman" w:hAnsi="Times New Roman" w:cs="Times New Roman"/>
          <w:sz w:val="24"/>
          <w:szCs w:val="24"/>
        </w:rPr>
        <w:t>The benefits for patient care in the ER are substantial. Timely and accurate diagnosis is paramount in emergency medicine; AI-assisted differential generation can reduce missed diagnoses and diagnostic delays, which are key drivers of poor outcomes and malpractice risk. Early identification of atypical presentations of critical illness could significantly lower morbidity and mortality. AI-driven suggestions for evidence-based interventions can improve compliance with best practices, directly improving outcomes (Sutton et al., 2022). Additionally, reduced cognitive load and administrative burden may help alleviate burnout in ED clinicians, who routinely manage high volumes of complex patients (Sutton et al., 2022).</w:t>
      </w:r>
    </w:p>
    <w:p w14:paraId="3E93F321" w14:textId="55FFCCBC" w:rsidR="00D867AB" w:rsidRPr="00D867AB" w:rsidRDefault="00D867AB" w:rsidP="00D867AB">
      <w:pPr>
        <w:spacing w:line="480" w:lineRule="auto"/>
        <w:ind w:firstLine="720"/>
        <w:rPr>
          <w:rFonts w:ascii="Times New Roman" w:hAnsi="Times New Roman" w:cs="Times New Roman"/>
          <w:sz w:val="24"/>
          <w:szCs w:val="24"/>
        </w:rPr>
      </w:pPr>
      <w:r w:rsidRPr="00D867AB">
        <w:rPr>
          <w:rFonts w:ascii="Times New Roman" w:hAnsi="Times New Roman" w:cs="Times New Roman"/>
          <w:sz w:val="24"/>
          <w:szCs w:val="24"/>
        </w:rPr>
        <w:t>Nevertheless, challenges and ethical considerations persist. Bias in training data remains a primary concern — if historical data reflect systemic disparities, then recommendations may inadvertently perpetuate inequities unless continuously audited for fairness (Amann et al., 2022). Automation bias must be mitigated through training and interface design that encourages critical evaluation rather than passive acceptance. Legal and regulatory frameworks must clarify liability when an AI-endorsed recommendation is followed and leads to harm; currently, accountability lies with the clinician, but future policies may evolve as AI becomes more autonomous (Sendak et al., 2023).</w:t>
      </w:r>
      <w:r>
        <w:rPr>
          <w:rFonts w:ascii="Times New Roman" w:hAnsi="Times New Roman" w:cs="Times New Roman"/>
          <w:sz w:val="24"/>
          <w:szCs w:val="24"/>
        </w:rPr>
        <w:t xml:space="preserve"> </w:t>
      </w:r>
      <w:r w:rsidRPr="00D867AB">
        <w:rPr>
          <w:rFonts w:ascii="Times New Roman" w:hAnsi="Times New Roman" w:cs="Times New Roman"/>
          <w:sz w:val="24"/>
          <w:szCs w:val="24"/>
        </w:rPr>
        <w:t xml:space="preserve">Compared </w:t>
      </w:r>
      <w:r w:rsidRPr="00D867AB">
        <w:rPr>
          <w:rFonts w:ascii="Times New Roman" w:hAnsi="Times New Roman" w:cs="Times New Roman"/>
          <w:sz w:val="24"/>
          <w:szCs w:val="24"/>
        </w:rPr>
        <w:lastRenderedPageBreak/>
        <w:t>with many current CDSS tools, which often rely on static rule sets and produce interruptive alerts, the future platform is more adaptive, contextual, and explainable. Rather than firing generic warnings, it participates in reasoning, summarizes tradeoffs, and aligns recommendations with individual patient goals. Interoperability standards allow seamless data exchange across institutions, making learning health systems a practical reality.</w:t>
      </w:r>
    </w:p>
    <w:p w14:paraId="4CE30FC1" w14:textId="77777777" w:rsidR="00D867AB" w:rsidRPr="00D867AB" w:rsidRDefault="00D867AB" w:rsidP="00D867AB">
      <w:pPr>
        <w:spacing w:line="480" w:lineRule="auto"/>
        <w:ind w:firstLine="720"/>
        <w:rPr>
          <w:rFonts w:ascii="Times New Roman" w:hAnsi="Times New Roman" w:cs="Times New Roman"/>
          <w:sz w:val="24"/>
          <w:szCs w:val="24"/>
        </w:rPr>
      </w:pPr>
      <w:r w:rsidRPr="00D867AB">
        <w:rPr>
          <w:rFonts w:ascii="Times New Roman" w:hAnsi="Times New Roman" w:cs="Times New Roman"/>
          <w:sz w:val="24"/>
          <w:szCs w:val="24"/>
        </w:rPr>
        <w:t>In conclusion, the widespread implementation of AI-powered CDSS in emergency medicine holds transformative potential. By acting as an evidence-based cognitive partner, such systems can enhance diagnostic accuracy, support guideline adherence, and improve operational efficiency in high-pressure environments. The ultimate success of these technologies will hinge not only on technical performance but also on ethical governance, clinician training, and continuous validation in real-world settings. If deployed responsibly, AI-powered CDSS could significantly elevate the quality and equity of emergency care over the next decade.</w:t>
      </w:r>
    </w:p>
    <w:p w14:paraId="3DE045FE" w14:textId="77777777" w:rsidR="00D867AB" w:rsidRPr="00D867AB" w:rsidRDefault="00D867AB" w:rsidP="00D867AB">
      <w:pPr>
        <w:spacing w:line="480" w:lineRule="auto"/>
        <w:rPr>
          <w:rFonts w:ascii="Times New Roman" w:hAnsi="Times New Roman" w:cs="Times New Roman"/>
          <w:sz w:val="24"/>
          <w:szCs w:val="24"/>
        </w:rPr>
      </w:pPr>
      <w:r w:rsidRPr="00D867AB">
        <w:rPr>
          <w:rFonts w:ascii="Times New Roman" w:hAnsi="Times New Roman" w:cs="Times New Roman"/>
          <w:sz w:val="24"/>
          <w:szCs w:val="24"/>
        </w:rPr>
        <w:br w:type="page"/>
      </w:r>
    </w:p>
    <w:p w14:paraId="5FE9E3CF" w14:textId="77777777" w:rsidR="00D867AB" w:rsidRPr="00D867AB" w:rsidRDefault="00D867AB" w:rsidP="00D867AB">
      <w:pPr>
        <w:spacing w:line="480" w:lineRule="auto"/>
        <w:jc w:val="center"/>
        <w:rPr>
          <w:rFonts w:ascii="Times New Roman" w:hAnsi="Times New Roman" w:cs="Times New Roman"/>
          <w:sz w:val="24"/>
          <w:szCs w:val="24"/>
        </w:rPr>
      </w:pPr>
      <w:r w:rsidRPr="00D867AB">
        <w:rPr>
          <w:rFonts w:ascii="Times New Roman" w:hAnsi="Times New Roman" w:cs="Times New Roman"/>
          <w:sz w:val="24"/>
          <w:szCs w:val="24"/>
        </w:rPr>
        <w:lastRenderedPageBreak/>
        <w:t>References</w:t>
      </w:r>
    </w:p>
    <w:p w14:paraId="2AD5616E" w14:textId="77777777" w:rsidR="00D867AB" w:rsidRDefault="00D867AB" w:rsidP="00D867AB">
      <w:pPr>
        <w:spacing w:line="480" w:lineRule="auto"/>
        <w:rPr>
          <w:rFonts w:ascii="Times New Roman" w:hAnsi="Times New Roman" w:cs="Times New Roman"/>
          <w:sz w:val="24"/>
          <w:szCs w:val="24"/>
        </w:rPr>
      </w:pPr>
      <w:r w:rsidRPr="00D867AB">
        <w:rPr>
          <w:rFonts w:ascii="Times New Roman" w:hAnsi="Times New Roman" w:cs="Times New Roman"/>
          <w:sz w:val="24"/>
          <w:szCs w:val="24"/>
        </w:rPr>
        <w:t xml:space="preserve">Amann, J., </w:t>
      </w:r>
      <w:proofErr w:type="spellStart"/>
      <w:r w:rsidRPr="00D867AB">
        <w:rPr>
          <w:rFonts w:ascii="Times New Roman" w:hAnsi="Times New Roman" w:cs="Times New Roman"/>
          <w:sz w:val="24"/>
          <w:szCs w:val="24"/>
        </w:rPr>
        <w:t>Blasimme</w:t>
      </w:r>
      <w:proofErr w:type="spellEnd"/>
      <w:r w:rsidRPr="00D867AB">
        <w:rPr>
          <w:rFonts w:ascii="Times New Roman" w:hAnsi="Times New Roman" w:cs="Times New Roman"/>
          <w:sz w:val="24"/>
          <w:szCs w:val="24"/>
        </w:rPr>
        <w:t xml:space="preserve">, A., </w:t>
      </w:r>
      <w:proofErr w:type="spellStart"/>
      <w:r w:rsidRPr="00D867AB">
        <w:rPr>
          <w:rFonts w:ascii="Times New Roman" w:hAnsi="Times New Roman" w:cs="Times New Roman"/>
          <w:sz w:val="24"/>
          <w:szCs w:val="24"/>
        </w:rPr>
        <w:t>Vayena</w:t>
      </w:r>
      <w:proofErr w:type="spellEnd"/>
      <w:r w:rsidRPr="00D867AB">
        <w:rPr>
          <w:rFonts w:ascii="Times New Roman" w:hAnsi="Times New Roman" w:cs="Times New Roman"/>
          <w:sz w:val="24"/>
          <w:szCs w:val="24"/>
        </w:rPr>
        <w:t>, E., Frey, D., &amp; Madai, V. I. (2022). Explainability for artificial intelligence in healthcare: a multidisciplinary perspective. BMC Medical Informatics and Decision Making, 22, 310.</w:t>
      </w:r>
    </w:p>
    <w:p w14:paraId="718F2B83" w14:textId="77777777" w:rsidR="00D867AB" w:rsidRPr="00D867AB" w:rsidRDefault="00D867AB" w:rsidP="00D867AB">
      <w:pPr>
        <w:spacing w:line="480" w:lineRule="auto"/>
        <w:rPr>
          <w:rFonts w:ascii="Times New Roman" w:hAnsi="Times New Roman" w:cs="Times New Roman"/>
          <w:sz w:val="24"/>
          <w:szCs w:val="24"/>
        </w:rPr>
      </w:pPr>
    </w:p>
    <w:p w14:paraId="57077BA5" w14:textId="77777777" w:rsidR="00D867AB" w:rsidRDefault="00D867AB" w:rsidP="00D867AB">
      <w:pPr>
        <w:spacing w:line="480" w:lineRule="auto"/>
        <w:rPr>
          <w:rFonts w:ascii="Times New Roman" w:hAnsi="Times New Roman" w:cs="Times New Roman"/>
          <w:sz w:val="24"/>
          <w:szCs w:val="24"/>
        </w:rPr>
      </w:pPr>
      <w:r w:rsidRPr="00D867AB">
        <w:rPr>
          <w:rFonts w:ascii="Times New Roman" w:hAnsi="Times New Roman" w:cs="Times New Roman"/>
          <w:sz w:val="24"/>
          <w:szCs w:val="24"/>
        </w:rPr>
        <w:t>Sendak, M. P., D’Arcy, J., Kashyap, S., Gao, M., Nichols, M., Corey, K., &amp; Ratliff, W. (2023). A path for translation of machine learning products into healthcare delivery. EMJ Innovations, 7(1), 26–34.</w:t>
      </w:r>
    </w:p>
    <w:p w14:paraId="3B4AC900" w14:textId="77777777" w:rsidR="00D867AB" w:rsidRPr="00D867AB" w:rsidRDefault="00D867AB" w:rsidP="00D867AB">
      <w:pPr>
        <w:spacing w:line="480" w:lineRule="auto"/>
        <w:rPr>
          <w:rFonts w:ascii="Times New Roman" w:hAnsi="Times New Roman" w:cs="Times New Roman"/>
          <w:sz w:val="24"/>
          <w:szCs w:val="24"/>
        </w:rPr>
      </w:pPr>
    </w:p>
    <w:p w14:paraId="551F5C1B" w14:textId="77777777" w:rsidR="00D867AB" w:rsidRPr="00D867AB" w:rsidRDefault="00D867AB" w:rsidP="00D867AB">
      <w:pPr>
        <w:spacing w:line="480" w:lineRule="auto"/>
        <w:rPr>
          <w:rFonts w:ascii="Times New Roman" w:hAnsi="Times New Roman" w:cs="Times New Roman"/>
          <w:sz w:val="24"/>
          <w:szCs w:val="24"/>
        </w:rPr>
      </w:pPr>
      <w:r w:rsidRPr="00D867AB">
        <w:rPr>
          <w:rFonts w:ascii="Times New Roman" w:hAnsi="Times New Roman" w:cs="Times New Roman"/>
          <w:sz w:val="24"/>
          <w:szCs w:val="24"/>
        </w:rPr>
        <w:t>Sutton, R. T., Pincock, D., Baumgart, D. C., Sadowski, D. C., Fedorak, R. N., &amp; Kroeker, K. I. (2022). An overview of clinical decision support systems: benefits, risks, and strategies for success. NPJ Digital Medicine, 5, 17.</w:t>
      </w:r>
    </w:p>
    <w:p w14:paraId="7A69EC33" w14:textId="2F1D589E" w:rsidR="00B4438D" w:rsidRPr="00D867AB" w:rsidRDefault="00B4438D" w:rsidP="00D867AB">
      <w:pPr>
        <w:autoSpaceDE w:val="0"/>
        <w:autoSpaceDN w:val="0"/>
        <w:adjustRightInd w:val="0"/>
        <w:spacing w:after="0" w:line="480" w:lineRule="auto"/>
        <w:rPr>
          <w:rFonts w:ascii="Times New Roman" w:hAnsi="Times New Roman" w:cs="Times New Roman"/>
          <w:sz w:val="24"/>
          <w:szCs w:val="24"/>
        </w:rPr>
      </w:pPr>
    </w:p>
    <w:sectPr w:rsidR="00B4438D" w:rsidRPr="00D867AB" w:rsidSect="00034616">
      <w:headerReference w:type="even" r:id="rId8"/>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17CB5" w14:textId="77777777" w:rsidR="00B56630" w:rsidRDefault="00B56630" w:rsidP="007E0C9E">
      <w:pPr>
        <w:spacing w:after="0" w:line="240" w:lineRule="auto"/>
      </w:pPr>
      <w:r>
        <w:separator/>
      </w:r>
    </w:p>
  </w:endnote>
  <w:endnote w:type="continuationSeparator" w:id="0">
    <w:p w14:paraId="5830AF36" w14:textId="77777777" w:rsidR="00B56630" w:rsidRDefault="00B56630"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8AA39" w14:textId="77777777" w:rsidR="00B56630" w:rsidRDefault="00B56630" w:rsidP="007E0C9E">
      <w:pPr>
        <w:spacing w:after="0" w:line="240" w:lineRule="auto"/>
      </w:pPr>
      <w:r>
        <w:separator/>
      </w:r>
    </w:p>
  </w:footnote>
  <w:footnote w:type="continuationSeparator" w:id="0">
    <w:p w14:paraId="61AE2EB4" w14:textId="77777777" w:rsidR="00B56630" w:rsidRDefault="00B56630"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7088"/>
      <w:docPartObj>
        <w:docPartGallery w:val="Page Numbers (Top of Page)"/>
        <w:docPartUnique/>
      </w:docPartObj>
    </w:sdtPr>
    <w:sdtContent>
      <w:p w14:paraId="0F74D28F" w14:textId="00361F3E"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F5DA12" w14:textId="2558DDF4" w:rsidR="006E070D" w:rsidRPr="007E0C9E" w:rsidRDefault="00B71EEE" w:rsidP="007E0C9E">
    <w:pPr>
      <w:pStyle w:val="Header"/>
      <w:ind w:right="360"/>
      <w:rPr>
        <w:rFonts w:ascii="Times New Roman" w:hAnsi="Times New Roman" w:cs="Times New Roman"/>
        <w:bCs/>
        <w:sz w:val="24"/>
        <w:szCs w:val="24"/>
      </w:rPr>
    </w:pPr>
    <w:r>
      <w:rPr>
        <w:rFonts w:ascii="Times New Roman" w:hAnsi="Times New Roman" w:cs="Times New Roman"/>
        <w:bCs/>
        <w:sz w:val="24"/>
        <w:szCs w:val="24"/>
      </w:rPr>
      <w:t>A0</w:t>
    </w:r>
    <w:r w:rsidR="00D867AB">
      <w:rPr>
        <w:rFonts w:ascii="Times New Roman" w:hAnsi="Times New Roman" w:cs="Times New Roman"/>
        <w:bCs/>
        <w:sz w:val="24"/>
        <w:szCs w:val="24"/>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B9E"/>
    <w:rsid w:val="006E070D"/>
    <w:rsid w:val="007E0C9E"/>
    <w:rsid w:val="00A474FB"/>
    <w:rsid w:val="00AA1D8D"/>
    <w:rsid w:val="00B4438D"/>
    <w:rsid w:val="00B47730"/>
    <w:rsid w:val="00B56630"/>
    <w:rsid w:val="00B71EEE"/>
    <w:rsid w:val="00CB0664"/>
    <w:rsid w:val="00D867AB"/>
    <w:rsid w:val="00E31676"/>
    <w:rsid w:val="00EE2E22"/>
    <w:rsid w:val="00F969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2026-02-09T16:28:00Z</dcterms:created>
  <dcterms:modified xsi:type="dcterms:W3CDTF">2026-02-09T16:28:00Z</dcterms:modified>
  <cp:category/>
</cp:coreProperties>
</file>