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6E40F9" w:rsidRDefault="007E0C9E" w:rsidP="00D867AB">
      <w:pPr>
        <w:spacing w:line="480" w:lineRule="auto"/>
        <w:rPr>
          <w:rFonts w:ascii="Times New Roman" w:hAnsi="Times New Roman" w:cs="Times New Roman"/>
          <w:color w:val="000000" w:themeColor="text1"/>
          <w:sz w:val="24"/>
          <w:szCs w:val="24"/>
        </w:rPr>
      </w:pPr>
    </w:p>
    <w:p w14:paraId="55950544" w14:textId="77777777" w:rsidR="007E0C9E" w:rsidRPr="006E40F9" w:rsidRDefault="007E0C9E" w:rsidP="00D867AB">
      <w:pPr>
        <w:spacing w:line="480" w:lineRule="auto"/>
        <w:rPr>
          <w:rFonts w:ascii="Times New Roman" w:hAnsi="Times New Roman" w:cs="Times New Roman"/>
          <w:color w:val="000000" w:themeColor="text1"/>
          <w:sz w:val="24"/>
          <w:szCs w:val="24"/>
        </w:rPr>
      </w:pPr>
    </w:p>
    <w:p w14:paraId="4D6DEE9E" w14:textId="77777777" w:rsidR="007E0C9E" w:rsidRPr="006E40F9" w:rsidRDefault="007E0C9E" w:rsidP="00D867AB">
      <w:pPr>
        <w:spacing w:line="480" w:lineRule="auto"/>
        <w:rPr>
          <w:rFonts w:ascii="Times New Roman" w:hAnsi="Times New Roman" w:cs="Times New Roman"/>
          <w:color w:val="000000" w:themeColor="text1"/>
          <w:sz w:val="24"/>
          <w:szCs w:val="24"/>
        </w:rPr>
      </w:pPr>
    </w:p>
    <w:p w14:paraId="6C78BBA7" w14:textId="77777777" w:rsidR="007E0C9E" w:rsidRPr="006E40F9" w:rsidRDefault="007E0C9E" w:rsidP="00D867AB">
      <w:pPr>
        <w:spacing w:line="480" w:lineRule="auto"/>
        <w:rPr>
          <w:rFonts w:ascii="Times New Roman" w:hAnsi="Times New Roman" w:cs="Times New Roman"/>
          <w:color w:val="000000" w:themeColor="text1"/>
          <w:sz w:val="24"/>
          <w:szCs w:val="24"/>
        </w:rPr>
      </w:pPr>
    </w:p>
    <w:p w14:paraId="6D690D04" w14:textId="77777777" w:rsidR="007E0C9E" w:rsidRPr="006E40F9" w:rsidRDefault="007E0C9E" w:rsidP="00D867AB">
      <w:pPr>
        <w:spacing w:line="480" w:lineRule="auto"/>
        <w:rPr>
          <w:rFonts w:ascii="Times New Roman" w:hAnsi="Times New Roman" w:cs="Times New Roman"/>
          <w:color w:val="000000" w:themeColor="text1"/>
          <w:sz w:val="24"/>
          <w:szCs w:val="24"/>
        </w:rPr>
      </w:pPr>
    </w:p>
    <w:p w14:paraId="06B28F48" w14:textId="77777777" w:rsidR="00052F58" w:rsidRPr="006E40F9" w:rsidRDefault="00052F58" w:rsidP="00D867AB">
      <w:pPr>
        <w:spacing w:line="480" w:lineRule="auto"/>
        <w:rPr>
          <w:rFonts w:ascii="Times New Roman" w:hAnsi="Times New Roman" w:cs="Times New Roman"/>
          <w:color w:val="000000" w:themeColor="text1"/>
          <w:sz w:val="24"/>
          <w:szCs w:val="24"/>
        </w:rPr>
      </w:pPr>
    </w:p>
    <w:p w14:paraId="3C88FB9B" w14:textId="77777777" w:rsidR="006E40F9" w:rsidRPr="006E40F9" w:rsidRDefault="006E40F9" w:rsidP="000431E3">
      <w:pPr>
        <w:spacing w:line="480" w:lineRule="auto"/>
        <w:jc w:val="center"/>
        <w:rPr>
          <w:rFonts w:ascii="Times New Roman" w:hAnsi="Times New Roman" w:cs="Times New Roman"/>
          <w:b/>
          <w:bCs/>
          <w:color w:val="000000" w:themeColor="text1"/>
          <w:sz w:val="24"/>
          <w:szCs w:val="24"/>
        </w:rPr>
      </w:pPr>
      <w:r w:rsidRPr="006E40F9">
        <w:rPr>
          <w:rFonts w:ascii="Times New Roman" w:hAnsi="Times New Roman" w:cs="Times New Roman"/>
          <w:b/>
          <w:bCs/>
          <w:color w:val="000000" w:themeColor="text1"/>
          <w:sz w:val="24"/>
          <w:szCs w:val="24"/>
        </w:rPr>
        <w:t>DNA Genetic Testing and 23andMe: Health, Uses, and Concerns</w:t>
      </w:r>
    </w:p>
    <w:p w14:paraId="43259186" w14:textId="01D3FC76" w:rsidR="007E0C9E" w:rsidRPr="006E40F9" w:rsidRDefault="00000000" w:rsidP="000431E3">
      <w:pPr>
        <w:spacing w:line="480" w:lineRule="auto"/>
        <w:jc w:val="center"/>
        <w:rPr>
          <w:rFonts w:ascii="Times New Roman" w:hAnsi="Times New Roman" w:cs="Times New Roman"/>
          <w:color w:val="000000" w:themeColor="text1"/>
          <w:sz w:val="24"/>
          <w:szCs w:val="24"/>
        </w:rPr>
      </w:pPr>
      <w:r w:rsidRPr="006E40F9">
        <w:rPr>
          <w:rFonts w:ascii="Times New Roman" w:hAnsi="Times New Roman" w:cs="Times New Roman"/>
          <w:color w:val="000000" w:themeColor="text1"/>
          <w:sz w:val="24"/>
          <w:szCs w:val="24"/>
        </w:rPr>
        <w:t>Bradley Johnson</w:t>
      </w:r>
      <w:r w:rsidRPr="006E40F9">
        <w:rPr>
          <w:rFonts w:ascii="Times New Roman" w:hAnsi="Times New Roman" w:cs="Times New Roman"/>
          <w:color w:val="000000" w:themeColor="text1"/>
          <w:sz w:val="24"/>
          <w:szCs w:val="24"/>
        </w:rPr>
        <w:br/>
      </w:r>
      <w:r w:rsidR="007E0C9E" w:rsidRPr="006E40F9">
        <w:rPr>
          <w:rFonts w:ascii="Times New Roman" w:hAnsi="Times New Roman" w:cs="Times New Roman"/>
          <w:color w:val="000000" w:themeColor="text1"/>
          <w:sz w:val="24"/>
          <w:szCs w:val="24"/>
        </w:rPr>
        <w:t>ITAI 4375</w:t>
      </w:r>
    </w:p>
    <w:p w14:paraId="785F078C" w14:textId="2320FA0D" w:rsidR="007E0C9E" w:rsidRPr="006E40F9" w:rsidRDefault="007E0C9E" w:rsidP="000431E3">
      <w:pPr>
        <w:spacing w:line="480" w:lineRule="auto"/>
        <w:jc w:val="center"/>
        <w:rPr>
          <w:rStyle w:val="Strong"/>
          <w:rFonts w:ascii="Times New Roman" w:hAnsi="Times New Roman" w:cs="Times New Roman"/>
          <w:b w:val="0"/>
          <w:bCs w:val="0"/>
          <w:color w:val="000000" w:themeColor="text1"/>
          <w:sz w:val="24"/>
          <w:szCs w:val="24"/>
        </w:rPr>
      </w:pPr>
      <w:r w:rsidRPr="006E40F9">
        <w:rPr>
          <w:rStyle w:val="Strong"/>
          <w:rFonts w:ascii="Times New Roman" w:hAnsi="Times New Roman" w:cs="Times New Roman"/>
          <w:b w:val="0"/>
          <w:bCs w:val="0"/>
          <w:color w:val="000000" w:themeColor="text1"/>
          <w:sz w:val="24"/>
          <w:szCs w:val="24"/>
        </w:rPr>
        <w:t>Professor Dr. Doreen Rosenstrauch</w:t>
      </w:r>
    </w:p>
    <w:p w14:paraId="27F79DAA" w14:textId="7F12B86A" w:rsidR="007E0C9E" w:rsidRPr="006E40F9" w:rsidRDefault="00FA4D2E" w:rsidP="000431E3">
      <w:pPr>
        <w:spacing w:line="480" w:lineRule="auto"/>
        <w:jc w:val="center"/>
        <w:rPr>
          <w:rStyle w:val="Strong"/>
          <w:rFonts w:ascii="Times New Roman" w:hAnsi="Times New Roman" w:cs="Times New Roman"/>
          <w:b w:val="0"/>
          <w:bCs w:val="0"/>
          <w:color w:val="000000" w:themeColor="text1"/>
          <w:sz w:val="24"/>
          <w:szCs w:val="24"/>
        </w:rPr>
      </w:pPr>
      <w:r w:rsidRPr="006E40F9">
        <w:rPr>
          <w:rStyle w:val="Strong"/>
          <w:rFonts w:ascii="Times New Roman" w:hAnsi="Times New Roman" w:cs="Times New Roman"/>
          <w:b w:val="0"/>
          <w:bCs w:val="0"/>
          <w:color w:val="000000" w:themeColor="text1"/>
          <w:sz w:val="24"/>
          <w:szCs w:val="24"/>
        </w:rPr>
        <w:t>2</w:t>
      </w:r>
      <w:r w:rsidR="006E40F9" w:rsidRPr="006E40F9">
        <w:rPr>
          <w:rStyle w:val="Strong"/>
          <w:rFonts w:ascii="Times New Roman" w:hAnsi="Times New Roman" w:cs="Times New Roman"/>
          <w:b w:val="0"/>
          <w:bCs w:val="0"/>
          <w:color w:val="000000" w:themeColor="text1"/>
          <w:sz w:val="24"/>
          <w:szCs w:val="24"/>
        </w:rPr>
        <w:t>7</w:t>
      </w:r>
      <w:r w:rsidR="00B71EEE" w:rsidRPr="006E40F9">
        <w:rPr>
          <w:rStyle w:val="Strong"/>
          <w:rFonts w:ascii="Times New Roman" w:hAnsi="Times New Roman" w:cs="Times New Roman"/>
          <w:b w:val="0"/>
          <w:bCs w:val="0"/>
          <w:color w:val="000000" w:themeColor="text1"/>
          <w:sz w:val="24"/>
          <w:szCs w:val="24"/>
        </w:rPr>
        <w:t xml:space="preserve"> February</w:t>
      </w:r>
      <w:r w:rsidR="007E0C9E" w:rsidRPr="006E40F9">
        <w:rPr>
          <w:rStyle w:val="Strong"/>
          <w:rFonts w:ascii="Times New Roman" w:hAnsi="Times New Roman" w:cs="Times New Roman"/>
          <w:b w:val="0"/>
          <w:bCs w:val="0"/>
          <w:color w:val="000000" w:themeColor="text1"/>
          <w:sz w:val="24"/>
          <w:szCs w:val="24"/>
        </w:rPr>
        <w:t xml:space="preserve"> 2026</w:t>
      </w:r>
    </w:p>
    <w:p w14:paraId="6E513514" w14:textId="77777777" w:rsidR="007E0C9E" w:rsidRPr="006E40F9" w:rsidRDefault="007E0C9E" w:rsidP="00D867AB">
      <w:pPr>
        <w:spacing w:line="480" w:lineRule="auto"/>
        <w:rPr>
          <w:rFonts w:ascii="Times New Roman" w:hAnsi="Times New Roman" w:cs="Times New Roman"/>
          <w:color w:val="000000" w:themeColor="text1"/>
          <w:sz w:val="24"/>
          <w:szCs w:val="24"/>
        </w:rPr>
      </w:pPr>
    </w:p>
    <w:p w14:paraId="440EA487" w14:textId="77777777" w:rsidR="007E0C9E" w:rsidRPr="006E40F9" w:rsidRDefault="007E0C9E" w:rsidP="00D867AB">
      <w:pPr>
        <w:spacing w:line="480" w:lineRule="auto"/>
        <w:rPr>
          <w:rFonts w:ascii="Times New Roman" w:hAnsi="Times New Roman" w:cs="Times New Roman"/>
          <w:color w:val="000000" w:themeColor="text1"/>
          <w:sz w:val="24"/>
          <w:szCs w:val="24"/>
        </w:rPr>
      </w:pPr>
    </w:p>
    <w:p w14:paraId="5E3B0F49" w14:textId="77777777" w:rsidR="006E40F9" w:rsidRPr="006E40F9" w:rsidRDefault="00000000" w:rsidP="006E40F9">
      <w:pPr>
        <w:pStyle w:val="NormalWeb"/>
        <w:spacing w:line="480" w:lineRule="auto"/>
        <w:ind w:firstLine="720"/>
        <w:rPr>
          <w:color w:val="000000" w:themeColor="text1"/>
        </w:rPr>
      </w:pPr>
      <w:r w:rsidRPr="006E40F9">
        <w:rPr>
          <w:color w:val="000000" w:themeColor="text1"/>
        </w:rPr>
        <w:br w:type="page"/>
      </w:r>
      <w:r w:rsidR="006E40F9" w:rsidRPr="006E40F9">
        <w:rPr>
          <w:color w:val="000000" w:themeColor="text1"/>
        </w:rPr>
        <w:lastRenderedPageBreak/>
        <w:t xml:space="preserve">Genetic testing services like </w:t>
      </w:r>
      <w:r w:rsidR="006E40F9" w:rsidRPr="006E40F9">
        <w:rPr>
          <w:rStyle w:val="Strong"/>
          <w:color w:val="000000" w:themeColor="text1"/>
        </w:rPr>
        <w:t>23andMe</w:t>
      </w:r>
      <w:r w:rsidR="006E40F9" w:rsidRPr="006E40F9">
        <w:rPr>
          <w:color w:val="000000" w:themeColor="text1"/>
        </w:rPr>
        <w:t xml:space="preserve"> let people learn about their DNA by analyzing a saliva sample. These tests can give information about a person’s </w:t>
      </w:r>
      <w:r w:rsidR="006E40F9" w:rsidRPr="006E40F9">
        <w:rPr>
          <w:rStyle w:val="Strong"/>
          <w:color w:val="000000" w:themeColor="text1"/>
        </w:rPr>
        <w:t>ancestry, carrier status for inherited conditions, and potential health risks</w:t>
      </w:r>
      <w:r w:rsidR="006E40F9" w:rsidRPr="006E40F9">
        <w:rPr>
          <w:color w:val="000000" w:themeColor="text1"/>
        </w:rPr>
        <w:t xml:space="preserve">. The results show if a person has genetic variants that might increase their risk for certain diseases, but they </w:t>
      </w:r>
      <w:r w:rsidR="006E40F9" w:rsidRPr="006E40F9">
        <w:rPr>
          <w:rStyle w:val="Strong"/>
          <w:color w:val="000000" w:themeColor="text1"/>
        </w:rPr>
        <w:t>cannot predict with certainty</w:t>
      </w:r>
      <w:r w:rsidR="006E40F9" w:rsidRPr="006E40F9">
        <w:rPr>
          <w:color w:val="000000" w:themeColor="text1"/>
        </w:rPr>
        <w:t xml:space="preserve"> if someone will get a disease (23andMe Customer Care, 2026).</w:t>
      </w:r>
    </w:p>
    <w:p w14:paraId="424F428B" w14:textId="424202BD" w:rsidR="006E40F9" w:rsidRPr="006E40F9" w:rsidRDefault="006E40F9" w:rsidP="006E40F9">
      <w:pPr>
        <w:pStyle w:val="NormalWeb"/>
        <w:spacing w:line="480" w:lineRule="auto"/>
        <w:ind w:firstLine="720"/>
        <w:rPr>
          <w:color w:val="000000" w:themeColor="text1"/>
        </w:rPr>
      </w:pPr>
      <w:r w:rsidRPr="006E40F9">
        <w:rPr>
          <w:color w:val="000000" w:themeColor="text1"/>
        </w:rPr>
        <w:t xml:space="preserve">The data from 23andMe can help people make better health decisions. For example, someone who learns they are at higher risk for a condition may </w:t>
      </w:r>
      <w:r w:rsidRPr="006E40F9">
        <w:rPr>
          <w:rStyle w:val="Strong"/>
          <w:color w:val="000000" w:themeColor="text1"/>
        </w:rPr>
        <w:t>talk with a doctor, get regular screenings, or take preventive steps</w:t>
      </w:r>
      <w:r w:rsidRPr="006E40F9">
        <w:rPr>
          <w:color w:val="000000" w:themeColor="text1"/>
        </w:rPr>
        <w:t>. Research shows that sharing genetic results with healthcare providers can lead to useful advice and actions to improve health (23andMe Research, 2026).</w:t>
      </w:r>
      <w:r w:rsidRPr="006E40F9">
        <w:rPr>
          <w:color w:val="000000" w:themeColor="text1"/>
        </w:rPr>
        <w:t xml:space="preserve"> </w:t>
      </w:r>
      <w:r w:rsidRPr="006E40F9">
        <w:rPr>
          <w:color w:val="000000" w:themeColor="text1"/>
        </w:rPr>
        <w:t xml:space="preserve">Even though genetic testing can be helpful, there are </w:t>
      </w:r>
      <w:r w:rsidRPr="006E40F9">
        <w:rPr>
          <w:rStyle w:val="Strong"/>
          <w:color w:val="000000" w:themeColor="text1"/>
        </w:rPr>
        <w:t>important concerns</w:t>
      </w:r>
      <w:r w:rsidRPr="006E40F9">
        <w:rPr>
          <w:color w:val="000000" w:themeColor="text1"/>
        </w:rPr>
        <w:t xml:space="preserve">. Genetic data is </w:t>
      </w:r>
      <w:r w:rsidRPr="006E40F9">
        <w:rPr>
          <w:rStyle w:val="Strong"/>
          <w:color w:val="000000" w:themeColor="text1"/>
        </w:rPr>
        <w:t>personal and unique</w:t>
      </w:r>
      <w:r w:rsidRPr="006E40F9">
        <w:rPr>
          <w:color w:val="000000" w:themeColor="text1"/>
        </w:rPr>
        <w:t xml:space="preserve">, so privacy is a major issue. People worry about how their DNA information is stored, shared, or sold. There is also the risk of </w:t>
      </w:r>
      <w:r w:rsidRPr="006E40F9">
        <w:rPr>
          <w:rStyle w:val="Strong"/>
          <w:color w:val="000000" w:themeColor="text1"/>
        </w:rPr>
        <w:t>genetic discrimination</w:t>
      </w:r>
      <w:r w:rsidRPr="006E40F9">
        <w:rPr>
          <w:color w:val="000000" w:themeColor="text1"/>
        </w:rPr>
        <w:t>, such as affecting insurance or employment, even though some laws provide protection (Hendricks-Sturrup &amp; Lu, 2019). Events like 23andMe filing for bankruptcy in 2025 showed how sensitive this data can be, because states had to act to prevent it from being sold without permission (AP News, 2025).</w:t>
      </w:r>
    </w:p>
    <w:p w14:paraId="75B89CCB" w14:textId="5599FE73" w:rsidR="006E40F9" w:rsidRPr="006E40F9" w:rsidRDefault="006E40F9" w:rsidP="006E40F9">
      <w:pPr>
        <w:pStyle w:val="NormalWeb"/>
        <w:spacing w:line="480" w:lineRule="auto"/>
        <w:ind w:firstLine="720"/>
        <w:rPr>
          <w:color w:val="000000" w:themeColor="text1"/>
        </w:rPr>
      </w:pPr>
      <w:r w:rsidRPr="006E40F9">
        <w:rPr>
          <w:color w:val="000000" w:themeColor="text1"/>
        </w:rPr>
        <w:t>Overall</w:t>
      </w:r>
      <w:r w:rsidRPr="006E40F9">
        <w:rPr>
          <w:color w:val="000000" w:themeColor="text1"/>
        </w:rPr>
        <w:t xml:space="preserve">, 23andMe and similar genetic tests are powerful tools for learning about health and ancestry. They can help people take preventive health steps and contribute to research, but they also </w:t>
      </w:r>
      <w:r w:rsidRPr="006E40F9">
        <w:rPr>
          <w:rStyle w:val="Strong"/>
          <w:color w:val="000000" w:themeColor="text1"/>
        </w:rPr>
        <w:t>require careful use and strong privacy protections</w:t>
      </w:r>
      <w:r w:rsidRPr="006E40F9">
        <w:rPr>
          <w:color w:val="000000" w:themeColor="text1"/>
        </w:rPr>
        <w:t>. Balancing the benefits with ethical concerns is important as genetic testing becomes more common.</w:t>
      </w:r>
    </w:p>
    <w:p w14:paraId="42CF5DC6" w14:textId="466410D5" w:rsidR="00FA4D2E" w:rsidRPr="006E40F9" w:rsidRDefault="00FA4D2E" w:rsidP="006E40F9">
      <w:pPr>
        <w:spacing w:line="480" w:lineRule="auto"/>
        <w:rPr>
          <w:rFonts w:ascii="Times New Roman" w:hAnsi="Times New Roman" w:cs="Times New Roman"/>
          <w:color w:val="000000" w:themeColor="text1"/>
          <w:sz w:val="24"/>
          <w:szCs w:val="24"/>
        </w:rPr>
      </w:pPr>
    </w:p>
    <w:p w14:paraId="5605978A" w14:textId="11FA60FE" w:rsidR="006E40F9" w:rsidRPr="006E40F9" w:rsidRDefault="006E40F9" w:rsidP="006E40F9">
      <w:pPr>
        <w:rPr>
          <w:rFonts w:ascii="Times New Roman" w:hAnsi="Times New Roman" w:cs="Times New Roman"/>
          <w:color w:val="000000" w:themeColor="text1"/>
          <w:sz w:val="24"/>
          <w:szCs w:val="24"/>
        </w:rPr>
      </w:pPr>
    </w:p>
    <w:p w14:paraId="2F937DCC" w14:textId="24EEF8C5" w:rsidR="006E40F9" w:rsidRPr="006E40F9" w:rsidRDefault="006E40F9" w:rsidP="006E40F9">
      <w:pPr>
        <w:pStyle w:val="Heading2"/>
        <w:rPr>
          <w:rFonts w:ascii="Times New Roman" w:hAnsi="Times New Roman" w:cs="Times New Roman"/>
          <w:color w:val="000000" w:themeColor="text1"/>
          <w:sz w:val="24"/>
          <w:szCs w:val="24"/>
        </w:rPr>
      </w:pPr>
      <w:r w:rsidRPr="006E40F9">
        <w:rPr>
          <w:rStyle w:val="Strong"/>
          <w:rFonts w:ascii="Times New Roman" w:hAnsi="Times New Roman" w:cs="Times New Roman"/>
          <w:b/>
          <w:bCs/>
          <w:color w:val="000000" w:themeColor="text1"/>
          <w:sz w:val="24"/>
          <w:szCs w:val="24"/>
        </w:rPr>
        <w:t>References</w:t>
      </w:r>
    </w:p>
    <w:p w14:paraId="484DCDD4" w14:textId="77777777" w:rsidR="006E40F9" w:rsidRPr="006E40F9" w:rsidRDefault="006E40F9" w:rsidP="006E40F9">
      <w:pPr>
        <w:pStyle w:val="NormalWeb"/>
        <w:rPr>
          <w:color w:val="000000" w:themeColor="text1"/>
        </w:rPr>
      </w:pPr>
      <w:r w:rsidRPr="006E40F9">
        <w:rPr>
          <w:color w:val="000000" w:themeColor="text1"/>
        </w:rPr>
        <w:t xml:space="preserve">Hendricks-Sturrup, R. M., &amp; Lu, C. Y. (2019). </w:t>
      </w:r>
      <w:r w:rsidRPr="006E40F9">
        <w:rPr>
          <w:rStyle w:val="Emphasis"/>
          <w:rFonts w:eastAsiaTheme="majorEastAsia"/>
          <w:color w:val="000000" w:themeColor="text1"/>
        </w:rPr>
        <w:t>Direct-to-consumer genetic testing data privacy</w:t>
      </w:r>
      <w:r w:rsidRPr="006E40F9">
        <w:rPr>
          <w:color w:val="000000" w:themeColor="text1"/>
        </w:rPr>
        <w:t xml:space="preserve">. </w:t>
      </w:r>
      <w:r w:rsidRPr="006E40F9">
        <w:rPr>
          <w:rStyle w:val="Emphasis"/>
          <w:rFonts w:eastAsiaTheme="majorEastAsia"/>
          <w:color w:val="000000" w:themeColor="text1"/>
        </w:rPr>
        <w:t>Journal of Law, Medicine &amp; Ethics</w:t>
      </w:r>
      <w:r w:rsidRPr="006E40F9">
        <w:rPr>
          <w:color w:val="000000" w:themeColor="text1"/>
        </w:rPr>
        <w:t xml:space="preserve">. </w:t>
      </w:r>
      <w:hyperlink r:id="rId8" w:history="1">
        <w:r w:rsidRPr="006E40F9">
          <w:rPr>
            <w:rStyle w:val="Hyperlink"/>
            <w:rFonts w:eastAsiaTheme="majorEastAsia"/>
            <w:color w:val="000000" w:themeColor="text1"/>
          </w:rPr>
          <w:t>https://www.ncbi.nlm.nih.gov/pmc/articles/PMC6616921/</w:t>
        </w:r>
      </w:hyperlink>
    </w:p>
    <w:p w14:paraId="6BDE2C3C" w14:textId="77777777" w:rsidR="006E40F9" w:rsidRPr="006E40F9" w:rsidRDefault="006E40F9" w:rsidP="006E40F9">
      <w:pPr>
        <w:pStyle w:val="NormalWeb"/>
        <w:rPr>
          <w:color w:val="000000" w:themeColor="text1"/>
        </w:rPr>
      </w:pPr>
      <w:r w:rsidRPr="006E40F9">
        <w:rPr>
          <w:color w:val="000000" w:themeColor="text1"/>
        </w:rPr>
        <w:t xml:space="preserve">23andMe Customer Care. (2026). </w:t>
      </w:r>
      <w:r w:rsidRPr="006E40F9">
        <w:rPr>
          <w:rStyle w:val="Emphasis"/>
          <w:rFonts w:eastAsiaTheme="majorEastAsia"/>
          <w:color w:val="000000" w:themeColor="text1"/>
        </w:rPr>
        <w:t>What health-related information can I learn from 23andMe?</w:t>
      </w:r>
      <w:r w:rsidRPr="006E40F9">
        <w:rPr>
          <w:color w:val="000000" w:themeColor="text1"/>
        </w:rPr>
        <w:t xml:space="preserve"> 23andMe. </w:t>
      </w:r>
      <w:hyperlink r:id="rId9" w:history="1">
        <w:r w:rsidRPr="006E40F9">
          <w:rPr>
            <w:rStyle w:val="Hyperlink"/>
            <w:rFonts w:eastAsiaTheme="majorEastAsia"/>
            <w:color w:val="000000" w:themeColor="text1"/>
          </w:rPr>
          <w:t>https://customercare.23andme.com/hc/en-us/articles/115013843028-What-Health-Related-Information-Can-I-Learn-From-23andMe</w:t>
        </w:r>
      </w:hyperlink>
    </w:p>
    <w:p w14:paraId="4553DB0E" w14:textId="77777777" w:rsidR="006E40F9" w:rsidRPr="006E40F9" w:rsidRDefault="006E40F9" w:rsidP="006E40F9">
      <w:pPr>
        <w:pStyle w:val="NormalWeb"/>
        <w:rPr>
          <w:color w:val="000000" w:themeColor="text1"/>
        </w:rPr>
      </w:pPr>
      <w:r w:rsidRPr="006E40F9">
        <w:rPr>
          <w:color w:val="000000" w:themeColor="text1"/>
        </w:rPr>
        <w:t xml:space="preserve">23andMe. (2026). </w:t>
      </w:r>
      <w:r w:rsidRPr="006E40F9">
        <w:rPr>
          <w:rStyle w:val="Emphasis"/>
          <w:rFonts w:eastAsiaTheme="majorEastAsia"/>
          <w:color w:val="000000" w:themeColor="text1"/>
        </w:rPr>
        <w:t xml:space="preserve">New 23andMe research: Members are </w:t>
      </w:r>
      <w:proofErr w:type="gramStart"/>
      <w:r w:rsidRPr="006E40F9">
        <w:rPr>
          <w:rStyle w:val="Emphasis"/>
          <w:rFonts w:eastAsiaTheme="majorEastAsia"/>
          <w:color w:val="000000" w:themeColor="text1"/>
        </w:rPr>
        <w:t>taking action</w:t>
      </w:r>
      <w:proofErr w:type="gramEnd"/>
      <w:r w:rsidRPr="006E40F9">
        <w:rPr>
          <w:rStyle w:val="Emphasis"/>
          <w:rFonts w:eastAsiaTheme="majorEastAsia"/>
          <w:color w:val="000000" w:themeColor="text1"/>
        </w:rPr>
        <w:t xml:space="preserve"> on their health</w:t>
      </w:r>
      <w:r w:rsidRPr="006E40F9">
        <w:rPr>
          <w:color w:val="000000" w:themeColor="text1"/>
        </w:rPr>
        <w:t xml:space="preserve">. </w:t>
      </w:r>
      <w:hyperlink r:id="rId10" w:history="1">
        <w:r w:rsidRPr="006E40F9">
          <w:rPr>
            <w:rStyle w:val="Hyperlink"/>
            <w:rFonts w:eastAsiaTheme="majorEastAsia"/>
            <w:color w:val="000000" w:themeColor="text1"/>
          </w:rPr>
          <w:t>https://blog.23andme.com/articles/23andme-members-are-taking-action-on-their-health</w:t>
        </w:r>
      </w:hyperlink>
    </w:p>
    <w:p w14:paraId="3D077915" w14:textId="77777777" w:rsidR="006E40F9" w:rsidRPr="006E40F9" w:rsidRDefault="006E40F9" w:rsidP="006E40F9">
      <w:pPr>
        <w:pStyle w:val="NormalWeb"/>
        <w:rPr>
          <w:color w:val="000000" w:themeColor="text1"/>
        </w:rPr>
      </w:pPr>
      <w:r w:rsidRPr="006E40F9">
        <w:rPr>
          <w:color w:val="000000" w:themeColor="text1"/>
        </w:rPr>
        <w:t xml:space="preserve">AP News. (2025, June 9). </w:t>
      </w:r>
      <w:r w:rsidRPr="006E40F9">
        <w:rPr>
          <w:rStyle w:val="Emphasis"/>
          <w:rFonts w:eastAsiaTheme="majorEastAsia"/>
          <w:color w:val="000000" w:themeColor="text1"/>
        </w:rPr>
        <w:t>Dozens of states sue to block the sale of 23andMe personal genetic data without customer consent</w:t>
      </w:r>
      <w:r w:rsidRPr="006E40F9">
        <w:rPr>
          <w:color w:val="000000" w:themeColor="text1"/>
        </w:rPr>
        <w:t xml:space="preserve">. </w:t>
      </w:r>
      <w:hyperlink r:id="rId11" w:history="1">
        <w:r w:rsidRPr="006E40F9">
          <w:rPr>
            <w:rStyle w:val="Hyperlink"/>
            <w:rFonts w:eastAsiaTheme="majorEastAsia"/>
            <w:color w:val="000000" w:themeColor="text1"/>
          </w:rPr>
          <w:t>https://apnews.com/article/844cc5d373205b33ec4aef16b73a49c6</w:t>
        </w:r>
      </w:hyperlink>
    </w:p>
    <w:p w14:paraId="62BD0207" w14:textId="77777777" w:rsidR="006E40F9" w:rsidRPr="006E40F9" w:rsidRDefault="006E40F9" w:rsidP="006E40F9">
      <w:pPr>
        <w:pStyle w:val="NormalWeb"/>
        <w:rPr>
          <w:color w:val="000000" w:themeColor="text1"/>
        </w:rPr>
      </w:pPr>
      <w:r w:rsidRPr="006E40F9">
        <w:rPr>
          <w:color w:val="000000" w:themeColor="text1"/>
        </w:rPr>
        <w:t xml:space="preserve">Population genomics. (2025). </w:t>
      </w:r>
      <w:r w:rsidRPr="006E40F9">
        <w:rPr>
          <w:rStyle w:val="Emphasis"/>
          <w:rFonts w:eastAsiaTheme="majorEastAsia"/>
          <w:color w:val="000000" w:themeColor="text1"/>
        </w:rPr>
        <w:t>Genomic data, privacy and ethical concerns</w:t>
      </w:r>
      <w:r w:rsidRPr="006E40F9">
        <w:rPr>
          <w:color w:val="000000" w:themeColor="text1"/>
        </w:rPr>
        <w:t xml:space="preserve">. </w:t>
      </w:r>
      <w:r w:rsidRPr="006E40F9">
        <w:rPr>
          <w:rStyle w:val="Emphasis"/>
          <w:rFonts w:eastAsiaTheme="majorEastAsia"/>
          <w:color w:val="000000" w:themeColor="text1"/>
        </w:rPr>
        <w:t>Population Genomics Review</w:t>
      </w:r>
      <w:r w:rsidRPr="006E40F9">
        <w:rPr>
          <w:color w:val="000000" w:themeColor="text1"/>
        </w:rPr>
        <w:t xml:space="preserve">. </w:t>
      </w:r>
      <w:hyperlink r:id="rId12" w:history="1">
        <w:r w:rsidRPr="006E40F9">
          <w:rPr>
            <w:rStyle w:val="Hyperlink"/>
            <w:rFonts w:eastAsiaTheme="majorEastAsia"/>
            <w:color w:val="000000" w:themeColor="text1"/>
          </w:rPr>
          <w:t>https://en.wikipedia.org/wiki/Population_genomics</w:t>
        </w:r>
      </w:hyperlink>
    </w:p>
    <w:p w14:paraId="0803B9DD" w14:textId="7ECA6A5D" w:rsidR="006E40F9" w:rsidRPr="006E40F9" w:rsidRDefault="006E40F9" w:rsidP="006E40F9">
      <w:pPr>
        <w:rPr>
          <w:rFonts w:ascii="Times New Roman" w:hAnsi="Times New Roman" w:cs="Times New Roman"/>
          <w:color w:val="000000" w:themeColor="text1"/>
          <w:sz w:val="24"/>
          <w:szCs w:val="24"/>
        </w:rPr>
      </w:pPr>
    </w:p>
    <w:p w14:paraId="551188E5" w14:textId="77777777" w:rsidR="006E40F9" w:rsidRPr="006E40F9" w:rsidRDefault="006E40F9" w:rsidP="006E40F9">
      <w:pPr>
        <w:spacing w:line="480" w:lineRule="auto"/>
        <w:rPr>
          <w:rFonts w:ascii="Times New Roman" w:hAnsi="Times New Roman" w:cs="Times New Roman"/>
          <w:color w:val="000000" w:themeColor="text1"/>
          <w:sz w:val="24"/>
          <w:szCs w:val="24"/>
        </w:rPr>
      </w:pPr>
    </w:p>
    <w:sectPr w:rsidR="006E40F9" w:rsidRPr="006E40F9" w:rsidSect="00034616">
      <w:headerReference w:type="even" r:id="rId13"/>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4DB25" w14:textId="77777777" w:rsidR="00743244" w:rsidRDefault="00743244" w:rsidP="007E0C9E">
      <w:pPr>
        <w:spacing w:after="0" w:line="240" w:lineRule="auto"/>
      </w:pPr>
      <w:r>
        <w:separator/>
      </w:r>
    </w:p>
  </w:endnote>
  <w:endnote w:type="continuationSeparator" w:id="0">
    <w:p w14:paraId="3CF2174F" w14:textId="77777777" w:rsidR="00743244" w:rsidRDefault="00743244"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5F21" w14:textId="77777777" w:rsidR="00743244" w:rsidRDefault="00743244" w:rsidP="007E0C9E">
      <w:pPr>
        <w:spacing w:after="0" w:line="240" w:lineRule="auto"/>
      </w:pPr>
      <w:r>
        <w:separator/>
      </w:r>
    </w:p>
  </w:footnote>
  <w:footnote w:type="continuationSeparator" w:id="0">
    <w:p w14:paraId="73F1320F" w14:textId="77777777" w:rsidR="00743244" w:rsidRDefault="00743244"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7088"/>
      <w:docPartObj>
        <w:docPartGallery w:val="Page Numbers (Top of Page)"/>
        <w:docPartUnique/>
      </w:docPartObj>
    </w:sdtPr>
    <w:sdtContent>
      <w:p w14:paraId="0F74D28F" w14:textId="00361F3E"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F5DA12" w14:textId="2A2126CD" w:rsidR="006E070D" w:rsidRPr="007E0C9E" w:rsidRDefault="00B71EEE" w:rsidP="007E0C9E">
    <w:pPr>
      <w:pStyle w:val="Header"/>
      <w:ind w:right="360"/>
      <w:rPr>
        <w:rFonts w:ascii="Times New Roman" w:hAnsi="Times New Roman" w:cs="Times New Roman"/>
        <w:bCs/>
        <w:sz w:val="24"/>
        <w:szCs w:val="24"/>
      </w:rPr>
    </w:pPr>
    <w:r>
      <w:rPr>
        <w:rFonts w:ascii="Times New Roman" w:hAnsi="Times New Roman" w:cs="Times New Roman"/>
        <w:bCs/>
        <w:sz w:val="24"/>
        <w:szCs w:val="24"/>
      </w:rPr>
      <w:t>A0</w:t>
    </w:r>
    <w:r w:rsidR="006E40F9">
      <w:rPr>
        <w:rFonts w:ascii="Times New Roman" w:hAnsi="Times New Roman" w:cs="Times New Roman"/>
        <w:bCs/>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E3"/>
    <w:rsid w:val="00052F58"/>
    <w:rsid w:val="0006063C"/>
    <w:rsid w:val="0015074B"/>
    <w:rsid w:val="0029639D"/>
    <w:rsid w:val="00326F90"/>
    <w:rsid w:val="00425B9E"/>
    <w:rsid w:val="005E70AB"/>
    <w:rsid w:val="00643DFC"/>
    <w:rsid w:val="006E070D"/>
    <w:rsid w:val="006E40F9"/>
    <w:rsid w:val="00743244"/>
    <w:rsid w:val="007E0C9E"/>
    <w:rsid w:val="008F32CC"/>
    <w:rsid w:val="00A474FB"/>
    <w:rsid w:val="00AA1D8D"/>
    <w:rsid w:val="00B4438D"/>
    <w:rsid w:val="00B47730"/>
    <w:rsid w:val="00B56630"/>
    <w:rsid w:val="00B71EEE"/>
    <w:rsid w:val="00CB0664"/>
    <w:rsid w:val="00D761BB"/>
    <w:rsid w:val="00D867AB"/>
    <w:rsid w:val="00E31676"/>
    <w:rsid w:val="00E66BDA"/>
    <w:rsid w:val="00EE2E22"/>
    <w:rsid w:val="00F82480"/>
    <w:rsid w:val="00F96995"/>
    <w:rsid w:val="00FA4D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 w:type="paragraph" w:styleId="NormalWeb">
    <w:name w:val="Normal (Web)"/>
    <w:basedOn w:val="Normal"/>
    <w:uiPriority w:val="99"/>
    <w:semiHidden/>
    <w:unhideWhenUsed/>
    <w:rsid w:val="006E40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E40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6616921/"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Population_genomi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news.com/article/844cc5d373205b33ec4aef16b73a49c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log.23andme.com/articles/23andme-members-are-taking-action-on-their-health" TargetMode="External"/><Relationship Id="rId4" Type="http://schemas.openxmlformats.org/officeDocument/2006/relationships/settings" Target="settings.xml"/><Relationship Id="rId9" Type="http://schemas.openxmlformats.org/officeDocument/2006/relationships/hyperlink" Target="https://customercare.23andme.com/hc/en-us/articles/115013843028-What-Health-Related-Information-Can-I-Learn-From-23andMe"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2026-02-27T17:05:00Z</dcterms:created>
  <dcterms:modified xsi:type="dcterms:W3CDTF">2026-02-27T17:05:00Z</dcterms:modified>
  <cp:category/>
</cp:coreProperties>
</file>