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  <w:jc w:val="center"/>
      </w:pPr>
      <w:r>
        <w:rPr>
          <w:b/>
          <w:color w:val="17365D"/>
          <w:sz w:val="44"/>
        </w:rPr>
        <w:t>东软电动汽车充电桩应用管理平台</w:t>
      </w:r>
    </w:p>
    <w:p>
      <w:pPr>
        <w:spacing w:after="360"/>
        <w:jc w:val="center"/>
      </w:pPr>
      <w:r>
        <w:rPr>
          <w:b/>
          <w:sz w:val="32"/>
        </w:rPr>
        <w:t>概要设计说明书（客户端程序逻辑与充电用户端 UI/UX）</w:t>
      </w:r>
    </w:p>
    <w:p>
      <w:pPr>
        <w:pStyle w:val="3"/>
        <w:keepNext/>
      </w:pPr>
      <w:r>
        <w:t>1 引言</w:t>
      </w: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本文档依据最终稿 v2 整理客户端逻辑概要，仅保留主要业务流程、一级模块和调用边界。UI 视觉细节、网络传输实现及后端设计由其他成员负责。</w:t>
      </w:r>
    </w:p>
    <w:p>
      <w:pPr>
        <w:spacing w:line="300" w:lineRule="auto" w:after="80"/>
      </w:pPr>
      <w:r>
        <w:t>本文档描述充电用户端的 UI/UX 概要设计，范围限定为用户端界面、页面导航、公共组件以及与后端的数据交互边界。PC 服务端、大数据大屏和机器学习模块不在本文档范围内。本文界面图为高保真概念稿，用于确认视觉与交互方向，不作为 .ui 文件实际运行截图。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</w:tblGrid>
      <w:tr>
        <w:trPr>
          <w:tblHeader w:val="true"/>
          <w:cantSplit/>
        </w:trPr>
        <w:tc>
          <w:tcPr>
            <w:tcW w:type="dxa" w:w="208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6192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Charger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代码和接口中“充电桩”的统一领域命名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requestId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请求关联标识，用于匹配响应并丢弃旧响应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operationId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启动、停止、结算、充值等变更操作的幂等标识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结果未知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无法确认变更请求结果时，必须查询状态，禁止直接重做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Qt Widgets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用户端 UI 技术路线，界面尺寸基准为 420 × 760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QSS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统一维护颜色、字体、边框、圆角与控件状态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QStackedWidget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主窗口中的页面堆叠和一级导航容器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QWebEngineView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加载腾讯地图 Web API，用于地图展示与导航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BackendClient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封装用户端与后端之间的请求、响应与状态通知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高保真概念稿</w:t>
            </w:r>
          </w:p>
        </w:tc>
        <w:tc>
          <w:tcPr>
            <w:tcW w:type="dxa" w:w="61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用于概要设计评审的界面效果图，不等同于运行截图</w:t>
            </w:r>
          </w:p>
        </w:tc>
      </w:tr>
    </w:tbl>
    <w:p/>
    <w:p>
      <w:pPr>
        <w:pStyle w:val="Heading1"/>
        <w:keepNext/>
      </w:pPr>
      <w:r>
        <w:rPr>
          <w:rFonts w:ascii="Times New Roman" w:hAnsi="Times New Roman" w:eastAsia="黑体"/>
          <w:b/>
          <w:color w:val="17365D"/>
          <w:sz w:val="30"/>
        </w:rPr>
        <w:t>2 关键模块程序设计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1F4D78"/>
          <w:sz w:val="26"/>
        </w:rPr>
        <w:t>2.1 一级模块与数据流</w:t>
      </w: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M1、M2、M3 只调用领域网络接口，不直接操作 Socket、序列化报文或管理连接；M4 负责跨模块流程协调。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336"/>
      </w:tblGrid>
      <w:tr>
        <w:trPr>
          <w:tblHeader w:val="true"/>
        </w:trPr>
        <w:tc>
          <w:tcPr>
            <w:tcW w:type="dxa" w:w="3096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6336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M1 用户身份与资料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手机号登录/自动注册、资料查询修改、会话退出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M2 Charger 与充电控制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腾讯地图、站点与 Charger 查询、预约、凭证校验、启动、实时数据、停止与恢复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M3 订单、结算与钱包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活动订单、订单详情、结算、历史订单、余额查询与模拟充值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M4 应用流程协调与共享契约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页面流转、跨模块用例、重复提交控制、统一错误提示、重启恢复和共享 DTO</w:t>
            </w:r>
          </w:p>
        </w:tc>
      </w:tr>
    </w:tbl>
    <w:p>
      <w:pPr>
        <w:spacing w:after="0" w:line="120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09160" cy="266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6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sz w:val="19"/>
        </w:rPr>
        <w:t>图 2-1 客户端逻辑模块架构</w:t>
      </w: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调用链固定为“业务模块 → 领域网络接口 → 网络传输模块”。网络模块按 requestId 回传异步结果，业务模块确认后更新状态。</w:t>
      </w:r>
    </w:p>
    <w:p>
      <w:pPr>
        <w:pStyle w:val="4"/>
        <w:keepNext/>
      </w:pPr>
      <w:r>
        <w:t>2.2 UI 模块架构</w:t>
      </w:r>
    </w:p>
    <w:p>
      <w:pPr>
        <w:spacing w:line="300" w:lineRule="auto" w:after="80"/>
      </w:pPr>
      <w:r>
        <w:t>界面层通过页面控制器调用统一的 BackendClient，不在页面类中直接拼接网络请求。后端协议、字段和错误码待后端接口文档确认，UI 层仅约定所需数据与反馈状态。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367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367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color w:val="555555"/>
          <w:sz w:val="18"/>
        </w:rPr>
        <w:t>图 2-2 充电用户端 UI 模块架构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88"/>
        <w:gridCol w:w="2160"/>
      </w:tblGrid>
      <w:tr>
        <w:trPr>
          <w:tblHeader w:val="true"/>
          <w:cantSplit/>
        </w:trPr>
        <w:tc>
          <w:tcPr>
            <w:tcW w:type="dxa" w:w="2232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388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216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后端交互边界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LoginPage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手机号登录界面、输入状态与反馈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登录/注册结果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HomePage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地图、当前位置和附近站点横向列表行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定位结果、附近站点列表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StationDetailPage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站点信息、状态摘要和站内充电桩列表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站点详情、充电桩状态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MapNavigationPage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地图路线展示和出行方式选择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地图参数；主要由 Web API 提供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ChargePages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充电确认、充电进行和结算界面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订单状态、实时充电数据、结算结果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ProfilePages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个人信息、钱包、订单及辅助入口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用户资料、余额、订单列表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BackendClient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统一封装请求、超时、错误映射和状态通知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协议及字段待后端确认</w:t>
            </w:r>
          </w:p>
        </w:tc>
      </w:tr>
    </w:tbl>
    <w:p/>
    <w:p>
      <w:pPr>
        <w:pStyle w:val="4"/>
        <w:keepNext/>
      </w:pPr>
      <w:r>
        <w:t>2.3 页面导航</w:t>
      </w:r>
    </w:p>
    <w:p>
      <w:pPr>
        <w:spacing w:line="300" w:lineRule="auto" w:after="80"/>
      </w:pPr>
      <w:r>
        <w:t>首页、充电、我的构成固定底部一级导航；站点详情、地图导航、充电确认、结算、资料、钱包和订单详情为二级页面，通过顶部返回按钮返回来源页面。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896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9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color w:val="555555"/>
          <w:sz w:val="18"/>
        </w:rPr>
        <w:t>图 2-3 充电用户端页面导航关系</w:t>
      </w:r>
    </w:p>
    <w:p>
      <w:pPr>
        <w:pStyle w:val="4"/>
        <w:keepNext/>
      </w:pPr>
      <w:r>
        <w:t>2.4 与后端的界面通信边界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104"/>
        <w:gridCol w:w="2376"/>
      </w:tblGrid>
      <w:tr>
        <w:trPr>
          <w:tblHeader w:val="true"/>
          <w:cantSplit/>
        </w:trPr>
        <w:tc>
          <w:tcPr>
            <w:tcW w:type="dxa" w:w="180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界面</w:t>
            </w:r>
          </w:p>
        </w:tc>
        <w:tc>
          <w:tcPr>
            <w:tcW w:type="dxa" w:w="4104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所需数据</w:t>
            </w:r>
          </w:p>
        </w:tc>
        <w:tc>
          <w:tcPr>
            <w:tcW w:type="dxa" w:w="2376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UI 反馈状态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登录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用户身份及登录结果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默认、输入、请求中、成功、失败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首页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位置、站点坐标、距离、价格、空闲数量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地图加载、列表加载、空数据、失败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站点详情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站点资料和充电桩状态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刷新、选中、不可预约、加载失败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充电相关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订单状态、功率、电量、时长、费用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等待、进行中、中断提示、完成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我的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头像、昵称、手机号、余额和订单摘要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加载、编辑、保存结果</w:t>
            </w:r>
          </w:p>
        </w:tc>
      </w:tr>
    </w:tbl>
    <w:p/>
    <w:p>
      <w:pPr>
        <w:pStyle w:val="4"/>
        <w:keepNext/>
      </w:pPr>
      <w:r>
        <w:t>2.5 关键异常与空状态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4031"/>
        <w:gridCol w:w="2232"/>
      </w:tblGrid>
      <w:tr>
        <w:trPr>
          <w:tblHeader w:val="true"/>
          <w:cantSplit/>
        </w:trPr>
        <w:tc>
          <w:tcPr>
            <w:tcW w:type="dxa" w:w="2015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031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界面处理</w:t>
            </w:r>
          </w:p>
        </w:tc>
        <w:tc>
          <w:tcPr>
            <w:tcW w:type="dxa" w:w="2232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提示方式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网络不可用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保留当前页面与已有数据，提供重试入口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页面内错误条或轻提示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数据加载中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使用骨架占位或加载指示，禁用重复操作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非阻塞加载状态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没有附近站点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地图保留当前位置，下方列表显示空状态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说明文字 + 重新定位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充电桩不可用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状态标签变灰/红，主操作按钮禁用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明确显示不可操作原因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请求失败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按钮恢复可用，保留用户输入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简洁错误说明 + 重试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重复点击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请求期间按钮进入忙碌状态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不重复弹窗或重复跳转</w:t>
            </w:r>
          </w:p>
        </w:tc>
      </w:tr>
    </w:tbl>
    <w:p/>
    <w:p>
      <w:pPr>
        <w:pStyle w:val="3"/>
        <w:keepNext/>
      </w:pPr>
      <w:r>
        <w:t>3 客户端关键业务流程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1F4D78"/>
          <w:sz w:val="26"/>
        </w:rPr>
        <w:t>3.1 主要业务流程</w:t>
      </w: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选定 Charger 后先检查活动订单和 Charger 状态；启动成功取得 orderId 后进入实时监测；停止成功后以服务端最终数据结算。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09160" cy="392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ing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92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sz w:val="19"/>
        </w:rPr>
        <w:t>图 3-1 充电核心流程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1F4D78"/>
          <w:sz w:val="26"/>
        </w:rPr>
        <w:t>3.2 腾讯地图主要流程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17720" cy="384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8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宋体"/>
          <w:sz w:val="19"/>
        </w:rPr>
        <w:t>图 3-2 腾讯地图查询与路线规划流程</w:t>
      </w: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采用 QWebEngineView 承载腾讯地图 JavaScript API，坐标统一使用 GCJ-02 的 latitude、longitude。地图或路线失败时保留站点文字列表和充电入口，不阻断充电主流程。</w:t>
      </w:r>
    </w:p>
    <w:p>
      <w:pPr>
        <w:pStyle w:val="4"/>
        <w:keepNext/>
      </w:pPr>
      <w:r>
        <w:t>3.3 关键交互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3240"/>
      </w:tblGrid>
      <w:tr>
        <w:trPr>
          <w:tblHeader w:val="true"/>
          <w:cantSplit/>
        </w:trPr>
        <w:tc>
          <w:tcPr>
            <w:tcW w:type="dxa" w:w="1944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096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用户操作</w:t>
            </w:r>
          </w:p>
        </w:tc>
        <w:tc>
          <w:tcPr>
            <w:tcW w:type="dxa" w:w="324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界面反馈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地图与列表联动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点击地图标识或站点列表行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对应标识和列表行同步选中，地图平移至目标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查看站点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点击站点列表行或进入箭头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进入站点详情，顶部提供返回入口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底部导航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点击首页、充电、我的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切换一级页面并保持选中状态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提交操作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点击登录、保存、确认等按钮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按钮进入忙碌状态；完成后显示成功或错误反馈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返回未保存页面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编辑内容后点击返回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显示简洁确认提示，防止修改丢失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空状态与失败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页面无数据或加载失败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保留页面结构，显示说明和重试入口</w:t>
            </w:r>
          </w:p>
        </w:tc>
      </w:tr>
    </w:tbl>
    <w:p/>
    <w:p>
      <w:pPr>
        <w:pStyle w:val="Heading1"/>
        <w:keepNext/>
      </w:pPr>
      <w:r>
        <w:rPr>
          <w:rFonts w:ascii="Times New Roman" w:hAnsi="Times New Roman" w:eastAsia="黑体"/>
          <w:b/>
          <w:color w:val="17365D"/>
          <w:sz w:val="30"/>
        </w:rPr>
        <w:t>4 网络传输模块接口</w:t>
      </w: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数据路径固定为“M1/M2/M3 → 领域网络接口 → 网络传输模块”。网络同学负责连接、序列化、协议映射和异步回调；本文不规定具体协议或后端处理。</w:t>
      </w:r>
    </w:p>
    <w:tbl>
      <w:tblPr>
        <w:tblStyle w:val="TableGrid"/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336"/>
      </w:tblGrid>
      <w:tr>
        <w:trPr>
          <w:tblHeader w:val="true"/>
        </w:trPr>
        <w:tc>
          <w:tcPr>
            <w:tcW w:type="dxa" w:w="3096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接口名</w:t>
            </w:r>
          </w:p>
        </w:tc>
        <w:tc>
          <w:tcPr>
            <w:tcW w:type="dxa" w:w="6336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INetworkTransport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管理连接生命周期，发送/取消异步请求并提供连接状态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INetworkObserver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通知连接状态变化、会话失效和服务端推送事件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IUserNetworkApi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承载登录、资料查询与修改请求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IChargerNetworkApi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承载站点、Charger 列表及状态查询请求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IChargingNetworkApi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承载凭证校验、预约、启动、实时数据、停止和恢复请求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IOrderNetworkApi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承载活动订单、详情、结算和历史订单请求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IWalletNetworkApi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承载余额查询、模拟充值及充值结果查询请求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IRecoveryNetworkApi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按 operationId 查询结果未知的业务操作状态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</w:pPr>
      <w:r>
        <w:rPr>
          <w:rFonts w:ascii="Times New Roman" w:hAnsi="Times New Roman" w:eastAsia="黑体"/>
          <w:b/>
          <w:color w:val="17365D"/>
          <w:sz w:val="30"/>
        </w:rPr>
        <w:t>5 四个模块主要接口</w:t>
      </w:r>
    </w:p>
    <w:tbl>
      <w:tblPr>
        <w:tblStyle w:val="TableGrid"/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5040"/>
      </w:tblGrid>
      <w:tr>
        <w:trPr>
          <w:tblHeader w:val="true"/>
        </w:trPr>
        <w:tc>
          <w:tcPr>
            <w:tcW w:type="dxa" w:w="936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3240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接口名</w:t>
            </w:r>
          </w:p>
        </w:tc>
        <w:tc>
          <w:tcPr>
            <w:tcW w:type="dxa" w:w="5040"/>
            <w:shd w:fill="D9E2F3" w:val="clear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M1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IUserService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登录、自动注册、资料维护和会话退出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M2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IChargerService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站点与 Charger 查询、筛选和选择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M2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IChargingService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凭证校验、预约、启动、实时数据、停止和恢复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M2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IMapService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地址解析、站点标记和驾车/步行路线展示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M3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IOrderService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活动订单、订单详情、结算和历史订单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M3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IWalletService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余额查询、模拟充值和余额更新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M4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IAppFlowCoordinator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跨模块页面流转和业务用例协调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M4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IPendingOperationStore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Times New Roman" w:hAnsi="Times New Roman" w:eastAsia="宋体"/>
                <w:sz w:val="18"/>
              </w:rPr>
              <w:t>保存并恢复待处理操作</w:t>
            </w:r>
          </w:p>
        </w:tc>
      </w:tr>
    </w:tbl>
    <w:p>
      <w:pPr>
        <w:spacing w:after="0" w:line="120" w:lineRule="auto"/>
      </w:pPr>
    </w:p>
    <w:p>
      <w:pPr>
        <w:spacing w:line="300" w:lineRule="auto" w:after="8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异常处理统一遵循：输入错误本地拦截；明确拒绝恢复操作；查询失败限次重试；变更请求超时或断网标记“结果未知”，按 operationId 查询确认，禁止盲目重复提交。</w:t>
      </w:r>
    </w:p>
    <w:p>
      <w:pPr>
        <w:pStyle w:val="3"/>
        <w:keepNext/>
      </w:pPr>
      <w:r>
        <w:t>6 UI/UX 关键设计</w:t>
      </w:r>
    </w:p>
    <w:p>
      <w:pPr>
        <w:pStyle w:val="4"/>
        <w:keepNext/>
      </w:pPr>
      <w:r>
        <w:t>6.1 视觉基调</w:t>
      </w:r>
    </w:p>
    <w:p>
      <w:pPr>
        <w:spacing w:line="300" w:lineRule="auto" w:after="80"/>
      </w:pPr>
      <w:r>
        <w:t>整体采用清爽、简约但具有科技感的浅色设计。通过雾白背景、纯白卡片、蓝青强调色、线性图标和克制阴影建立层级；不采用参考系统中的大面积深色后台风格。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448"/>
        <w:gridCol w:w="3888"/>
      </w:tblGrid>
      <w:tr>
        <w:trPr>
          <w:tblHeader w:val="true"/>
          <w:cantSplit/>
        </w:trPr>
        <w:tc>
          <w:tcPr>
            <w:tcW w:type="dxa" w:w="1944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元素</w:t>
            </w:r>
          </w:p>
        </w:tc>
        <w:tc>
          <w:tcPr>
            <w:tcW w:type="dxa" w:w="244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取值</w:t>
            </w:r>
          </w:p>
        </w:tc>
        <w:tc>
          <w:tcPr>
            <w:tcW w:type="dxa" w:w="388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页面背景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#F6F9FC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降低视觉负担，衬托白色内容卡片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卡片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#FFFFFF / #DCE6F0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白色填充、浅灰蓝边框、轻阴影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主色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#2878FF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主按钮、选中态、地图选中标识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辅助色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#18B7A0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充电、钱包及新能源属性提示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文字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#1C2B3A / #718096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主信息与次要说明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状态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绿 / 橙 / 红 / 灰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空闲 / 紧张或进行中 / 故障 / 离线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圆角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12-16 px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卡片、输入框和主要按钮</w:t>
            </w:r>
          </w:p>
        </w:tc>
      </w:tr>
    </w:tbl>
    <w:p/>
    <w:p>
      <w:pPr>
        <w:pStyle w:val="4"/>
        <w:keepNext/>
      </w:pPr>
      <w:r>
        <w:t>6.2 公共组件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92"/>
        <w:gridCol w:w="3456"/>
      </w:tblGrid>
      <w:tr>
        <w:trPr>
          <w:tblHeader w:val="true"/>
          <w:cantSplit/>
        </w:trPr>
        <w:tc>
          <w:tcPr>
            <w:tcW w:type="dxa" w:w="2232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2592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456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样式/交互要点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TopNavigationBar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二级页面标题与返回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高度统一，返回区域不小于 40 px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BottomTabBar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首页、充电、我的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固定底部，选中项使用科技蓝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StationListItem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附近站点横向列表行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紧凑展示站名、距离、价格和空闲数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ChargerListItem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站内充电桩列表行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状态标签与操作按钮保持同一视觉位置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StatusBadge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展示空闲、进行中、故障等状态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小面积色彩编码，不使整卡变色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Loading/Empty/Toast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加载、空数据和轻反馈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优先页面内反馈，减少阻断式弹窗</w:t>
            </w:r>
          </w:p>
        </w:tc>
      </w:tr>
    </w:tbl>
    <w:p/>
    <w:p>
      <w:pPr>
        <w:pStyle w:val="4"/>
        <w:keepNext/>
      </w:pPr>
      <w:r>
        <w:t>6.3 登录页与首页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947672" cy="3527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3527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947672" cy="3527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map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352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color w:val="555555"/>
          <w:sz w:val="18"/>
        </w:rPr>
        <w:t>图 6-1 登录页与首页高保真概念稿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088"/>
        <w:gridCol w:w="3311"/>
      </w:tblGrid>
      <w:tr>
        <w:trPr>
          <w:tblHeader w:val="true"/>
          <w:cantSplit/>
        </w:trPr>
        <w:tc>
          <w:tcPr>
            <w:tcW w:type="dxa" w:w="288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页面/objectName</w:t>
            </w:r>
          </w:p>
        </w:tc>
        <w:tc>
          <w:tcPr>
            <w:tcW w:type="dxa" w:w="208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311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样式/交互要点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LoginPage / editPhoneNumber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手机号输入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圆角输入框，聚焦蓝边；保留输入反馈区域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LoginPage / btnLogin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登录主操作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底部高强调蓝色按钮，请求中显示忙碌状态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HomePage / mapView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腾讯地图区域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约占内容区 45%，显示当前位置与站点标识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HomePage / listNearbyStations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附近站点列表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横向紧凑行；选中行与地图标识同步高亮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HomePage / btnSearchArea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搜索当前地图区域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地图移动后浮现，避免遮挡主要地图信息</w:t>
            </w:r>
          </w:p>
        </w:tc>
      </w:tr>
    </w:tbl>
    <w:p/>
    <w:p>
      <w:pPr>
        <w:pStyle w:val="4"/>
        <w:keepNext/>
      </w:pPr>
      <w:r>
        <w:t>6.4 站点详情与充电进行页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947672" cy="3519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35195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947672" cy="3527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352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color w:val="555555"/>
          <w:sz w:val="18"/>
        </w:rPr>
        <w:t>图 6-2 站点详情与充电进行页高保真概念稿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088"/>
        <w:gridCol w:w="3096"/>
      </w:tblGrid>
      <w:tr>
        <w:trPr>
          <w:tblHeader w:val="true"/>
          <w:cantSplit/>
        </w:trPr>
        <w:tc>
          <w:tcPr>
            <w:tcW w:type="dxa" w:w="3096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页面/objectName</w:t>
            </w:r>
          </w:p>
        </w:tc>
        <w:tc>
          <w:tcPr>
            <w:tcW w:type="dxa" w:w="208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096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样式/交互要点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StationDetailPage / listChargers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站内充电桩列表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空闲优先；不可操作项使用灰色禁用按钮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StationDetailPage / btnDriveNav / btnWalkNav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地图导航入口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两个并列次级操作卡片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ChargingPage / progressCharge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充电进度主视觉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大型蓝色圆环，中心突出显示百分比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ChargingPage / dataCards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功率、电量、速度和预计时间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四个统一小卡片，数值层级高于单位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ChargingPage / btnStopCharge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结束充电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描边式按钮，与普通主操作区分</w:t>
            </w:r>
          </w:p>
        </w:tc>
      </w:tr>
    </w:tbl>
    <w:p/>
    <w:p>
      <w:pPr>
        <w:pStyle w:val="4"/>
        <w:keepNext/>
      </w:pPr>
      <w:r>
        <w:t>6.5 我的页面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4388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438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color w:val="555555"/>
          <w:sz w:val="18"/>
        </w:rPr>
        <w:t>图 6-3 我的页面高保真概念稿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92"/>
        <w:gridCol w:w="3168"/>
      </w:tblGrid>
      <w:tr>
        <w:trPr>
          <w:tblHeader w:val="true"/>
          <w:cantSplit/>
        </w:trPr>
        <w:tc>
          <w:tcPr>
            <w:tcW w:type="dxa" w:w="252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objectName</w:t>
            </w:r>
          </w:p>
        </w:tc>
        <w:tc>
          <w:tcPr>
            <w:tcW w:type="dxa" w:w="2592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168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样式/交互要点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profileCard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头像、昵称、手机号与编辑入口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顶部白色信息卡；头像使用柔和蓝色背景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walletCard / btnRecharge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余额与充值入口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余额使用蓝绿色突出，充值为蓝色胶囊按钮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profileMenuList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订单、常用站点、帮助、关于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线性图标、细分隔线、整行可点击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btnLogout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退出登录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单独分组，红色文字但不使用大面积红色</w:t>
            </w:r>
          </w:p>
        </w:tc>
      </w:tr>
    </w:tbl>
    <w:p/>
    <w:p>
      <w:pPr>
        <w:pStyle w:val="4"/>
        <w:keepNext/>
      </w:pPr>
      <w:r>
        <w:t>6.6 其他页面布局说明</w:t>
      </w:r>
    </w:p>
    <w:tbl>
      <w:tblPr>
        <w:tblStyle w:val="33"/>
        <w:tblW w:type="dxa" w:w="828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2520"/>
      </w:tblGrid>
      <w:tr>
        <w:trPr>
          <w:tblHeader w:val="true"/>
          <w:cantSplit/>
        </w:trPr>
        <w:tc>
          <w:tcPr>
            <w:tcW w:type="dxa" w:w="180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396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主要区域</w:t>
            </w:r>
          </w:p>
        </w:tc>
        <w:tc>
          <w:tcPr>
            <w:tcW w:type="dxa" w:w="2520"/>
            <w:shd w:fill="DCE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b/>
                <w:sz w:val="19"/>
              </w:rPr>
              <w:t>视觉重点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地图导航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顶部起终点、地图、底部路线面板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地图为主；路线信息以白色浮层承载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充电确认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设备信息、费用信息、底部确认区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重要数值蓝色突出，信息使用分组卡片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订单结算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完成状态、总金额、费用明细、订单信息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总额最突出，成功状态少量使用青绿色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编辑资料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头像、昵称、只读手机号、保存按钮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表单简洁，输入项使用统一圆角和边框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钱包充值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余额卡、金额选项、自定义金额、确认按钮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选中金额为浅蓝背景与蓝色描边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订单记录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状态筛选与订单卡片列表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状态采用小标签，操作入口随卡片对齐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订单详情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订单状态、时间节点、站点及费用明细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  <w:t>时间顺序清晰，避免密集表格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026DD4"/>
    <w:rsid w:val="54CE240A"/>
    <w:rsid w:val="5951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4D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logic_image1.png"/><Relationship Id="rId21" Type="http://schemas.openxmlformats.org/officeDocument/2006/relationships/image" Target="media/logic_image2.png"/><Relationship Id="rId22" Type="http://schemas.openxmlformats.org/officeDocument/2006/relationships/image" Target="media/logic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1057</Words>
  <Characters>1718</Characters>
  <Lines>0</Lines>
  <Paragraphs>0</Paragraphs>
  <TotalTime>1</TotalTime>
  <ScaleCrop>false</ScaleCrop>
  <LinksUpToDate>false</LinksUpToDate>
  <CharactersWithSpaces>1799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祝浩然</cp:lastModifiedBy>
  <dcterms:modified xsi:type="dcterms:W3CDTF">2026-09-03T15:24:00Z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eyJoZGlkIjoiMzEwNTM5NzYwMDRjMzkwZTVkZjY2ODkwMGIxNGU0OTUiLCJ1c2VySWQiOiIxNjM5Nzk2NTk2In0=</vt:lpwstr>
  </property>
  <property fmtid="{D5CDD505-2E9C-101B-9397-08002B2CF9AE}" pid="3" name="KSOProductBuildVer">
    <vt:lpwstr>2052-12.1.0.23542</vt:lpwstr>
  </property>
  <property fmtid="{D5CDD505-2E9C-101B-9397-08002B2CF9AE}" pid="4" name="ICV">
    <vt:lpwstr>47BEA2DBC03D43B287716249D5DDCB54_12</vt:lpwstr>
  </property>
</Properties>
</file>