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CC5255" w14:textId="0812D60C" w:rsidR="00C74BE4" w:rsidRPr="00000422" w:rsidRDefault="00D16060" w:rsidP="00000422">
      <w:pPr>
        <w:pStyle w:val="ListParagraph"/>
        <w:numPr>
          <w:ilvl w:val="0"/>
          <w:numId w:val="1"/>
        </w:numPr>
        <w:rPr>
          <w:b/>
        </w:rPr>
      </w:pPr>
      <w:r w:rsidRPr="00000422">
        <w:rPr>
          <w:b/>
        </w:rPr>
        <w:t xml:space="preserve">Future development study case: </w:t>
      </w:r>
      <w:r w:rsidR="00C74BE4" w:rsidRPr="00000422">
        <w:rPr>
          <w:b/>
        </w:rPr>
        <w:t xml:space="preserve">Manchester disabled </w:t>
      </w:r>
      <w:r w:rsidRPr="00000422">
        <w:rPr>
          <w:b/>
        </w:rPr>
        <w:t xml:space="preserve">people </w:t>
      </w:r>
      <w:r w:rsidR="00C74BE4" w:rsidRPr="00000422">
        <w:rPr>
          <w:b/>
        </w:rPr>
        <w:t>accessib</w:t>
      </w:r>
      <w:r w:rsidR="001E3986" w:rsidRPr="00000422">
        <w:rPr>
          <w:b/>
        </w:rPr>
        <w:t>ility</w:t>
      </w:r>
      <w:r w:rsidR="00C74BE4" w:rsidRPr="00000422">
        <w:rPr>
          <w:b/>
        </w:rPr>
        <w:t xml:space="preserve"> </w:t>
      </w:r>
      <w:r w:rsidR="00F8085D" w:rsidRPr="00000422">
        <w:rPr>
          <w:b/>
        </w:rPr>
        <w:t>within</w:t>
      </w:r>
      <w:r w:rsidR="00C74BE4" w:rsidRPr="00000422">
        <w:rPr>
          <w:b/>
        </w:rPr>
        <w:t xml:space="preserve"> the Transport Strategy 2040</w:t>
      </w:r>
    </w:p>
    <w:p w14:paraId="5CF6D0CA" w14:textId="03B4CC99" w:rsidR="00C74BE4" w:rsidRDefault="00C74BE4"/>
    <w:p w14:paraId="4A19BCAF" w14:textId="3D9E934B" w:rsidR="00C74BE4" w:rsidRPr="00EE2336" w:rsidRDefault="00000422">
      <w:pPr>
        <w:rPr>
          <w:b/>
        </w:rPr>
      </w:pPr>
      <w:r w:rsidRPr="00EE2336">
        <w:rPr>
          <w:b/>
        </w:rPr>
        <w:t xml:space="preserve">1.1 </w:t>
      </w:r>
      <w:r w:rsidR="002F431A" w:rsidRPr="00EE2336">
        <w:rPr>
          <w:b/>
        </w:rPr>
        <w:t>Design</w:t>
      </w:r>
    </w:p>
    <w:p w14:paraId="34A7674A" w14:textId="1880FF45" w:rsidR="0003002D" w:rsidRDefault="0003002D">
      <w:r>
        <w:t>The main objective</w:t>
      </w:r>
      <w:r w:rsidR="0031626D">
        <w:t xml:space="preserve"> of this section</w:t>
      </w:r>
      <w:r>
        <w:t xml:space="preserve"> is to visualize the future interventions such as projects and plans </w:t>
      </w:r>
      <w:r w:rsidR="0031626D">
        <w:t xml:space="preserve">that tackle the accessibility aspect </w:t>
      </w:r>
      <w:r>
        <w:t xml:space="preserve">within the Manchester Transport Strategy for 2040. This was </w:t>
      </w:r>
      <w:r w:rsidR="0031626D">
        <w:t>made by finding within each polic</w:t>
      </w:r>
      <w:r w:rsidR="00000422">
        <w:t>y</w:t>
      </w:r>
      <w:r w:rsidR="0031626D">
        <w:t xml:space="preserve"> and intervention any </w:t>
      </w:r>
      <w:r w:rsidR="00D334F4">
        <w:t>objective</w:t>
      </w:r>
      <w:r w:rsidR="0031626D">
        <w:t xml:space="preserve"> </w:t>
      </w:r>
      <w:r w:rsidR="00D16060">
        <w:t>focussing the urban access issue</w:t>
      </w:r>
      <w:r w:rsidR="0031626D">
        <w:t xml:space="preserve">. </w:t>
      </w:r>
    </w:p>
    <w:p w14:paraId="20279255" w14:textId="1F185B8B" w:rsidR="0031626D" w:rsidRDefault="00D16060">
      <w:r>
        <w:t>Accessibility</w:t>
      </w:r>
      <w:r w:rsidR="00D334F4">
        <w:t xml:space="preserve"> </w:t>
      </w:r>
      <w:r w:rsidR="002F431A">
        <w:t xml:space="preserve">in relation to </w:t>
      </w:r>
      <w:r w:rsidR="00C74BE4">
        <w:t xml:space="preserve">public transportation has a very wide literature, urban transport systems around the world have faced the challenges to bring everyone the possibility to move, both </w:t>
      </w:r>
      <w:r w:rsidR="00D334F4">
        <w:t>under the social lenses (</w:t>
      </w:r>
      <w:proofErr w:type="spellStart"/>
      <w:r w:rsidR="007607C0">
        <w:t>Bocarejo</w:t>
      </w:r>
      <w:proofErr w:type="spellEnd"/>
      <w:r w:rsidR="007607C0">
        <w:t xml:space="preserve"> and Oviedo, 2012), (Preston and </w:t>
      </w:r>
      <w:proofErr w:type="spellStart"/>
      <w:r w:rsidR="007607C0">
        <w:t>Raje</w:t>
      </w:r>
      <w:proofErr w:type="spellEnd"/>
      <w:r w:rsidR="007607C0">
        <w:t xml:space="preserve">’ 2007) </w:t>
      </w:r>
      <w:r w:rsidR="00C74BE4">
        <w:t>and disabled people</w:t>
      </w:r>
      <w:r w:rsidR="0003002D">
        <w:t xml:space="preserve"> accessibility</w:t>
      </w:r>
      <w:r w:rsidR="007607C0">
        <w:t xml:space="preserve"> (</w:t>
      </w:r>
      <w:r w:rsidR="00EE2336">
        <w:t>Hine</w:t>
      </w:r>
      <w:r w:rsidR="007607C0">
        <w:t>, 2016)</w:t>
      </w:r>
      <w:r w:rsidR="0003002D">
        <w:t>.</w:t>
      </w:r>
      <w:r w:rsidR="00DF723A">
        <w:t xml:space="preserve"> The urban environment in most of the developed countries faces also a strong </w:t>
      </w:r>
      <w:r w:rsidR="009672E1">
        <w:t>increase in</w:t>
      </w:r>
      <w:r w:rsidR="00DF723A">
        <w:t xml:space="preserve"> ageing population which</w:t>
      </w:r>
      <w:r w:rsidR="00000422">
        <w:t xml:space="preserve"> </w:t>
      </w:r>
      <w:r w:rsidR="00DF723A">
        <w:t>demand for accessible ramps, safe pedestrian facilit</w:t>
      </w:r>
      <w:r>
        <w:t>i</w:t>
      </w:r>
      <w:r w:rsidR="00DF723A">
        <w:t>e</w:t>
      </w:r>
      <w:r>
        <w:t>s</w:t>
      </w:r>
      <w:r w:rsidR="00DF723A">
        <w:t xml:space="preserve">, all </w:t>
      </w:r>
      <w:r>
        <w:t>urging</w:t>
      </w:r>
      <w:r w:rsidR="00DF723A">
        <w:t xml:space="preserve"> an incorporation of accessibility plans into the </w:t>
      </w:r>
      <w:r>
        <w:t>strategic agenda (Sze and Christensen, 2017).</w:t>
      </w:r>
    </w:p>
    <w:p w14:paraId="35BC0880" w14:textId="1878B05F" w:rsidR="00D16060" w:rsidRDefault="0003002D">
      <w:r>
        <w:t xml:space="preserve">Recently, the </w:t>
      </w:r>
      <w:r w:rsidR="00EE2336">
        <w:t xml:space="preserve">Great Britain </w:t>
      </w:r>
      <w:r>
        <w:t xml:space="preserve">Department for Transport (2018) has released the </w:t>
      </w:r>
      <w:r w:rsidRPr="007607C0">
        <w:rPr>
          <w:i/>
        </w:rPr>
        <w:t>Inclusive Transport Strategy</w:t>
      </w:r>
      <w:r>
        <w:t xml:space="preserve"> which aims is to “improve accessibility across all types of travel for those with both visible and visible disabilities”. </w:t>
      </w:r>
      <w:r w:rsidR="0031626D">
        <w:t xml:space="preserve">The ambition of this national initiative is to </w:t>
      </w:r>
      <w:r w:rsidR="00E918D3">
        <w:t xml:space="preserve">achieve a fully accessible transport system by 2030. </w:t>
      </w:r>
    </w:p>
    <w:p w14:paraId="4C2457D8" w14:textId="132EABAD" w:rsidR="0003002D" w:rsidRDefault="00E918D3">
      <w:r>
        <w:t xml:space="preserve">Under this light is was very interesting to investigate the </w:t>
      </w:r>
      <w:r w:rsidR="00D16060">
        <w:t xml:space="preserve">Greater </w:t>
      </w:r>
      <w:r>
        <w:t>Manchester direction when is about transport accessibility</w:t>
      </w:r>
      <w:r w:rsidR="00881388">
        <w:t xml:space="preserve"> (Transport for Greater Manchester, 2019)</w:t>
      </w:r>
      <w:r w:rsidR="00D16060">
        <w:t>. The strategy,</w:t>
      </w:r>
      <w:r w:rsidR="00071076">
        <w:t xml:space="preserve"> specially focused to improve connectivity at regional and local level,</w:t>
      </w:r>
      <w:r w:rsidR="00D16060">
        <w:t xml:space="preserve"> sizes</w:t>
      </w:r>
      <w:r w:rsidR="00071076">
        <w:t xml:space="preserve"> </w:t>
      </w:r>
      <w:r w:rsidR="00D16060">
        <w:t>its</w:t>
      </w:r>
      <w:r w:rsidR="00071076">
        <w:t xml:space="preserve"> 2040 goal to support long-term, sustainable economic growth and access to opportunity for all. The document states two sub-sections when is about accessibility, one regards the social aspect of “Access to Employment, Service and Leisure” and </w:t>
      </w:r>
      <w:r w:rsidR="00014312">
        <w:t>the other a more infrastructural value of</w:t>
      </w:r>
      <w:r w:rsidR="00071076">
        <w:t xml:space="preserve"> ‘Improving Access’</w:t>
      </w:r>
      <w:r w:rsidR="00014312">
        <w:t xml:space="preserve">. The visualization in this case will be referred to this last sub-section, which tends to answer the needs of people commuting day by day, especially with public transport modes through the provision of more effective interchanges options from cycle parking to bus links and even car parking. The Strategy </w:t>
      </w:r>
      <w:r w:rsidR="006B2A17">
        <w:t>last section</w:t>
      </w:r>
      <w:r w:rsidR="00F41B7A">
        <w:t xml:space="preserve"> “Policies and Interventions”</w:t>
      </w:r>
      <w:r w:rsidR="006B2A17">
        <w:t xml:space="preserve"> identifies a series of </w:t>
      </w:r>
      <w:r w:rsidR="00F41B7A">
        <w:t xml:space="preserve">projects </w:t>
      </w:r>
      <w:r w:rsidR="006B2A17">
        <w:t>to be carried out by the 2040 term</w:t>
      </w:r>
      <w:r w:rsidR="00217E86">
        <w:t xml:space="preserve">, </w:t>
      </w:r>
      <w:r w:rsidR="009672E1">
        <w:t>figure 1.</w:t>
      </w:r>
      <w:r w:rsidR="00217E86">
        <w:t xml:space="preserve"> shows the interventions w</w:t>
      </w:r>
      <w:r w:rsidR="00E845EC">
        <w:t>h</w:t>
      </w:r>
      <w:r w:rsidR="00217E86">
        <w:t>i</w:t>
      </w:r>
      <w:r w:rsidR="00E845EC">
        <w:t>ch</w:t>
      </w:r>
      <w:r w:rsidR="00217E86">
        <w:t xml:space="preserve"> </w:t>
      </w:r>
      <w:r w:rsidR="00E845EC">
        <w:t>contain access or accessibility as objectives.</w:t>
      </w:r>
    </w:p>
    <w:p w14:paraId="3599FA52" w14:textId="2DF69A85" w:rsidR="00E845EC" w:rsidRPr="00EE2336" w:rsidRDefault="00DF723A">
      <w:pPr>
        <w:rPr>
          <w:i/>
        </w:rPr>
      </w:pPr>
      <w:r w:rsidRPr="00EE2336">
        <w:rPr>
          <w:i/>
        </w:rPr>
        <w:t>Figure 1. Interventions and Projects related to the accessibility objectives</w:t>
      </w:r>
    </w:p>
    <w:tbl>
      <w:tblPr>
        <w:tblStyle w:val="PlainTable1"/>
        <w:tblW w:w="9257" w:type="dxa"/>
        <w:tblLook w:val="04A0" w:firstRow="1" w:lastRow="0" w:firstColumn="1" w:lastColumn="0" w:noHBand="0" w:noVBand="1"/>
      </w:tblPr>
      <w:tblGrid>
        <w:gridCol w:w="611"/>
        <w:gridCol w:w="1850"/>
        <w:gridCol w:w="2476"/>
        <w:gridCol w:w="706"/>
        <w:gridCol w:w="1010"/>
        <w:gridCol w:w="1218"/>
        <w:gridCol w:w="1386"/>
      </w:tblGrid>
      <w:tr w:rsidR="00E845EC" w:rsidRPr="00D64FB8" w14:paraId="500ED3D7" w14:textId="77777777" w:rsidTr="00E845EC">
        <w:trPr>
          <w:cnfStyle w:val="100000000000" w:firstRow="1" w:lastRow="0" w:firstColumn="0" w:lastColumn="0" w:oddVBand="0" w:evenVBand="0" w:oddHBand="0"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611" w:type="dxa"/>
            <w:noWrap/>
            <w:hideMark/>
          </w:tcPr>
          <w:p w14:paraId="15C27202" w14:textId="77777777" w:rsidR="00E845EC" w:rsidRPr="00D64FB8" w:rsidRDefault="00E845EC" w:rsidP="00E845EC">
            <w:pPr>
              <w:rPr>
                <w:rFonts w:ascii="Times New Roman" w:eastAsia="Times New Roman" w:hAnsi="Times New Roman" w:cs="Times New Roman"/>
                <w:sz w:val="18"/>
                <w:szCs w:val="18"/>
                <w:lang w:eastAsia="en-GB"/>
              </w:rPr>
            </w:pPr>
          </w:p>
        </w:tc>
        <w:tc>
          <w:tcPr>
            <w:tcW w:w="1850" w:type="dxa"/>
            <w:hideMark/>
          </w:tcPr>
          <w:p w14:paraId="5F9C6B79" w14:textId="77777777" w:rsidR="00E845EC" w:rsidRPr="00D64FB8" w:rsidRDefault="00E845EC" w:rsidP="00E845E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Intervention </w:t>
            </w:r>
          </w:p>
        </w:tc>
        <w:tc>
          <w:tcPr>
            <w:tcW w:w="2476" w:type="dxa"/>
            <w:hideMark/>
          </w:tcPr>
          <w:p w14:paraId="0ED3FC5E" w14:textId="77777777" w:rsidR="00E845EC" w:rsidRPr="00D64FB8" w:rsidRDefault="00E845EC" w:rsidP="00E845E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Rationale </w:t>
            </w:r>
          </w:p>
        </w:tc>
        <w:tc>
          <w:tcPr>
            <w:tcW w:w="706" w:type="dxa"/>
            <w:hideMark/>
          </w:tcPr>
          <w:p w14:paraId="75855BD7" w14:textId="77777777" w:rsidR="00E845EC" w:rsidRPr="00D64FB8" w:rsidRDefault="00E845EC" w:rsidP="00E845E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Cost (Low/ </w:t>
            </w:r>
          </w:p>
        </w:tc>
        <w:tc>
          <w:tcPr>
            <w:tcW w:w="1010" w:type="dxa"/>
            <w:hideMark/>
          </w:tcPr>
          <w:p w14:paraId="18214211" w14:textId="77777777" w:rsidR="00E845EC" w:rsidRPr="00D64FB8" w:rsidRDefault="00E845EC" w:rsidP="00E845E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2040 Ref. </w:t>
            </w:r>
          </w:p>
        </w:tc>
        <w:tc>
          <w:tcPr>
            <w:tcW w:w="1218" w:type="dxa"/>
            <w:hideMark/>
          </w:tcPr>
          <w:p w14:paraId="4EF03C80" w14:textId="77777777" w:rsidR="00E845EC" w:rsidRPr="00D64FB8" w:rsidRDefault="00E845EC" w:rsidP="00E845E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Completed</w:t>
            </w:r>
          </w:p>
        </w:tc>
        <w:tc>
          <w:tcPr>
            <w:tcW w:w="1386" w:type="dxa"/>
            <w:hideMark/>
          </w:tcPr>
          <w:p w14:paraId="714DC86C" w14:textId="77777777" w:rsidR="00E845EC" w:rsidRPr="00D64FB8" w:rsidRDefault="00E845EC" w:rsidP="00E845E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Type</w:t>
            </w:r>
          </w:p>
        </w:tc>
      </w:tr>
      <w:tr w:rsidR="00E845EC" w:rsidRPr="00D64FB8" w14:paraId="7CBB5890" w14:textId="77777777" w:rsidTr="00E845EC">
        <w:trPr>
          <w:cnfStyle w:val="000000100000" w:firstRow="0" w:lastRow="0" w:firstColumn="0" w:lastColumn="0" w:oddVBand="0" w:evenVBand="0" w:oddHBand="1"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611" w:type="dxa"/>
            <w:noWrap/>
            <w:hideMark/>
          </w:tcPr>
          <w:p w14:paraId="63E1BBA4" w14:textId="77777777" w:rsidR="00E845EC" w:rsidRPr="00D64FB8" w:rsidRDefault="00E845EC" w:rsidP="00E845EC">
            <w:pPr>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1</w:t>
            </w:r>
          </w:p>
        </w:tc>
        <w:tc>
          <w:tcPr>
            <w:tcW w:w="1850" w:type="dxa"/>
            <w:hideMark/>
          </w:tcPr>
          <w:p w14:paraId="65E868EE"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Salford Bolton Network improvements, including bus priority at junctions</w:t>
            </w:r>
          </w:p>
        </w:tc>
        <w:tc>
          <w:tcPr>
            <w:tcW w:w="2476" w:type="dxa"/>
            <w:hideMark/>
          </w:tcPr>
          <w:p w14:paraId="200E50F3"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To create shorter, more reliable journey times for all road users and deliver better access to employment and local facilities for bus passengers.</w:t>
            </w:r>
          </w:p>
        </w:tc>
        <w:tc>
          <w:tcPr>
            <w:tcW w:w="706" w:type="dxa"/>
            <w:hideMark/>
          </w:tcPr>
          <w:p w14:paraId="60442FA0"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M</w:t>
            </w:r>
          </w:p>
        </w:tc>
        <w:tc>
          <w:tcPr>
            <w:tcW w:w="1010" w:type="dxa"/>
            <w:hideMark/>
          </w:tcPr>
          <w:p w14:paraId="32E3F38E"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W.02.01</w:t>
            </w:r>
          </w:p>
        </w:tc>
        <w:tc>
          <w:tcPr>
            <w:tcW w:w="1218" w:type="dxa"/>
            <w:hideMark/>
          </w:tcPr>
          <w:p w14:paraId="6E034DAC"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2020</w:t>
            </w:r>
          </w:p>
        </w:tc>
        <w:tc>
          <w:tcPr>
            <w:tcW w:w="1386" w:type="dxa"/>
            <w:hideMark/>
          </w:tcPr>
          <w:p w14:paraId="0FC7BD71"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Public Transport: Bus </w:t>
            </w:r>
          </w:p>
        </w:tc>
      </w:tr>
      <w:tr w:rsidR="00E845EC" w:rsidRPr="00D64FB8" w14:paraId="22305C17" w14:textId="77777777" w:rsidTr="00E845EC">
        <w:trPr>
          <w:trHeight w:val="885"/>
        </w:trPr>
        <w:tc>
          <w:tcPr>
            <w:cnfStyle w:val="001000000000" w:firstRow="0" w:lastRow="0" w:firstColumn="1" w:lastColumn="0" w:oddVBand="0" w:evenVBand="0" w:oddHBand="0" w:evenHBand="0" w:firstRowFirstColumn="0" w:firstRowLastColumn="0" w:lastRowFirstColumn="0" w:lastRowLastColumn="0"/>
            <w:tcW w:w="611" w:type="dxa"/>
            <w:noWrap/>
            <w:hideMark/>
          </w:tcPr>
          <w:p w14:paraId="3A417536" w14:textId="77777777" w:rsidR="00E845EC" w:rsidRPr="00D64FB8" w:rsidRDefault="00E845EC" w:rsidP="00E845EC">
            <w:pPr>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2</w:t>
            </w:r>
          </w:p>
        </w:tc>
        <w:tc>
          <w:tcPr>
            <w:tcW w:w="1850" w:type="dxa"/>
            <w:hideMark/>
          </w:tcPr>
          <w:p w14:paraId="7C3A7DD8"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Mobility Hubs/Park &amp; Ride upgrades along the Bury Line (Radcliffe and Whitefield)</w:t>
            </w:r>
          </w:p>
        </w:tc>
        <w:tc>
          <w:tcPr>
            <w:tcW w:w="2476" w:type="dxa"/>
            <w:hideMark/>
          </w:tcPr>
          <w:p w14:paraId="6AFAB084"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To provide better access to public transport through Mobility Hub/Park &amp; Ride facilities. This in turn will encourage a modal shift in Greater Manchester.</w:t>
            </w:r>
          </w:p>
        </w:tc>
        <w:tc>
          <w:tcPr>
            <w:tcW w:w="706" w:type="dxa"/>
            <w:hideMark/>
          </w:tcPr>
          <w:p w14:paraId="2E52AB45"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L</w:t>
            </w:r>
          </w:p>
        </w:tc>
        <w:tc>
          <w:tcPr>
            <w:tcW w:w="1010" w:type="dxa"/>
            <w:hideMark/>
          </w:tcPr>
          <w:p w14:paraId="34813E86"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N.01.07</w:t>
            </w:r>
          </w:p>
        </w:tc>
        <w:tc>
          <w:tcPr>
            <w:tcW w:w="1218" w:type="dxa"/>
            <w:hideMark/>
          </w:tcPr>
          <w:p w14:paraId="5D4866F5"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2040</w:t>
            </w:r>
          </w:p>
        </w:tc>
        <w:tc>
          <w:tcPr>
            <w:tcW w:w="1386" w:type="dxa"/>
            <w:hideMark/>
          </w:tcPr>
          <w:p w14:paraId="3DA29B66"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Public Transport: Metrolink and Bus Rapid Transit </w:t>
            </w:r>
          </w:p>
        </w:tc>
      </w:tr>
      <w:tr w:rsidR="00E845EC" w:rsidRPr="00D64FB8" w14:paraId="709F6646" w14:textId="77777777" w:rsidTr="00E845EC">
        <w:trPr>
          <w:cnfStyle w:val="000000100000" w:firstRow="0" w:lastRow="0" w:firstColumn="0" w:lastColumn="0" w:oddVBand="0" w:evenVBand="0" w:oddHBand="1" w:evenHBand="0" w:firstRowFirstColumn="0" w:firstRowLastColumn="0" w:lastRowFirstColumn="0" w:lastRowLastColumn="0"/>
          <w:trHeight w:val="1758"/>
        </w:trPr>
        <w:tc>
          <w:tcPr>
            <w:cnfStyle w:val="001000000000" w:firstRow="0" w:lastRow="0" w:firstColumn="1" w:lastColumn="0" w:oddVBand="0" w:evenVBand="0" w:oddHBand="0" w:evenHBand="0" w:firstRowFirstColumn="0" w:firstRowLastColumn="0" w:lastRowFirstColumn="0" w:lastRowLastColumn="0"/>
            <w:tcW w:w="611" w:type="dxa"/>
            <w:noWrap/>
            <w:hideMark/>
          </w:tcPr>
          <w:p w14:paraId="3449B580" w14:textId="77777777" w:rsidR="00E845EC" w:rsidRPr="00D64FB8" w:rsidRDefault="00E845EC" w:rsidP="00E845EC">
            <w:pPr>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lastRenderedPageBreak/>
              <w:t>3</w:t>
            </w:r>
          </w:p>
        </w:tc>
        <w:tc>
          <w:tcPr>
            <w:tcW w:w="1850" w:type="dxa"/>
            <w:hideMark/>
          </w:tcPr>
          <w:p w14:paraId="0AC4AC7F"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Additional Metrolink vehicles (27 new trams) and associated infrastructure - enabling the use of more double unit vehicles between Bury and Altrincham, and Shaw and East Didsbury.</w:t>
            </w:r>
          </w:p>
        </w:tc>
        <w:tc>
          <w:tcPr>
            <w:tcW w:w="2476" w:type="dxa"/>
            <w:hideMark/>
          </w:tcPr>
          <w:p w14:paraId="361A3212"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To increase Metrolink capacity into and through the Regional Centre, in order to facilitate continuing economic growth and access to services and encourage mode shift.  </w:t>
            </w:r>
          </w:p>
        </w:tc>
        <w:tc>
          <w:tcPr>
            <w:tcW w:w="706" w:type="dxa"/>
            <w:hideMark/>
          </w:tcPr>
          <w:p w14:paraId="25FF9D47"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M</w:t>
            </w:r>
          </w:p>
        </w:tc>
        <w:tc>
          <w:tcPr>
            <w:tcW w:w="1010" w:type="dxa"/>
            <w:hideMark/>
          </w:tcPr>
          <w:p w14:paraId="5A41843C"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RC.03.01</w:t>
            </w:r>
          </w:p>
        </w:tc>
        <w:tc>
          <w:tcPr>
            <w:tcW w:w="1218" w:type="dxa"/>
            <w:hideMark/>
          </w:tcPr>
          <w:p w14:paraId="1E7ACAAA"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2020</w:t>
            </w:r>
          </w:p>
        </w:tc>
        <w:tc>
          <w:tcPr>
            <w:tcW w:w="1386" w:type="dxa"/>
            <w:hideMark/>
          </w:tcPr>
          <w:p w14:paraId="67BD9F91"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Public Transport: Metrolink and Bus Rapid Transit </w:t>
            </w:r>
          </w:p>
        </w:tc>
      </w:tr>
      <w:tr w:rsidR="00E845EC" w:rsidRPr="00D64FB8" w14:paraId="578DC4C4" w14:textId="77777777" w:rsidTr="00E845EC">
        <w:trPr>
          <w:trHeight w:val="885"/>
        </w:trPr>
        <w:tc>
          <w:tcPr>
            <w:cnfStyle w:val="001000000000" w:firstRow="0" w:lastRow="0" w:firstColumn="1" w:lastColumn="0" w:oddVBand="0" w:evenVBand="0" w:oddHBand="0" w:evenHBand="0" w:firstRowFirstColumn="0" w:firstRowLastColumn="0" w:lastRowFirstColumn="0" w:lastRowLastColumn="0"/>
            <w:tcW w:w="611" w:type="dxa"/>
            <w:noWrap/>
            <w:hideMark/>
          </w:tcPr>
          <w:p w14:paraId="2E237B26" w14:textId="77777777" w:rsidR="00E845EC" w:rsidRPr="00D64FB8" w:rsidRDefault="00E845EC" w:rsidP="00E845EC">
            <w:pPr>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4</w:t>
            </w:r>
          </w:p>
        </w:tc>
        <w:tc>
          <w:tcPr>
            <w:tcW w:w="1850" w:type="dxa"/>
            <w:hideMark/>
          </w:tcPr>
          <w:p w14:paraId="2238340D"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Station accessibility improvements at Mills Hill </w:t>
            </w:r>
          </w:p>
        </w:tc>
        <w:tc>
          <w:tcPr>
            <w:tcW w:w="2476" w:type="dxa"/>
            <w:hideMark/>
          </w:tcPr>
          <w:p w14:paraId="6131A8FE"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To maximise existing rail assets to provide better facilities, particularly for passengers with limited mobility. </w:t>
            </w:r>
          </w:p>
        </w:tc>
        <w:tc>
          <w:tcPr>
            <w:tcW w:w="706" w:type="dxa"/>
            <w:hideMark/>
          </w:tcPr>
          <w:p w14:paraId="492D030C"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L </w:t>
            </w:r>
          </w:p>
        </w:tc>
        <w:tc>
          <w:tcPr>
            <w:tcW w:w="1010" w:type="dxa"/>
            <w:hideMark/>
          </w:tcPr>
          <w:p w14:paraId="5EDAB6FA"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N.01.02 </w:t>
            </w:r>
          </w:p>
        </w:tc>
        <w:tc>
          <w:tcPr>
            <w:tcW w:w="1218" w:type="dxa"/>
            <w:hideMark/>
          </w:tcPr>
          <w:p w14:paraId="07AA89F0"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2040</w:t>
            </w:r>
          </w:p>
        </w:tc>
        <w:tc>
          <w:tcPr>
            <w:tcW w:w="1386" w:type="dxa"/>
            <w:hideMark/>
          </w:tcPr>
          <w:p w14:paraId="347A6BFE"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Rail</w:t>
            </w:r>
          </w:p>
        </w:tc>
      </w:tr>
      <w:tr w:rsidR="00E845EC" w:rsidRPr="00D64FB8" w14:paraId="5155EA4B" w14:textId="77777777" w:rsidTr="00E845EC">
        <w:trPr>
          <w:cnfStyle w:val="000000100000" w:firstRow="0" w:lastRow="0" w:firstColumn="0" w:lastColumn="0" w:oddVBand="0" w:evenVBand="0" w:oddHBand="1"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611" w:type="dxa"/>
            <w:noWrap/>
            <w:hideMark/>
          </w:tcPr>
          <w:p w14:paraId="74C276B4" w14:textId="77777777" w:rsidR="00E845EC" w:rsidRPr="00D64FB8" w:rsidRDefault="00E845EC" w:rsidP="00E845EC">
            <w:pPr>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5</w:t>
            </w:r>
          </w:p>
        </w:tc>
        <w:tc>
          <w:tcPr>
            <w:tcW w:w="1850" w:type="dxa"/>
            <w:hideMark/>
          </w:tcPr>
          <w:p w14:paraId="6350DFFC"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Rail Station Accessibility Programme to deliver accessibility improvements at rail stations </w:t>
            </w:r>
          </w:p>
        </w:tc>
        <w:tc>
          <w:tcPr>
            <w:tcW w:w="2476" w:type="dxa"/>
            <w:hideMark/>
          </w:tcPr>
          <w:p w14:paraId="30ADA57B"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To maximise existing rail assets to provide better facilities, improve transport integration and deliver community benefits. </w:t>
            </w:r>
          </w:p>
        </w:tc>
        <w:tc>
          <w:tcPr>
            <w:tcW w:w="706" w:type="dxa"/>
            <w:hideMark/>
          </w:tcPr>
          <w:p w14:paraId="10B23ED9"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M </w:t>
            </w:r>
          </w:p>
        </w:tc>
        <w:tc>
          <w:tcPr>
            <w:tcW w:w="1010" w:type="dxa"/>
            <w:hideMark/>
          </w:tcPr>
          <w:p w14:paraId="2121B22C"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N.01.01 </w:t>
            </w:r>
          </w:p>
        </w:tc>
        <w:tc>
          <w:tcPr>
            <w:tcW w:w="1218" w:type="dxa"/>
            <w:hideMark/>
          </w:tcPr>
          <w:p w14:paraId="24BD0353"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2040</w:t>
            </w:r>
          </w:p>
        </w:tc>
        <w:tc>
          <w:tcPr>
            <w:tcW w:w="1386" w:type="dxa"/>
            <w:hideMark/>
          </w:tcPr>
          <w:p w14:paraId="0235499E"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Rail</w:t>
            </w:r>
          </w:p>
        </w:tc>
      </w:tr>
      <w:tr w:rsidR="00E845EC" w:rsidRPr="00D64FB8" w14:paraId="5130C74A" w14:textId="77777777" w:rsidTr="00E845EC">
        <w:trPr>
          <w:trHeight w:val="594"/>
        </w:trPr>
        <w:tc>
          <w:tcPr>
            <w:cnfStyle w:val="001000000000" w:firstRow="0" w:lastRow="0" w:firstColumn="1" w:lastColumn="0" w:oddVBand="0" w:evenVBand="0" w:oddHBand="0" w:evenHBand="0" w:firstRowFirstColumn="0" w:firstRowLastColumn="0" w:lastRowFirstColumn="0" w:lastRowLastColumn="0"/>
            <w:tcW w:w="611" w:type="dxa"/>
            <w:noWrap/>
            <w:hideMark/>
          </w:tcPr>
          <w:p w14:paraId="680A2C6B" w14:textId="77777777" w:rsidR="00E845EC" w:rsidRPr="00D64FB8" w:rsidRDefault="00E845EC" w:rsidP="00E845EC">
            <w:pPr>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6</w:t>
            </w:r>
          </w:p>
        </w:tc>
        <w:tc>
          <w:tcPr>
            <w:tcW w:w="1850" w:type="dxa"/>
            <w:hideMark/>
          </w:tcPr>
          <w:p w14:paraId="6956E84C"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Carrington Relief Road </w:t>
            </w:r>
          </w:p>
        </w:tc>
        <w:tc>
          <w:tcPr>
            <w:tcW w:w="2476" w:type="dxa"/>
            <w:hideMark/>
          </w:tcPr>
          <w:p w14:paraId="461AAD3C"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To support growth in the Carrington area by improving accessibility to new developments. </w:t>
            </w:r>
          </w:p>
        </w:tc>
        <w:tc>
          <w:tcPr>
            <w:tcW w:w="706" w:type="dxa"/>
            <w:hideMark/>
          </w:tcPr>
          <w:p w14:paraId="0874B9C8"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M </w:t>
            </w:r>
          </w:p>
        </w:tc>
        <w:tc>
          <w:tcPr>
            <w:tcW w:w="1010" w:type="dxa"/>
            <w:hideMark/>
          </w:tcPr>
          <w:p w14:paraId="0107DF1D"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W.09.13 </w:t>
            </w:r>
          </w:p>
        </w:tc>
        <w:tc>
          <w:tcPr>
            <w:tcW w:w="1218" w:type="dxa"/>
            <w:noWrap/>
            <w:hideMark/>
          </w:tcPr>
          <w:p w14:paraId="26070A84"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2020</w:t>
            </w:r>
          </w:p>
        </w:tc>
        <w:tc>
          <w:tcPr>
            <w:tcW w:w="1386" w:type="dxa"/>
            <w:hideMark/>
          </w:tcPr>
          <w:p w14:paraId="772B3F85"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Streets for All: Local Highways </w:t>
            </w:r>
          </w:p>
        </w:tc>
      </w:tr>
      <w:tr w:rsidR="00E845EC" w:rsidRPr="00D64FB8" w14:paraId="53D2BD0D" w14:textId="77777777" w:rsidTr="00E845EC">
        <w:trPr>
          <w:cnfStyle w:val="000000100000" w:firstRow="0" w:lastRow="0" w:firstColumn="0" w:lastColumn="0" w:oddVBand="0" w:evenVBand="0" w:oddHBand="1" w:evenHBand="0" w:firstRowFirstColumn="0" w:firstRowLastColumn="0" w:lastRowFirstColumn="0" w:lastRowLastColumn="0"/>
          <w:trHeight w:val="1176"/>
        </w:trPr>
        <w:tc>
          <w:tcPr>
            <w:cnfStyle w:val="001000000000" w:firstRow="0" w:lastRow="0" w:firstColumn="1" w:lastColumn="0" w:oddVBand="0" w:evenVBand="0" w:oddHBand="0" w:evenHBand="0" w:firstRowFirstColumn="0" w:firstRowLastColumn="0" w:lastRowFirstColumn="0" w:lastRowLastColumn="0"/>
            <w:tcW w:w="611" w:type="dxa"/>
            <w:noWrap/>
            <w:hideMark/>
          </w:tcPr>
          <w:p w14:paraId="575A4EC1" w14:textId="77777777" w:rsidR="00E845EC" w:rsidRPr="00D64FB8" w:rsidRDefault="00E845EC" w:rsidP="00E845EC">
            <w:pPr>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7</w:t>
            </w:r>
          </w:p>
        </w:tc>
        <w:tc>
          <w:tcPr>
            <w:tcW w:w="1850" w:type="dxa"/>
            <w:hideMark/>
          </w:tcPr>
          <w:p w14:paraId="3E8C1908"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City Centre Salford infrastructure improvement: New Bailey </w:t>
            </w:r>
          </w:p>
        </w:tc>
        <w:tc>
          <w:tcPr>
            <w:tcW w:w="2476" w:type="dxa"/>
            <w:hideMark/>
          </w:tcPr>
          <w:p w14:paraId="1FA9165C"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To support the redevelopment and growth of Central Salford by delivering public realm and environmental improvements, alongside enhancements to public transport access and improvements to bus reliability.</w:t>
            </w:r>
          </w:p>
        </w:tc>
        <w:tc>
          <w:tcPr>
            <w:tcW w:w="706" w:type="dxa"/>
            <w:hideMark/>
          </w:tcPr>
          <w:p w14:paraId="34CB81B8"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L</w:t>
            </w:r>
          </w:p>
        </w:tc>
        <w:tc>
          <w:tcPr>
            <w:tcW w:w="1010" w:type="dxa"/>
            <w:hideMark/>
          </w:tcPr>
          <w:p w14:paraId="7E3C2F74"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RC.10.04 </w:t>
            </w:r>
          </w:p>
        </w:tc>
        <w:tc>
          <w:tcPr>
            <w:tcW w:w="1218" w:type="dxa"/>
            <w:noWrap/>
            <w:hideMark/>
          </w:tcPr>
          <w:p w14:paraId="65F57D82"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2020</w:t>
            </w:r>
          </w:p>
        </w:tc>
        <w:tc>
          <w:tcPr>
            <w:tcW w:w="1386" w:type="dxa"/>
            <w:hideMark/>
          </w:tcPr>
          <w:p w14:paraId="15DCD48C"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Streets for All: Walking and Cycling </w:t>
            </w:r>
          </w:p>
        </w:tc>
      </w:tr>
      <w:tr w:rsidR="00E845EC" w:rsidRPr="00D64FB8" w14:paraId="78687A14" w14:textId="77777777" w:rsidTr="00E845EC">
        <w:trPr>
          <w:trHeight w:val="594"/>
        </w:trPr>
        <w:tc>
          <w:tcPr>
            <w:cnfStyle w:val="001000000000" w:firstRow="0" w:lastRow="0" w:firstColumn="1" w:lastColumn="0" w:oddVBand="0" w:evenVBand="0" w:oddHBand="0" w:evenHBand="0" w:firstRowFirstColumn="0" w:firstRowLastColumn="0" w:lastRowFirstColumn="0" w:lastRowLastColumn="0"/>
            <w:tcW w:w="611" w:type="dxa"/>
            <w:noWrap/>
            <w:hideMark/>
          </w:tcPr>
          <w:p w14:paraId="56AB6C6B" w14:textId="77777777" w:rsidR="00E845EC" w:rsidRPr="00D64FB8" w:rsidRDefault="00E845EC" w:rsidP="00E845EC">
            <w:pPr>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8</w:t>
            </w:r>
          </w:p>
        </w:tc>
        <w:tc>
          <w:tcPr>
            <w:tcW w:w="1850" w:type="dxa"/>
            <w:hideMark/>
          </w:tcPr>
          <w:p w14:paraId="096B36C4"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Stockport Town Centre Access Plan</w:t>
            </w:r>
          </w:p>
        </w:tc>
        <w:tc>
          <w:tcPr>
            <w:tcW w:w="2476" w:type="dxa"/>
            <w:hideMark/>
          </w:tcPr>
          <w:p w14:paraId="7120B446"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To tackle congestion in and around Stockport town centre and remove barriers to movement for all modes.</w:t>
            </w:r>
          </w:p>
        </w:tc>
        <w:tc>
          <w:tcPr>
            <w:tcW w:w="706" w:type="dxa"/>
            <w:hideMark/>
          </w:tcPr>
          <w:p w14:paraId="0EB0CEAE"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M</w:t>
            </w:r>
          </w:p>
        </w:tc>
        <w:tc>
          <w:tcPr>
            <w:tcW w:w="1010" w:type="dxa"/>
            <w:hideMark/>
          </w:tcPr>
          <w:p w14:paraId="2FF59665"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W.04.01 </w:t>
            </w:r>
          </w:p>
        </w:tc>
        <w:tc>
          <w:tcPr>
            <w:tcW w:w="1218" w:type="dxa"/>
            <w:noWrap/>
            <w:hideMark/>
          </w:tcPr>
          <w:p w14:paraId="7B976878"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2020</w:t>
            </w:r>
          </w:p>
        </w:tc>
        <w:tc>
          <w:tcPr>
            <w:tcW w:w="1386" w:type="dxa"/>
            <w:hideMark/>
          </w:tcPr>
          <w:p w14:paraId="7A8FC43E"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Integration: Town Centres &amp; Interchanges  </w:t>
            </w:r>
          </w:p>
        </w:tc>
      </w:tr>
      <w:tr w:rsidR="00E845EC" w:rsidRPr="00D64FB8" w14:paraId="238DE0AB" w14:textId="77777777" w:rsidTr="00E845EC">
        <w:trPr>
          <w:cnfStyle w:val="000000100000" w:firstRow="0" w:lastRow="0" w:firstColumn="0" w:lastColumn="0" w:oddVBand="0" w:evenVBand="0" w:oddHBand="1" w:evenHBand="0" w:firstRowFirstColumn="0" w:firstRowLastColumn="0" w:lastRowFirstColumn="0" w:lastRowLastColumn="0"/>
          <w:trHeight w:val="1176"/>
        </w:trPr>
        <w:tc>
          <w:tcPr>
            <w:cnfStyle w:val="001000000000" w:firstRow="0" w:lastRow="0" w:firstColumn="1" w:lastColumn="0" w:oddVBand="0" w:evenVBand="0" w:oddHBand="0" w:evenHBand="0" w:firstRowFirstColumn="0" w:firstRowLastColumn="0" w:lastRowFirstColumn="0" w:lastRowLastColumn="0"/>
            <w:tcW w:w="611" w:type="dxa"/>
            <w:noWrap/>
            <w:hideMark/>
          </w:tcPr>
          <w:p w14:paraId="5B203F55" w14:textId="77777777" w:rsidR="00E845EC" w:rsidRPr="00D64FB8" w:rsidRDefault="00E845EC" w:rsidP="00E845EC">
            <w:pPr>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9</w:t>
            </w:r>
          </w:p>
        </w:tc>
        <w:tc>
          <w:tcPr>
            <w:tcW w:w="1850" w:type="dxa"/>
            <w:hideMark/>
          </w:tcPr>
          <w:p w14:paraId="7F2A99A2"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Ashton Interchange redevelopment</w:t>
            </w:r>
          </w:p>
        </w:tc>
        <w:tc>
          <w:tcPr>
            <w:tcW w:w="2476" w:type="dxa"/>
            <w:hideMark/>
          </w:tcPr>
          <w:p w14:paraId="2054E26D"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To increase the accessibility of Metrolink, bus and rail from nearby destinations, and increase the attractiveness of the Interchange as the focal point for intra-urban growth in Ashton town centre.</w:t>
            </w:r>
          </w:p>
        </w:tc>
        <w:tc>
          <w:tcPr>
            <w:tcW w:w="706" w:type="dxa"/>
            <w:hideMark/>
          </w:tcPr>
          <w:p w14:paraId="737F2BC3"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M</w:t>
            </w:r>
          </w:p>
        </w:tc>
        <w:tc>
          <w:tcPr>
            <w:tcW w:w="1010" w:type="dxa"/>
            <w:hideMark/>
          </w:tcPr>
          <w:p w14:paraId="70BED292"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W.03.01</w:t>
            </w:r>
          </w:p>
        </w:tc>
        <w:tc>
          <w:tcPr>
            <w:tcW w:w="1218" w:type="dxa"/>
            <w:noWrap/>
            <w:hideMark/>
          </w:tcPr>
          <w:p w14:paraId="63A11942"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2020</w:t>
            </w:r>
          </w:p>
        </w:tc>
        <w:tc>
          <w:tcPr>
            <w:tcW w:w="1386" w:type="dxa"/>
            <w:hideMark/>
          </w:tcPr>
          <w:p w14:paraId="3652DA4F"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Integration: Town Centres &amp; Interchanges  </w:t>
            </w:r>
          </w:p>
        </w:tc>
      </w:tr>
      <w:tr w:rsidR="00E845EC" w:rsidRPr="00D64FB8" w14:paraId="1EF5F396" w14:textId="77777777" w:rsidTr="00E845EC">
        <w:trPr>
          <w:trHeight w:val="1176"/>
        </w:trPr>
        <w:tc>
          <w:tcPr>
            <w:cnfStyle w:val="001000000000" w:firstRow="0" w:lastRow="0" w:firstColumn="1" w:lastColumn="0" w:oddVBand="0" w:evenVBand="0" w:oddHBand="0" w:evenHBand="0" w:firstRowFirstColumn="0" w:firstRowLastColumn="0" w:lastRowFirstColumn="0" w:lastRowLastColumn="0"/>
            <w:tcW w:w="611" w:type="dxa"/>
            <w:noWrap/>
            <w:hideMark/>
          </w:tcPr>
          <w:p w14:paraId="14F0BD0A" w14:textId="77777777" w:rsidR="00E845EC" w:rsidRPr="00D64FB8" w:rsidRDefault="00E845EC" w:rsidP="00E845EC">
            <w:pPr>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10</w:t>
            </w:r>
          </w:p>
        </w:tc>
        <w:tc>
          <w:tcPr>
            <w:tcW w:w="1850" w:type="dxa"/>
            <w:hideMark/>
          </w:tcPr>
          <w:p w14:paraId="7290F5F5"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Stockport Interchange redevelopment </w:t>
            </w:r>
          </w:p>
        </w:tc>
        <w:tc>
          <w:tcPr>
            <w:tcW w:w="2476" w:type="dxa"/>
            <w:hideMark/>
          </w:tcPr>
          <w:p w14:paraId="3E38A33A" w14:textId="2A309FCF"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To increase the accessibility of bus and rail from nearby destinations and increase the attractiveness of the Interchange as the focal point for intraurban growth in Stockport town centre.</w:t>
            </w:r>
          </w:p>
        </w:tc>
        <w:tc>
          <w:tcPr>
            <w:tcW w:w="706" w:type="dxa"/>
            <w:hideMark/>
          </w:tcPr>
          <w:p w14:paraId="1DDABF37"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M</w:t>
            </w:r>
          </w:p>
        </w:tc>
        <w:tc>
          <w:tcPr>
            <w:tcW w:w="1010" w:type="dxa"/>
            <w:hideMark/>
          </w:tcPr>
          <w:p w14:paraId="6BE65DF8"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W.03.02</w:t>
            </w:r>
          </w:p>
        </w:tc>
        <w:tc>
          <w:tcPr>
            <w:tcW w:w="1218" w:type="dxa"/>
            <w:noWrap/>
            <w:hideMark/>
          </w:tcPr>
          <w:p w14:paraId="7FAFEDBF"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2020</w:t>
            </w:r>
          </w:p>
        </w:tc>
        <w:tc>
          <w:tcPr>
            <w:tcW w:w="1386" w:type="dxa"/>
            <w:hideMark/>
          </w:tcPr>
          <w:p w14:paraId="1B40C5EE"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Integration: Town Centres &amp; Interchanges  </w:t>
            </w:r>
          </w:p>
        </w:tc>
      </w:tr>
    </w:tbl>
    <w:p w14:paraId="4EDA92D4" w14:textId="4754D958" w:rsidR="00C74BE4" w:rsidRDefault="00C74BE4"/>
    <w:p w14:paraId="1D22CF73" w14:textId="73D1370C" w:rsidR="002F431A" w:rsidRPr="002F431A" w:rsidRDefault="002F431A">
      <w:pPr>
        <w:rPr>
          <w:rFonts w:ascii="Calibri" w:eastAsia="Times New Roman" w:hAnsi="Calibri" w:cs="Calibri"/>
          <w:color w:val="000000"/>
          <w:lang w:eastAsia="en-GB"/>
        </w:rPr>
      </w:pPr>
      <w:r>
        <w:t xml:space="preserve">The next step </w:t>
      </w:r>
      <w:r w:rsidR="00D16060">
        <w:t>consisted in</w:t>
      </w:r>
      <w:r>
        <w:t xml:space="preserve"> filtering all the projects that could have a better visualization. For this reason, Intervention 1 “</w:t>
      </w:r>
      <w:r w:rsidRPr="00E845EC">
        <w:rPr>
          <w:rFonts w:ascii="Calibri" w:eastAsia="Times New Roman" w:hAnsi="Calibri" w:cs="Calibri"/>
          <w:color w:val="000000"/>
          <w:lang w:eastAsia="en-GB"/>
        </w:rPr>
        <w:t>Salford Bolton Network improvements</w:t>
      </w:r>
      <w:r>
        <w:rPr>
          <w:rFonts w:ascii="Calibri" w:eastAsia="Times New Roman" w:hAnsi="Calibri" w:cs="Calibri"/>
          <w:color w:val="000000"/>
          <w:lang w:eastAsia="en-GB"/>
        </w:rPr>
        <w:t>”, Intervention 2 “</w:t>
      </w:r>
      <w:r w:rsidRPr="00E845EC">
        <w:rPr>
          <w:rFonts w:ascii="Calibri" w:eastAsia="Times New Roman" w:hAnsi="Calibri" w:cs="Calibri"/>
          <w:color w:val="000000"/>
          <w:lang w:eastAsia="en-GB"/>
        </w:rPr>
        <w:t>Mobility Hubs/Park &amp; Ride upgrades</w:t>
      </w:r>
      <w:r>
        <w:rPr>
          <w:rFonts w:ascii="Calibri" w:eastAsia="Times New Roman" w:hAnsi="Calibri" w:cs="Calibri"/>
          <w:color w:val="000000"/>
          <w:lang w:eastAsia="en-GB"/>
        </w:rPr>
        <w:t>” and Intervention 8 “</w:t>
      </w:r>
      <w:r w:rsidRPr="00E845EC">
        <w:rPr>
          <w:rFonts w:ascii="Calibri" w:eastAsia="Times New Roman" w:hAnsi="Calibri" w:cs="Calibri"/>
          <w:color w:val="000000"/>
          <w:lang w:eastAsia="en-GB"/>
        </w:rPr>
        <w:t>Stockport Town Centre Access Plan</w:t>
      </w:r>
      <w:r>
        <w:rPr>
          <w:rFonts w:ascii="Calibri" w:eastAsia="Times New Roman" w:hAnsi="Calibri" w:cs="Calibri"/>
          <w:color w:val="000000"/>
          <w:lang w:eastAsia="en-GB"/>
        </w:rPr>
        <w:t>” were excluded as they have a more visionary value that would make their design</w:t>
      </w:r>
      <w:r w:rsidR="00D16060">
        <w:rPr>
          <w:rFonts w:ascii="Calibri" w:eastAsia="Times New Roman" w:hAnsi="Calibri" w:cs="Calibri"/>
          <w:color w:val="000000"/>
          <w:lang w:eastAsia="en-GB"/>
        </w:rPr>
        <w:t xml:space="preserve"> complicated</w:t>
      </w:r>
      <w:r>
        <w:rPr>
          <w:rFonts w:ascii="Calibri" w:eastAsia="Times New Roman" w:hAnsi="Calibri" w:cs="Calibri"/>
          <w:color w:val="000000"/>
          <w:lang w:eastAsia="en-GB"/>
        </w:rPr>
        <w:t>.</w:t>
      </w:r>
    </w:p>
    <w:p w14:paraId="4D4124DA" w14:textId="3FA084B4" w:rsidR="00D64FB8" w:rsidRDefault="0025420A" w:rsidP="0025420A">
      <w:pPr>
        <w:rPr>
          <w:rFonts w:ascii="Calibri" w:eastAsia="Times New Roman" w:hAnsi="Calibri" w:cs="Calibri"/>
          <w:color w:val="000000"/>
          <w:lang w:eastAsia="en-GB"/>
        </w:rPr>
      </w:pPr>
      <w:r>
        <w:rPr>
          <w:rFonts w:ascii="Calibri" w:eastAsia="Times New Roman" w:hAnsi="Calibri" w:cs="Calibri"/>
          <w:color w:val="000000"/>
          <w:lang w:eastAsia="en-GB"/>
        </w:rPr>
        <w:t xml:space="preserve">In order to import into </w:t>
      </w:r>
      <w:proofErr w:type="spellStart"/>
      <w:r>
        <w:rPr>
          <w:rFonts w:ascii="Calibri" w:eastAsia="Times New Roman" w:hAnsi="Calibri" w:cs="Calibri"/>
          <w:color w:val="000000"/>
          <w:lang w:eastAsia="en-GB"/>
        </w:rPr>
        <w:t>MapBox</w:t>
      </w:r>
      <w:proofErr w:type="spellEnd"/>
      <w:r>
        <w:rPr>
          <w:rFonts w:ascii="Calibri" w:eastAsia="Times New Roman" w:hAnsi="Calibri" w:cs="Calibri"/>
          <w:color w:val="000000"/>
          <w:lang w:eastAsia="en-GB"/>
        </w:rPr>
        <w:t xml:space="preserve"> all the interventions as “</w:t>
      </w:r>
      <w:proofErr w:type="spellStart"/>
      <w:r>
        <w:rPr>
          <w:rFonts w:ascii="Calibri" w:eastAsia="Times New Roman" w:hAnsi="Calibri" w:cs="Calibri"/>
          <w:color w:val="000000"/>
          <w:lang w:eastAsia="en-GB"/>
        </w:rPr>
        <w:t>tilesets</w:t>
      </w:r>
      <w:proofErr w:type="spellEnd"/>
      <w:r>
        <w:rPr>
          <w:rFonts w:ascii="Calibri" w:eastAsia="Times New Roman" w:hAnsi="Calibri" w:cs="Calibri"/>
          <w:color w:val="000000"/>
          <w:lang w:eastAsia="en-GB"/>
        </w:rPr>
        <w:t xml:space="preserve">” and code the interactive features, an intermediate passage was needed to create the shapefiles. Since the Manchester Council has not </w:t>
      </w:r>
      <w:r>
        <w:rPr>
          <w:rFonts w:ascii="Calibri" w:eastAsia="Times New Roman" w:hAnsi="Calibri" w:cs="Calibri"/>
          <w:color w:val="000000"/>
          <w:lang w:eastAsia="en-GB"/>
        </w:rPr>
        <w:lastRenderedPageBreak/>
        <w:t xml:space="preserve">released any of the vector file related to these projects, the only feasible way was to create them on </w:t>
      </w:r>
      <w:r w:rsidR="00D64FB8">
        <w:rPr>
          <w:rFonts w:ascii="Calibri" w:eastAsia="Times New Roman" w:hAnsi="Calibri" w:cs="Calibri"/>
          <w:color w:val="000000"/>
          <w:lang w:eastAsia="en-GB"/>
        </w:rPr>
        <w:t xml:space="preserve">the </w:t>
      </w:r>
      <w:r>
        <w:rPr>
          <w:rFonts w:ascii="Calibri" w:eastAsia="Times New Roman" w:hAnsi="Calibri" w:cs="Calibri"/>
          <w:color w:val="000000"/>
          <w:lang w:eastAsia="en-GB"/>
        </w:rPr>
        <w:t>ArcMap</w:t>
      </w:r>
      <w:r w:rsidR="00D64FB8">
        <w:rPr>
          <w:rFonts w:ascii="Calibri" w:eastAsia="Times New Roman" w:hAnsi="Calibri" w:cs="Calibri"/>
          <w:color w:val="000000"/>
          <w:lang w:eastAsia="en-GB"/>
        </w:rPr>
        <w:t xml:space="preserve"> software</w:t>
      </w:r>
      <w:r>
        <w:rPr>
          <w:rFonts w:ascii="Calibri" w:eastAsia="Times New Roman" w:hAnsi="Calibri" w:cs="Calibri"/>
          <w:color w:val="000000"/>
          <w:lang w:eastAsia="en-GB"/>
        </w:rPr>
        <w:t xml:space="preserve">, helped also by OpenStreetMap database covering the Manchester area. </w:t>
      </w:r>
    </w:p>
    <w:p w14:paraId="0C0FB819" w14:textId="77777777" w:rsidR="00D64FB8" w:rsidRDefault="00D64FB8" w:rsidP="0025420A">
      <w:pPr>
        <w:rPr>
          <w:rFonts w:ascii="Calibri" w:eastAsia="Times New Roman" w:hAnsi="Calibri" w:cs="Calibri"/>
          <w:color w:val="000000"/>
          <w:lang w:eastAsia="en-GB"/>
        </w:rPr>
      </w:pPr>
    </w:p>
    <w:p w14:paraId="44FDB448" w14:textId="08D3C7B1" w:rsidR="00D64FB8" w:rsidRPr="00EE2336" w:rsidRDefault="00D64FB8" w:rsidP="0025420A">
      <w:pPr>
        <w:rPr>
          <w:i/>
          <w:noProof/>
        </w:rPr>
      </w:pPr>
      <w:r w:rsidRPr="00EE2336">
        <w:rPr>
          <w:i/>
          <w:noProof/>
        </w:rPr>
        <w:t>Figure 2. ArcMap intermediate step to extract the shapefiles</w:t>
      </w:r>
    </w:p>
    <w:p w14:paraId="574868DD" w14:textId="7F218BD0" w:rsidR="00D64FB8" w:rsidRDefault="00D64FB8" w:rsidP="0025420A">
      <w:pPr>
        <w:rPr>
          <w:rFonts w:ascii="Calibri" w:eastAsia="Times New Roman" w:hAnsi="Calibri" w:cs="Calibri"/>
          <w:color w:val="000000"/>
          <w:lang w:eastAsia="en-GB"/>
        </w:rPr>
      </w:pPr>
      <w:r>
        <w:rPr>
          <w:noProof/>
        </w:rPr>
        <w:drawing>
          <wp:inline distT="0" distB="0" distL="0" distR="0" wp14:anchorId="2908D196" wp14:editId="3D4BB902">
            <wp:extent cx="6012180" cy="4830227"/>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42" r="422" b="32993"/>
                    <a:stretch/>
                  </pic:blipFill>
                  <pic:spPr bwMode="auto">
                    <a:xfrm>
                      <a:off x="0" y="0"/>
                      <a:ext cx="6036782" cy="4849993"/>
                    </a:xfrm>
                    <a:prstGeom prst="rect">
                      <a:avLst/>
                    </a:prstGeom>
                    <a:ln>
                      <a:noFill/>
                    </a:ln>
                    <a:extLst>
                      <a:ext uri="{53640926-AAD7-44D8-BBD7-CCE9431645EC}">
                        <a14:shadowObscured xmlns:a14="http://schemas.microsoft.com/office/drawing/2010/main"/>
                      </a:ext>
                    </a:extLst>
                  </pic:spPr>
                </pic:pic>
              </a:graphicData>
            </a:graphic>
          </wp:inline>
        </w:drawing>
      </w:r>
    </w:p>
    <w:p w14:paraId="112FE1CF" w14:textId="77777777" w:rsidR="008B2454" w:rsidRDefault="008B2454" w:rsidP="0025420A">
      <w:pPr>
        <w:rPr>
          <w:rFonts w:ascii="Calibri" w:eastAsia="Times New Roman" w:hAnsi="Calibri" w:cs="Calibri"/>
          <w:color w:val="000000"/>
          <w:lang w:eastAsia="en-GB"/>
        </w:rPr>
      </w:pPr>
    </w:p>
    <w:p w14:paraId="4B778062" w14:textId="5C2AF919" w:rsidR="005872BA" w:rsidRPr="00F8085D" w:rsidRDefault="0025420A" w:rsidP="0025420A">
      <w:r>
        <w:rPr>
          <w:rFonts w:ascii="Calibri" w:eastAsia="Times New Roman" w:hAnsi="Calibri" w:cs="Calibri"/>
          <w:color w:val="000000"/>
          <w:lang w:eastAsia="en-GB"/>
        </w:rPr>
        <w:t xml:space="preserve">The zipped shapefiles then have been uploaded into </w:t>
      </w:r>
      <w:proofErr w:type="spellStart"/>
      <w:r>
        <w:rPr>
          <w:rFonts w:ascii="Calibri" w:eastAsia="Times New Roman" w:hAnsi="Calibri" w:cs="Calibri"/>
          <w:color w:val="000000"/>
          <w:lang w:eastAsia="en-GB"/>
        </w:rPr>
        <w:t>Mapbox</w:t>
      </w:r>
      <w:proofErr w:type="spellEnd"/>
      <w:r>
        <w:rPr>
          <w:rFonts w:ascii="Calibri" w:eastAsia="Times New Roman" w:hAnsi="Calibri" w:cs="Calibri"/>
          <w:color w:val="000000"/>
          <w:lang w:eastAsia="en-GB"/>
        </w:rPr>
        <w:t xml:space="preserve"> and </w:t>
      </w:r>
      <w:r w:rsidR="005872BA">
        <w:rPr>
          <w:rFonts w:ascii="Calibri" w:eastAsia="Times New Roman" w:hAnsi="Calibri" w:cs="Calibri"/>
          <w:color w:val="000000"/>
          <w:lang w:eastAsia="en-GB"/>
        </w:rPr>
        <w:t>added as</w:t>
      </w:r>
      <w:r w:rsidR="008B2454">
        <w:rPr>
          <w:rFonts w:ascii="Calibri" w:eastAsia="Times New Roman" w:hAnsi="Calibri" w:cs="Calibri"/>
          <w:color w:val="000000"/>
          <w:lang w:eastAsia="en-GB"/>
        </w:rPr>
        <w:t xml:space="preserve"> </w:t>
      </w:r>
      <w:r w:rsidR="005872BA">
        <w:rPr>
          <w:rFonts w:ascii="Calibri" w:eastAsia="Times New Roman" w:hAnsi="Calibri" w:cs="Calibri"/>
          <w:color w:val="000000"/>
          <w:lang w:eastAsia="en-GB"/>
        </w:rPr>
        <w:t>layer</w:t>
      </w:r>
      <w:r w:rsidR="00F8085D">
        <w:rPr>
          <w:rFonts w:ascii="Calibri" w:eastAsia="Times New Roman" w:hAnsi="Calibri" w:cs="Calibri"/>
          <w:color w:val="000000"/>
          <w:lang w:eastAsia="en-GB"/>
        </w:rPr>
        <w:t>s</w:t>
      </w:r>
      <w:r w:rsidR="005872BA">
        <w:rPr>
          <w:rFonts w:ascii="Calibri" w:eastAsia="Times New Roman" w:hAnsi="Calibri" w:cs="Calibri"/>
          <w:color w:val="000000"/>
          <w:lang w:eastAsia="en-GB"/>
        </w:rPr>
        <w:t xml:space="preserve"> to the map visualisation.</w:t>
      </w:r>
      <w:r>
        <w:rPr>
          <w:rFonts w:ascii="Calibri" w:eastAsia="Times New Roman" w:hAnsi="Calibri" w:cs="Calibri"/>
          <w:color w:val="000000"/>
          <w:lang w:eastAsia="en-GB"/>
        </w:rPr>
        <w:t xml:space="preserve"> </w:t>
      </w:r>
      <w:r w:rsidR="002F431A">
        <w:rPr>
          <w:rFonts w:ascii="Calibri" w:eastAsia="Times New Roman" w:hAnsi="Calibri" w:cs="Calibri"/>
          <w:color w:val="000000"/>
          <w:lang w:eastAsia="en-GB"/>
        </w:rPr>
        <w:t xml:space="preserve">Subsequently, </w:t>
      </w:r>
      <w:r w:rsidR="00166AE4">
        <w:rPr>
          <w:rFonts w:ascii="Calibri" w:eastAsia="Times New Roman" w:hAnsi="Calibri" w:cs="Calibri"/>
          <w:color w:val="000000"/>
          <w:lang w:eastAsia="en-GB"/>
        </w:rPr>
        <w:t xml:space="preserve">a </w:t>
      </w:r>
      <w:proofErr w:type="spellStart"/>
      <w:r w:rsidR="00166AE4">
        <w:rPr>
          <w:rFonts w:ascii="Calibri" w:eastAsia="Times New Roman" w:hAnsi="Calibri" w:cs="Calibri"/>
          <w:color w:val="000000"/>
          <w:lang w:eastAsia="en-GB"/>
        </w:rPr>
        <w:t>javascript</w:t>
      </w:r>
      <w:proofErr w:type="spellEnd"/>
      <w:r w:rsidR="00166AE4">
        <w:rPr>
          <w:rFonts w:ascii="Calibri" w:eastAsia="Times New Roman" w:hAnsi="Calibri" w:cs="Calibri"/>
          <w:color w:val="000000"/>
          <w:lang w:eastAsia="en-GB"/>
        </w:rPr>
        <w:t xml:space="preserve"> file was creating adding all the code</w:t>
      </w:r>
      <w:r w:rsidR="008B2454">
        <w:rPr>
          <w:rFonts w:ascii="Calibri" w:eastAsia="Times New Roman" w:hAnsi="Calibri" w:cs="Calibri"/>
          <w:color w:val="000000"/>
          <w:lang w:eastAsia="en-GB"/>
        </w:rPr>
        <w:t>s</w:t>
      </w:r>
      <w:r w:rsidR="00166AE4">
        <w:rPr>
          <w:rFonts w:ascii="Calibri" w:eastAsia="Times New Roman" w:hAnsi="Calibri" w:cs="Calibri"/>
          <w:color w:val="000000"/>
          <w:lang w:eastAsia="en-GB"/>
        </w:rPr>
        <w:t xml:space="preserve"> required using the </w:t>
      </w:r>
      <w:proofErr w:type="spellStart"/>
      <w:r w:rsidR="00166AE4">
        <w:rPr>
          <w:rFonts w:ascii="Calibri" w:eastAsia="Times New Roman" w:hAnsi="Calibri" w:cs="Calibri"/>
          <w:color w:val="000000"/>
          <w:lang w:eastAsia="en-GB"/>
        </w:rPr>
        <w:t>Mapbox</w:t>
      </w:r>
      <w:proofErr w:type="spellEnd"/>
      <w:r w:rsidR="00166AE4">
        <w:rPr>
          <w:rFonts w:ascii="Calibri" w:eastAsia="Times New Roman" w:hAnsi="Calibri" w:cs="Calibri"/>
          <w:color w:val="000000"/>
          <w:lang w:eastAsia="en-GB"/>
        </w:rPr>
        <w:t xml:space="preserve"> GL libraries. Secondly for each layer (representing the interventions) a popup function was applied adapting the code from “</w:t>
      </w:r>
      <w:proofErr w:type="spellStart"/>
      <w:r w:rsidR="00166AE4">
        <w:rPr>
          <w:rFonts w:ascii="Calibri" w:eastAsia="Times New Roman" w:hAnsi="Calibri" w:cs="Calibri"/>
          <w:color w:val="000000"/>
          <w:lang w:eastAsia="en-GB"/>
        </w:rPr>
        <w:t>Mapbox</w:t>
      </w:r>
      <w:proofErr w:type="spellEnd"/>
      <w:r w:rsidR="00166AE4">
        <w:rPr>
          <w:rFonts w:ascii="Calibri" w:eastAsia="Times New Roman" w:hAnsi="Calibri" w:cs="Calibri"/>
          <w:color w:val="000000"/>
          <w:lang w:eastAsia="en-GB"/>
        </w:rPr>
        <w:t xml:space="preserve"> Examples” </w:t>
      </w:r>
      <w:r w:rsidR="00F8085D">
        <w:rPr>
          <w:rFonts w:ascii="Calibri" w:eastAsia="Times New Roman" w:hAnsi="Calibri" w:cs="Calibri"/>
          <w:color w:val="000000"/>
          <w:lang w:eastAsia="en-GB"/>
        </w:rPr>
        <w:t>webpage (</w:t>
      </w:r>
      <w:proofErr w:type="spellStart"/>
      <w:r w:rsidR="00F8085D">
        <w:rPr>
          <w:rFonts w:ascii="Calibri" w:eastAsia="Times New Roman" w:hAnsi="Calibri" w:cs="Calibri"/>
          <w:color w:val="000000"/>
          <w:lang w:eastAsia="en-GB"/>
        </w:rPr>
        <w:t>Mapbox</w:t>
      </w:r>
      <w:proofErr w:type="spellEnd"/>
      <w:r w:rsidR="00F8085D">
        <w:rPr>
          <w:rFonts w:ascii="Calibri" w:eastAsia="Times New Roman" w:hAnsi="Calibri" w:cs="Calibri"/>
          <w:color w:val="000000"/>
          <w:lang w:eastAsia="en-GB"/>
        </w:rPr>
        <w:t>, 2019a</w:t>
      </w:r>
      <w:r w:rsidR="00166AE4">
        <w:t xml:space="preserve">). Finally, adapting the code from </w:t>
      </w:r>
      <w:r w:rsidR="00D334F4">
        <w:t>the webpage “</w:t>
      </w:r>
      <w:r w:rsidR="00D334F4" w:rsidRPr="00D334F4">
        <w:t>Fly to a location based on scroll position</w:t>
      </w:r>
      <w:r w:rsidR="00D334F4">
        <w:t>” (</w:t>
      </w:r>
      <w:proofErr w:type="spellStart"/>
      <w:r w:rsidR="00F8085D">
        <w:rPr>
          <w:rFonts w:ascii="Calibri" w:eastAsia="Times New Roman" w:hAnsi="Calibri" w:cs="Calibri"/>
          <w:color w:val="000000"/>
          <w:lang w:eastAsia="en-GB"/>
        </w:rPr>
        <w:t>Mapbox</w:t>
      </w:r>
      <w:proofErr w:type="spellEnd"/>
      <w:r w:rsidR="00F8085D">
        <w:rPr>
          <w:rFonts w:ascii="Calibri" w:eastAsia="Times New Roman" w:hAnsi="Calibri" w:cs="Calibri"/>
          <w:color w:val="000000"/>
          <w:lang w:eastAsia="en-GB"/>
        </w:rPr>
        <w:t>, 2019</w:t>
      </w:r>
      <w:r w:rsidR="00881388">
        <w:rPr>
          <w:rFonts w:ascii="Calibri" w:eastAsia="Times New Roman" w:hAnsi="Calibri" w:cs="Calibri"/>
          <w:color w:val="000000"/>
          <w:lang w:eastAsia="en-GB"/>
        </w:rPr>
        <w:t>b</w:t>
      </w:r>
      <w:r w:rsidR="00F8085D">
        <w:t xml:space="preserve">), </w:t>
      </w:r>
      <w:r w:rsidR="00166AE4">
        <w:t>a sliding bar was designed to show more information about each layer, the interactive aspect was guaranteed</w:t>
      </w:r>
      <w:r w:rsidR="00F8085D">
        <w:t xml:space="preserve"> </w:t>
      </w:r>
      <w:r w:rsidR="00166AE4">
        <w:t>by using the “</w:t>
      </w:r>
      <w:proofErr w:type="spellStart"/>
      <w:r w:rsidR="00166AE4">
        <w:t>map.flyTo</w:t>
      </w:r>
      <w:proofErr w:type="spellEnd"/>
      <w:r w:rsidR="00166AE4">
        <w:t>” function which zooms-in to each layer.</w:t>
      </w:r>
    </w:p>
    <w:p w14:paraId="38089F0E" w14:textId="77777777" w:rsidR="00F8085D" w:rsidRDefault="00F8085D"/>
    <w:p w14:paraId="69EC0F07" w14:textId="16B797D7" w:rsidR="0025420A" w:rsidRPr="00EE2336" w:rsidRDefault="00EE2336">
      <w:pPr>
        <w:rPr>
          <w:b/>
        </w:rPr>
      </w:pPr>
      <w:r w:rsidRPr="00EE2336">
        <w:rPr>
          <w:b/>
        </w:rPr>
        <w:t>1.2</w:t>
      </w:r>
      <w:r w:rsidR="00000422" w:rsidRPr="00EE2336">
        <w:rPr>
          <w:b/>
        </w:rPr>
        <w:t xml:space="preserve"> </w:t>
      </w:r>
      <w:r w:rsidR="005872BA" w:rsidRPr="00EE2336">
        <w:rPr>
          <w:b/>
        </w:rPr>
        <w:t>Results</w:t>
      </w:r>
    </w:p>
    <w:p w14:paraId="05F5D826" w14:textId="65A2161D" w:rsidR="005872BA" w:rsidRDefault="005872BA">
      <w:r>
        <w:t>The maps want to communicate the future projects related to the accessibility improvements, the web-page design is composed by two sliding columns and the central map showing the Greater Manchester area and</w:t>
      </w:r>
      <w:r w:rsidR="00F8085D">
        <w:t xml:space="preserve"> the</w:t>
      </w:r>
      <w:r>
        <w:t xml:space="preserve"> </w:t>
      </w:r>
      <w:r w:rsidR="00F8085D">
        <w:t>seven</w:t>
      </w:r>
      <w:r>
        <w:t xml:space="preserve"> layers showing the above-mentioned interventions. </w:t>
      </w:r>
    </w:p>
    <w:p w14:paraId="790D79AD" w14:textId="77777777" w:rsidR="006A5EAC" w:rsidRPr="00EE2336" w:rsidRDefault="006A5EAC" w:rsidP="006A5EAC">
      <w:pPr>
        <w:rPr>
          <w:i/>
        </w:rPr>
      </w:pPr>
      <w:r w:rsidRPr="00EE2336">
        <w:rPr>
          <w:i/>
        </w:rPr>
        <w:lastRenderedPageBreak/>
        <w:t>Figure 3. Final visualization of the strategic interventions</w:t>
      </w:r>
    </w:p>
    <w:p w14:paraId="02E7289B" w14:textId="44FDFE8F" w:rsidR="006A5EAC" w:rsidRDefault="006A5EAC">
      <w:pPr>
        <w:rPr>
          <w:noProof/>
        </w:rPr>
      </w:pPr>
      <w:r>
        <w:rPr>
          <w:noProof/>
        </w:rPr>
        <w:drawing>
          <wp:inline distT="0" distB="0" distL="0" distR="0" wp14:anchorId="59B87C4E" wp14:editId="1585B1AD">
            <wp:extent cx="5731510" cy="25463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46350"/>
                    </a:xfrm>
                    <a:prstGeom prst="rect">
                      <a:avLst/>
                    </a:prstGeom>
                  </pic:spPr>
                </pic:pic>
              </a:graphicData>
            </a:graphic>
          </wp:inline>
        </w:drawing>
      </w:r>
    </w:p>
    <w:p w14:paraId="2E80F354" w14:textId="44B32FE8" w:rsidR="006A5EAC" w:rsidRPr="00881388" w:rsidRDefault="005872BA">
      <w:r>
        <w:t xml:space="preserve">The left column gives some general indications about the Manchester 2040 Strategy and </w:t>
      </w:r>
      <w:r w:rsidR="003C5AE9">
        <w:t>emphasize the second pillar about inclusive-accessible idea. The right-hand-side column give more information about each intervention, the vertical sliding bar jumps to each of the intervention areas when scrolling down to the next section.</w:t>
      </w:r>
    </w:p>
    <w:p w14:paraId="3E0AEC7A" w14:textId="77A30992" w:rsidR="00000422" w:rsidRPr="00881388" w:rsidRDefault="0031626D">
      <w:pPr>
        <w:rPr>
          <w:b/>
        </w:rPr>
      </w:pPr>
      <w:r w:rsidRPr="00EE2336">
        <w:rPr>
          <w:b/>
        </w:rPr>
        <w:t>Bibliography</w:t>
      </w:r>
    </w:p>
    <w:p w14:paraId="10C690A0" w14:textId="4F4AD678" w:rsidR="00EE2336" w:rsidRDefault="00EE2336" w:rsidP="00EE2336">
      <w:pPr>
        <w:rPr>
          <w:rFonts w:ascii="Calibri" w:eastAsia="Times New Roman" w:hAnsi="Calibri" w:cs="Calibri"/>
          <w:color w:val="000000"/>
          <w:lang w:eastAsia="en-GB"/>
        </w:rPr>
      </w:pPr>
      <w:proofErr w:type="spellStart"/>
      <w:r w:rsidRPr="00EE2336">
        <w:rPr>
          <w:rFonts w:ascii="Calibri" w:eastAsia="Times New Roman" w:hAnsi="Calibri" w:cs="Calibri"/>
          <w:color w:val="000000"/>
          <w:lang w:eastAsia="en-GB"/>
        </w:rPr>
        <w:t>Bocarejo</w:t>
      </w:r>
      <w:proofErr w:type="spellEnd"/>
      <w:r w:rsidRPr="00EE2336">
        <w:rPr>
          <w:rFonts w:ascii="Calibri" w:eastAsia="Times New Roman" w:hAnsi="Calibri" w:cs="Calibri"/>
          <w:color w:val="000000"/>
          <w:lang w:eastAsia="en-GB"/>
        </w:rPr>
        <w:t xml:space="preserve"> S., J.P., Oviedo H., D.R., </w:t>
      </w:r>
      <w:r>
        <w:rPr>
          <w:rFonts w:ascii="Calibri" w:eastAsia="Times New Roman" w:hAnsi="Calibri" w:cs="Calibri"/>
          <w:color w:val="000000"/>
          <w:lang w:eastAsia="en-GB"/>
        </w:rPr>
        <w:t>(</w:t>
      </w:r>
      <w:r w:rsidRPr="00EE2336">
        <w:rPr>
          <w:rFonts w:ascii="Calibri" w:eastAsia="Times New Roman" w:hAnsi="Calibri" w:cs="Calibri"/>
          <w:color w:val="000000"/>
          <w:lang w:eastAsia="en-GB"/>
        </w:rPr>
        <w:t>2012</w:t>
      </w:r>
      <w:r>
        <w:rPr>
          <w:rFonts w:ascii="Calibri" w:eastAsia="Times New Roman" w:hAnsi="Calibri" w:cs="Calibri"/>
          <w:color w:val="000000"/>
          <w:lang w:eastAsia="en-GB"/>
        </w:rPr>
        <w:t>)</w:t>
      </w:r>
      <w:r w:rsidRPr="00EE2336">
        <w:rPr>
          <w:rFonts w:ascii="Calibri" w:eastAsia="Times New Roman" w:hAnsi="Calibri" w:cs="Calibri"/>
          <w:color w:val="000000"/>
          <w:lang w:eastAsia="en-GB"/>
        </w:rPr>
        <w:t xml:space="preserve"> Transport accessibility and social inequities: a tool for identification of mobility needs and evaluation of transport investments. Journal of Transport Geography, Special Section on Theoretical Perspectives on Climate Change Mitigation in Transport 24, 142–154. </w:t>
      </w:r>
      <w:hyperlink r:id="rId8" w:history="1">
        <w:r w:rsidRPr="006501E9">
          <w:rPr>
            <w:rStyle w:val="Hyperlink"/>
            <w:rFonts w:ascii="Calibri" w:eastAsia="Times New Roman" w:hAnsi="Calibri" w:cs="Calibri"/>
            <w:lang w:eastAsia="en-GB"/>
          </w:rPr>
          <w:t>https://doi.org/10.1016/j.jtrangeo.2011.12.004</w:t>
        </w:r>
      </w:hyperlink>
      <w:r>
        <w:rPr>
          <w:rFonts w:ascii="Calibri" w:eastAsia="Times New Roman" w:hAnsi="Calibri" w:cs="Calibri"/>
          <w:color w:val="000000"/>
          <w:lang w:eastAsia="en-GB"/>
        </w:rPr>
        <w:t xml:space="preserve"> </w:t>
      </w:r>
    </w:p>
    <w:p w14:paraId="05129DDA" w14:textId="134FC0D5" w:rsidR="00EE2336" w:rsidRPr="00EE2336" w:rsidRDefault="00EE2336" w:rsidP="00EE2336">
      <w:r>
        <w:t>Great Britain. Department for Transport (2018) ‘</w:t>
      </w:r>
      <w:r w:rsidRPr="00000422">
        <w:t>Inclusive Transport Strategy</w:t>
      </w:r>
      <w:r>
        <w:t xml:space="preserve">’ Available at: </w:t>
      </w:r>
      <w:hyperlink r:id="rId9" w:history="1">
        <w:r w:rsidRPr="006501E9">
          <w:rPr>
            <w:rStyle w:val="Hyperlink"/>
          </w:rPr>
          <w:t>https://assets.publishing.service.gov.uk/government/uploads/system/uploads/attachment_data/file/728547/inclusive-transport-strategy.pdf</w:t>
        </w:r>
      </w:hyperlink>
      <w:r>
        <w:t xml:space="preserve"> (Accessed: 10 May 2019)</w:t>
      </w:r>
    </w:p>
    <w:p w14:paraId="75855D25" w14:textId="20E825C1" w:rsidR="00EE2336" w:rsidRDefault="00EE2336" w:rsidP="00EE2336">
      <w:pPr>
        <w:rPr>
          <w:rFonts w:ascii="Calibri" w:eastAsia="Times New Roman" w:hAnsi="Calibri" w:cs="Calibri"/>
          <w:color w:val="000000"/>
          <w:lang w:eastAsia="en-GB"/>
        </w:rPr>
      </w:pPr>
      <w:r w:rsidRPr="00EE2336">
        <w:rPr>
          <w:rFonts w:ascii="Calibri" w:eastAsia="Times New Roman" w:hAnsi="Calibri" w:cs="Calibri"/>
          <w:color w:val="000000"/>
          <w:lang w:eastAsia="en-GB"/>
        </w:rPr>
        <w:t xml:space="preserve">Hine, J., </w:t>
      </w:r>
      <w:r>
        <w:rPr>
          <w:rFonts w:ascii="Calibri" w:eastAsia="Times New Roman" w:hAnsi="Calibri" w:cs="Calibri"/>
          <w:color w:val="000000"/>
          <w:lang w:eastAsia="en-GB"/>
        </w:rPr>
        <w:t>(</w:t>
      </w:r>
      <w:r w:rsidRPr="00EE2336">
        <w:rPr>
          <w:rFonts w:ascii="Calibri" w:eastAsia="Times New Roman" w:hAnsi="Calibri" w:cs="Calibri"/>
          <w:color w:val="000000"/>
          <w:lang w:eastAsia="en-GB"/>
        </w:rPr>
        <w:t>2016</w:t>
      </w:r>
      <w:r>
        <w:rPr>
          <w:rFonts w:ascii="Calibri" w:eastAsia="Times New Roman" w:hAnsi="Calibri" w:cs="Calibri"/>
          <w:color w:val="000000"/>
          <w:lang w:eastAsia="en-GB"/>
        </w:rPr>
        <w:t>)</w:t>
      </w:r>
      <w:r w:rsidRPr="00EE2336">
        <w:rPr>
          <w:rFonts w:ascii="Calibri" w:eastAsia="Times New Roman" w:hAnsi="Calibri" w:cs="Calibri"/>
          <w:color w:val="000000"/>
          <w:lang w:eastAsia="en-GB"/>
        </w:rPr>
        <w:t xml:space="preserve"> Mobility and Transport Disadvantage [WWW Document]. Mobilities: New Perspectives on Transport and Society. </w:t>
      </w:r>
      <w:hyperlink r:id="rId10" w:history="1">
        <w:r w:rsidRPr="006501E9">
          <w:rPr>
            <w:rStyle w:val="Hyperlink"/>
            <w:rFonts w:ascii="Calibri" w:eastAsia="Times New Roman" w:hAnsi="Calibri" w:cs="Calibri"/>
            <w:lang w:eastAsia="en-GB"/>
          </w:rPr>
          <w:t>https://doi.org/10.4324/9781315595733-7</w:t>
        </w:r>
      </w:hyperlink>
      <w:r>
        <w:rPr>
          <w:rFonts w:ascii="Calibri" w:eastAsia="Times New Roman" w:hAnsi="Calibri" w:cs="Calibri"/>
          <w:color w:val="000000"/>
          <w:lang w:eastAsia="en-GB"/>
        </w:rPr>
        <w:t xml:space="preserve"> </w:t>
      </w:r>
    </w:p>
    <w:p w14:paraId="2D186B16" w14:textId="77777777" w:rsidR="00EE2336" w:rsidRDefault="00EE2336" w:rsidP="00EE2336">
      <w:proofErr w:type="spellStart"/>
      <w:r>
        <w:rPr>
          <w:rFonts w:ascii="Calibri" w:eastAsia="Times New Roman" w:hAnsi="Calibri" w:cs="Calibri"/>
          <w:color w:val="000000"/>
          <w:lang w:eastAsia="en-GB"/>
        </w:rPr>
        <w:t>Mapbox</w:t>
      </w:r>
      <w:proofErr w:type="spellEnd"/>
      <w:r>
        <w:rPr>
          <w:rFonts w:ascii="Calibri" w:eastAsia="Times New Roman" w:hAnsi="Calibri" w:cs="Calibri"/>
          <w:color w:val="000000"/>
          <w:lang w:eastAsia="en-GB"/>
        </w:rPr>
        <w:t xml:space="preserve"> (2019a) ‘</w:t>
      </w:r>
      <w:r w:rsidRPr="00000422">
        <w:rPr>
          <w:rFonts w:ascii="Calibri" w:eastAsia="Times New Roman" w:hAnsi="Calibri" w:cs="Calibri"/>
          <w:color w:val="000000"/>
          <w:lang w:eastAsia="en-GB"/>
        </w:rPr>
        <w:t>Display a popup on click</w:t>
      </w:r>
      <w:r>
        <w:rPr>
          <w:rFonts w:ascii="Calibri" w:eastAsia="Times New Roman" w:hAnsi="Calibri" w:cs="Calibri"/>
          <w:color w:val="000000"/>
          <w:lang w:eastAsia="en-GB"/>
        </w:rPr>
        <w:t xml:space="preserve">’ Available at: </w:t>
      </w:r>
      <w:hyperlink r:id="rId11" w:history="1">
        <w:r w:rsidRPr="006501E9">
          <w:rPr>
            <w:rStyle w:val="Hyperlink"/>
          </w:rPr>
          <w:t>https://docs.mapbox.com/mapbox-gl-js/example/popup-on-click/</w:t>
        </w:r>
      </w:hyperlink>
      <w:r>
        <w:t xml:space="preserve"> (Accessed: 10 May 2019)</w:t>
      </w:r>
    </w:p>
    <w:p w14:paraId="04FD123E" w14:textId="18855EA2" w:rsidR="00EE2336" w:rsidRPr="00EE2336" w:rsidRDefault="00EE2336" w:rsidP="00EE2336">
      <w:pPr>
        <w:rPr>
          <w:rFonts w:ascii="Calibri" w:eastAsia="Times New Roman" w:hAnsi="Calibri" w:cs="Calibri"/>
          <w:color w:val="000000"/>
          <w:lang w:eastAsia="en-GB"/>
        </w:rPr>
      </w:pPr>
      <w:proofErr w:type="spellStart"/>
      <w:r>
        <w:rPr>
          <w:rFonts w:ascii="Calibri" w:eastAsia="Times New Roman" w:hAnsi="Calibri" w:cs="Calibri"/>
          <w:color w:val="000000"/>
          <w:lang w:eastAsia="en-GB"/>
        </w:rPr>
        <w:t>Mapbox</w:t>
      </w:r>
      <w:proofErr w:type="spellEnd"/>
      <w:r>
        <w:rPr>
          <w:rFonts w:ascii="Calibri" w:eastAsia="Times New Roman" w:hAnsi="Calibri" w:cs="Calibri"/>
          <w:color w:val="000000"/>
          <w:lang w:eastAsia="en-GB"/>
        </w:rPr>
        <w:t xml:space="preserve"> (2019b) ‘</w:t>
      </w:r>
      <w:r w:rsidRPr="00000422">
        <w:rPr>
          <w:rFonts w:ascii="Calibri" w:eastAsia="Times New Roman" w:hAnsi="Calibri" w:cs="Calibri"/>
          <w:color w:val="000000"/>
          <w:lang w:eastAsia="en-GB"/>
        </w:rPr>
        <w:t>Fly to a location based on scroll position</w:t>
      </w:r>
      <w:r>
        <w:rPr>
          <w:rFonts w:ascii="Calibri" w:eastAsia="Times New Roman" w:hAnsi="Calibri" w:cs="Calibri"/>
          <w:color w:val="000000"/>
          <w:lang w:eastAsia="en-GB"/>
        </w:rPr>
        <w:t xml:space="preserve">’ Available at: </w:t>
      </w:r>
      <w:hyperlink r:id="rId12" w:history="1">
        <w:r>
          <w:rPr>
            <w:rStyle w:val="Hyperlink"/>
          </w:rPr>
          <w:t>https://docs.mapbox.com/mapbox-gl-js/example/scroll-fly-to/</w:t>
        </w:r>
      </w:hyperlink>
      <w:r>
        <w:t xml:space="preserve"> (Accessed: 10 May 2019)</w:t>
      </w:r>
      <w:r>
        <w:rPr>
          <w:rFonts w:ascii="Calibri" w:eastAsia="Times New Roman" w:hAnsi="Calibri" w:cs="Calibri"/>
          <w:color w:val="000000"/>
          <w:lang w:eastAsia="en-GB"/>
        </w:rPr>
        <w:t xml:space="preserve"> </w:t>
      </w:r>
    </w:p>
    <w:p w14:paraId="18533A92" w14:textId="597A1B5C" w:rsidR="00EE2336" w:rsidRPr="00EE2336" w:rsidRDefault="00EE2336" w:rsidP="00EE2336">
      <w:pPr>
        <w:rPr>
          <w:rFonts w:ascii="Calibri" w:eastAsia="Times New Roman" w:hAnsi="Calibri" w:cs="Calibri"/>
          <w:color w:val="000000"/>
          <w:lang w:eastAsia="en-GB"/>
        </w:rPr>
      </w:pPr>
      <w:r w:rsidRPr="00EE2336">
        <w:rPr>
          <w:rFonts w:ascii="Calibri" w:eastAsia="Times New Roman" w:hAnsi="Calibri" w:cs="Calibri"/>
          <w:color w:val="000000"/>
          <w:lang w:eastAsia="en-GB"/>
        </w:rPr>
        <w:t xml:space="preserve">Preston, J., </w:t>
      </w:r>
      <w:proofErr w:type="spellStart"/>
      <w:r w:rsidRPr="00EE2336">
        <w:rPr>
          <w:rFonts w:ascii="Calibri" w:eastAsia="Times New Roman" w:hAnsi="Calibri" w:cs="Calibri"/>
          <w:color w:val="000000"/>
          <w:lang w:eastAsia="en-GB"/>
        </w:rPr>
        <w:t>Rajé</w:t>
      </w:r>
      <w:proofErr w:type="spellEnd"/>
      <w:r w:rsidRPr="00EE2336">
        <w:rPr>
          <w:rFonts w:ascii="Calibri" w:eastAsia="Times New Roman" w:hAnsi="Calibri" w:cs="Calibri"/>
          <w:color w:val="000000"/>
          <w:lang w:eastAsia="en-GB"/>
        </w:rPr>
        <w:t xml:space="preserve">, F., </w:t>
      </w:r>
      <w:r>
        <w:rPr>
          <w:rFonts w:ascii="Calibri" w:eastAsia="Times New Roman" w:hAnsi="Calibri" w:cs="Calibri"/>
          <w:color w:val="000000"/>
          <w:lang w:eastAsia="en-GB"/>
        </w:rPr>
        <w:t>(</w:t>
      </w:r>
      <w:r w:rsidRPr="00EE2336">
        <w:rPr>
          <w:rFonts w:ascii="Calibri" w:eastAsia="Times New Roman" w:hAnsi="Calibri" w:cs="Calibri"/>
          <w:color w:val="000000"/>
          <w:lang w:eastAsia="en-GB"/>
        </w:rPr>
        <w:t>2007</w:t>
      </w:r>
      <w:r>
        <w:rPr>
          <w:rFonts w:ascii="Calibri" w:eastAsia="Times New Roman" w:hAnsi="Calibri" w:cs="Calibri"/>
          <w:color w:val="000000"/>
          <w:lang w:eastAsia="en-GB"/>
        </w:rPr>
        <w:t>)</w:t>
      </w:r>
      <w:r w:rsidRPr="00EE2336">
        <w:rPr>
          <w:rFonts w:ascii="Calibri" w:eastAsia="Times New Roman" w:hAnsi="Calibri" w:cs="Calibri"/>
          <w:color w:val="000000"/>
          <w:lang w:eastAsia="en-GB"/>
        </w:rPr>
        <w:t xml:space="preserve"> Accessibility, mobility and transport-related social exclusion. Journal of </w:t>
      </w:r>
      <w:bookmarkStart w:id="0" w:name="_GoBack"/>
      <w:bookmarkEnd w:id="0"/>
      <w:r w:rsidRPr="00EE2336">
        <w:rPr>
          <w:rFonts w:ascii="Calibri" w:eastAsia="Times New Roman" w:hAnsi="Calibri" w:cs="Calibri"/>
          <w:color w:val="000000"/>
          <w:lang w:eastAsia="en-GB"/>
        </w:rPr>
        <w:t xml:space="preserve">Transport Geography 15, 151–160. </w:t>
      </w:r>
      <w:hyperlink r:id="rId13" w:history="1">
        <w:r w:rsidRPr="006501E9">
          <w:rPr>
            <w:rStyle w:val="Hyperlink"/>
            <w:rFonts w:ascii="Calibri" w:eastAsia="Times New Roman" w:hAnsi="Calibri" w:cs="Calibri"/>
            <w:lang w:eastAsia="en-GB"/>
          </w:rPr>
          <w:t>https://doi.org/10.1016/j.jtrangeo.2006.05.002</w:t>
        </w:r>
      </w:hyperlink>
      <w:r>
        <w:rPr>
          <w:rFonts w:ascii="Calibri" w:eastAsia="Times New Roman" w:hAnsi="Calibri" w:cs="Calibri"/>
          <w:color w:val="000000"/>
          <w:lang w:eastAsia="en-GB"/>
        </w:rPr>
        <w:t xml:space="preserve"> </w:t>
      </w:r>
    </w:p>
    <w:p w14:paraId="7DF0E63E" w14:textId="0685DE1B" w:rsidR="00EE2336" w:rsidRDefault="00EE2336">
      <w:pPr>
        <w:rPr>
          <w:rFonts w:ascii="Calibri" w:eastAsia="Times New Roman" w:hAnsi="Calibri" w:cs="Calibri"/>
          <w:color w:val="000000"/>
          <w:lang w:eastAsia="en-GB"/>
        </w:rPr>
      </w:pPr>
      <w:r w:rsidRPr="00EE2336">
        <w:rPr>
          <w:rFonts w:ascii="Calibri" w:eastAsia="Times New Roman" w:hAnsi="Calibri" w:cs="Calibri"/>
          <w:color w:val="000000"/>
          <w:lang w:eastAsia="en-GB"/>
        </w:rPr>
        <w:t xml:space="preserve">Sze, N.N., Christensen, K.M., </w:t>
      </w:r>
      <w:r>
        <w:rPr>
          <w:rFonts w:ascii="Calibri" w:eastAsia="Times New Roman" w:hAnsi="Calibri" w:cs="Calibri"/>
          <w:color w:val="000000"/>
          <w:lang w:eastAsia="en-GB"/>
        </w:rPr>
        <w:t>(</w:t>
      </w:r>
      <w:r w:rsidRPr="00EE2336">
        <w:rPr>
          <w:rFonts w:ascii="Calibri" w:eastAsia="Times New Roman" w:hAnsi="Calibri" w:cs="Calibri"/>
          <w:color w:val="000000"/>
          <w:lang w:eastAsia="en-GB"/>
        </w:rPr>
        <w:t>2017</w:t>
      </w:r>
      <w:r>
        <w:rPr>
          <w:rFonts w:ascii="Calibri" w:eastAsia="Times New Roman" w:hAnsi="Calibri" w:cs="Calibri"/>
          <w:color w:val="000000"/>
          <w:lang w:eastAsia="en-GB"/>
        </w:rPr>
        <w:t>)</w:t>
      </w:r>
      <w:r w:rsidRPr="00EE2336">
        <w:rPr>
          <w:rFonts w:ascii="Calibri" w:eastAsia="Times New Roman" w:hAnsi="Calibri" w:cs="Calibri"/>
          <w:color w:val="000000"/>
          <w:lang w:eastAsia="en-GB"/>
        </w:rPr>
        <w:t xml:space="preserve"> Access to urban transportation system for individuals with disabilities. IATSS Research, Safe and Sustainable Transport for All 41, 66–73. </w:t>
      </w:r>
      <w:hyperlink r:id="rId14" w:history="1">
        <w:r w:rsidRPr="006501E9">
          <w:rPr>
            <w:rStyle w:val="Hyperlink"/>
            <w:rFonts w:ascii="Calibri" w:eastAsia="Times New Roman" w:hAnsi="Calibri" w:cs="Calibri"/>
            <w:lang w:eastAsia="en-GB"/>
          </w:rPr>
          <w:t>https://doi.org/10.1016/j.iatssr.2017.05.002</w:t>
        </w:r>
      </w:hyperlink>
      <w:r>
        <w:rPr>
          <w:rFonts w:ascii="Calibri" w:eastAsia="Times New Roman" w:hAnsi="Calibri" w:cs="Calibri"/>
          <w:color w:val="000000"/>
          <w:lang w:eastAsia="en-GB"/>
        </w:rPr>
        <w:t xml:space="preserve"> </w:t>
      </w:r>
    </w:p>
    <w:p w14:paraId="58A654F3" w14:textId="18F3362A" w:rsidR="00881388" w:rsidRPr="00EE2336" w:rsidRDefault="00881388">
      <w:pPr>
        <w:rPr>
          <w:rFonts w:ascii="Calibri" w:eastAsia="Times New Roman" w:hAnsi="Calibri" w:cs="Calibri"/>
          <w:color w:val="000000"/>
          <w:lang w:eastAsia="en-GB"/>
        </w:rPr>
      </w:pPr>
      <w:r>
        <w:rPr>
          <w:rFonts w:ascii="Calibri" w:eastAsia="Times New Roman" w:hAnsi="Calibri" w:cs="Calibri"/>
          <w:color w:val="000000"/>
          <w:lang w:eastAsia="en-GB"/>
        </w:rPr>
        <w:t>Transport for Greater Manchester (2019) ‘</w:t>
      </w:r>
      <w:r w:rsidRPr="00881388">
        <w:rPr>
          <w:rFonts w:ascii="Calibri" w:eastAsia="Times New Roman" w:hAnsi="Calibri" w:cs="Calibri"/>
          <w:color w:val="000000"/>
          <w:lang w:eastAsia="en-GB"/>
        </w:rPr>
        <w:t>The Greater Manchester Transport Strategy 2040</w:t>
      </w:r>
      <w:r>
        <w:rPr>
          <w:rFonts w:ascii="Calibri" w:eastAsia="Times New Roman" w:hAnsi="Calibri" w:cs="Calibri"/>
          <w:color w:val="000000"/>
          <w:lang w:eastAsia="en-GB"/>
        </w:rPr>
        <w:t xml:space="preserve">’ Available at: </w:t>
      </w:r>
      <w:hyperlink r:id="rId15" w:history="1">
        <w:r>
          <w:rPr>
            <w:rStyle w:val="Hyperlink"/>
          </w:rPr>
          <w:t>https://downloads.ctfassets.net/nv7y93idf4jq/7FiejTsJ68eaa8wQw8MiWw/bc4f3a45f6685148eba2acb618c2424f/03._GM_2040_TS_Full.pdf</w:t>
        </w:r>
      </w:hyperlink>
      <w:r>
        <w:t xml:space="preserve"> (Accessed: 10 may 2019)</w:t>
      </w:r>
    </w:p>
    <w:sectPr w:rsidR="00881388" w:rsidRPr="00EE23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A41BC8"/>
    <w:multiLevelType w:val="hybridMultilevel"/>
    <w:tmpl w:val="9454BD30"/>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BE4"/>
    <w:rsid w:val="00000422"/>
    <w:rsid w:val="00014312"/>
    <w:rsid w:val="00020F0C"/>
    <w:rsid w:val="0003002D"/>
    <w:rsid w:val="00071076"/>
    <w:rsid w:val="000E2B2C"/>
    <w:rsid w:val="00166AE4"/>
    <w:rsid w:val="001E3986"/>
    <w:rsid w:val="00217E86"/>
    <w:rsid w:val="0025420A"/>
    <w:rsid w:val="002F431A"/>
    <w:rsid w:val="0031626D"/>
    <w:rsid w:val="003C5AE9"/>
    <w:rsid w:val="005872BA"/>
    <w:rsid w:val="006A5EAC"/>
    <w:rsid w:val="006B2A17"/>
    <w:rsid w:val="007607C0"/>
    <w:rsid w:val="00851A7E"/>
    <w:rsid w:val="00881388"/>
    <w:rsid w:val="008B2454"/>
    <w:rsid w:val="009672E1"/>
    <w:rsid w:val="00C74BE4"/>
    <w:rsid w:val="00D16060"/>
    <w:rsid w:val="00D334F4"/>
    <w:rsid w:val="00D540A9"/>
    <w:rsid w:val="00D64FB8"/>
    <w:rsid w:val="00DF723A"/>
    <w:rsid w:val="00E845EC"/>
    <w:rsid w:val="00E918D3"/>
    <w:rsid w:val="00EE2336"/>
    <w:rsid w:val="00F41B7A"/>
    <w:rsid w:val="00F808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AE9F3"/>
  <w15:chartTrackingRefBased/>
  <w15:docId w15:val="{017A6845-12FB-499A-A657-058CFB8CB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1626D"/>
    <w:rPr>
      <w:color w:val="0000FF"/>
      <w:u w:val="single"/>
    </w:rPr>
  </w:style>
  <w:style w:type="character" w:styleId="UnresolvedMention">
    <w:name w:val="Unresolved Mention"/>
    <w:basedOn w:val="DefaultParagraphFont"/>
    <w:uiPriority w:val="99"/>
    <w:semiHidden/>
    <w:unhideWhenUsed/>
    <w:rsid w:val="0031626D"/>
    <w:rPr>
      <w:color w:val="605E5C"/>
      <w:shd w:val="clear" w:color="auto" w:fill="E1DFDD"/>
    </w:rPr>
  </w:style>
  <w:style w:type="table" w:styleId="PlainTable1">
    <w:name w:val="Plain Table 1"/>
    <w:basedOn w:val="TableNormal"/>
    <w:uiPriority w:val="41"/>
    <w:rsid w:val="00E845E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000422"/>
    <w:pPr>
      <w:ind w:left="720"/>
      <w:contextualSpacing/>
    </w:pPr>
  </w:style>
  <w:style w:type="character" w:styleId="FollowedHyperlink">
    <w:name w:val="FollowedHyperlink"/>
    <w:basedOn w:val="DefaultParagraphFont"/>
    <w:uiPriority w:val="99"/>
    <w:semiHidden/>
    <w:unhideWhenUsed/>
    <w:rsid w:val="000004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1861129">
      <w:bodyDiv w:val="1"/>
      <w:marLeft w:val="0"/>
      <w:marRight w:val="0"/>
      <w:marTop w:val="0"/>
      <w:marBottom w:val="0"/>
      <w:divBdr>
        <w:top w:val="none" w:sz="0" w:space="0" w:color="auto"/>
        <w:left w:val="none" w:sz="0" w:space="0" w:color="auto"/>
        <w:bottom w:val="none" w:sz="0" w:space="0" w:color="auto"/>
        <w:right w:val="none" w:sz="0" w:space="0" w:color="auto"/>
      </w:divBdr>
    </w:div>
    <w:div w:id="1045446850">
      <w:bodyDiv w:val="1"/>
      <w:marLeft w:val="0"/>
      <w:marRight w:val="0"/>
      <w:marTop w:val="0"/>
      <w:marBottom w:val="0"/>
      <w:divBdr>
        <w:top w:val="none" w:sz="0" w:space="0" w:color="auto"/>
        <w:left w:val="none" w:sz="0" w:space="0" w:color="auto"/>
        <w:bottom w:val="none" w:sz="0" w:space="0" w:color="auto"/>
        <w:right w:val="none" w:sz="0" w:space="0" w:color="auto"/>
      </w:divBdr>
      <w:divsChild>
        <w:div w:id="614093795">
          <w:marLeft w:val="480"/>
          <w:marRight w:val="0"/>
          <w:marTop w:val="0"/>
          <w:marBottom w:val="0"/>
          <w:divBdr>
            <w:top w:val="none" w:sz="0" w:space="0" w:color="auto"/>
            <w:left w:val="none" w:sz="0" w:space="0" w:color="auto"/>
            <w:bottom w:val="none" w:sz="0" w:space="0" w:color="auto"/>
            <w:right w:val="none" w:sz="0" w:space="0" w:color="auto"/>
          </w:divBdr>
          <w:divsChild>
            <w:div w:id="1522469426">
              <w:marLeft w:val="0"/>
              <w:marRight w:val="0"/>
              <w:marTop w:val="0"/>
              <w:marBottom w:val="0"/>
              <w:divBdr>
                <w:top w:val="none" w:sz="0" w:space="0" w:color="auto"/>
                <w:left w:val="none" w:sz="0" w:space="0" w:color="auto"/>
                <w:bottom w:val="none" w:sz="0" w:space="0" w:color="auto"/>
                <w:right w:val="none" w:sz="0" w:space="0" w:color="auto"/>
              </w:divBdr>
            </w:div>
            <w:div w:id="465784534">
              <w:marLeft w:val="0"/>
              <w:marRight w:val="0"/>
              <w:marTop w:val="0"/>
              <w:marBottom w:val="0"/>
              <w:divBdr>
                <w:top w:val="none" w:sz="0" w:space="0" w:color="auto"/>
                <w:left w:val="none" w:sz="0" w:space="0" w:color="auto"/>
                <w:bottom w:val="none" w:sz="0" w:space="0" w:color="auto"/>
                <w:right w:val="none" w:sz="0" w:space="0" w:color="auto"/>
              </w:divBdr>
            </w:div>
            <w:div w:id="2017339728">
              <w:marLeft w:val="0"/>
              <w:marRight w:val="0"/>
              <w:marTop w:val="0"/>
              <w:marBottom w:val="0"/>
              <w:divBdr>
                <w:top w:val="none" w:sz="0" w:space="0" w:color="auto"/>
                <w:left w:val="none" w:sz="0" w:space="0" w:color="auto"/>
                <w:bottom w:val="none" w:sz="0" w:space="0" w:color="auto"/>
                <w:right w:val="none" w:sz="0" w:space="0" w:color="auto"/>
              </w:divBdr>
            </w:div>
            <w:div w:id="189523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23039">
      <w:bodyDiv w:val="1"/>
      <w:marLeft w:val="0"/>
      <w:marRight w:val="0"/>
      <w:marTop w:val="0"/>
      <w:marBottom w:val="0"/>
      <w:divBdr>
        <w:top w:val="none" w:sz="0" w:space="0" w:color="auto"/>
        <w:left w:val="none" w:sz="0" w:space="0" w:color="auto"/>
        <w:bottom w:val="none" w:sz="0" w:space="0" w:color="auto"/>
        <w:right w:val="none" w:sz="0" w:space="0" w:color="auto"/>
      </w:divBdr>
    </w:div>
    <w:div w:id="1380327791">
      <w:bodyDiv w:val="1"/>
      <w:marLeft w:val="0"/>
      <w:marRight w:val="0"/>
      <w:marTop w:val="0"/>
      <w:marBottom w:val="0"/>
      <w:divBdr>
        <w:top w:val="none" w:sz="0" w:space="0" w:color="auto"/>
        <w:left w:val="none" w:sz="0" w:space="0" w:color="auto"/>
        <w:bottom w:val="none" w:sz="0" w:space="0" w:color="auto"/>
        <w:right w:val="none" w:sz="0" w:space="0" w:color="auto"/>
      </w:divBdr>
    </w:div>
    <w:div w:id="1583176612">
      <w:bodyDiv w:val="1"/>
      <w:marLeft w:val="0"/>
      <w:marRight w:val="0"/>
      <w:marTop w:val="0"/>
      <w:marBottom w:val="0"/>
      <w:divBdr>
        <w:top w:val="none" w:sz="0" w:space="0" w:color="auto"/>
        <w:left w:val="none" w:sz="0" w:space="0" w:color="auto"/>
        <w:bottom w:val="none" w:sz="0" w:space="0" w:color="auto"/>
        <w:right w:val="none" w:sz="0" w:space="0" w:color="auto"/>
      </w:divBdr>
    </w:div>
    <w:div w:id="177701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16/j.jtrangeo.2011.12.004" TargetMode="External"/><Relationship Id="rId13" Type="http://schemas.openxmlformats.org/officeDocument/2006/relationships/hyperlink" Target="https://doi.org/10.1016/j.jtrangeo.2006.05.002"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ocs.mapbox.com/mapbox-gl-js/example/scroll-fly-to/"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mapbox.com/mapbox-gl-js/example/popup-on-click/" TargetMode="External"/><Relationship Id="rId5" Type="http://schemas.openxmlformats.org/officeDocument/2006/relationships/webSettings" Target="webSettings.xml"/><Relationship Id="rId15" Type="http://schemas.openxmlformats.org/officeDocument/2006/relationships/hyperlink" Target="https://downloads.ctfassets.net/nv7y93idf4jq/7FiejTsJ68eaa8wQw8MiWw/bc4f3a45f6685148eba2acb618c2424f/03._GM_2040_TS_Full.pdf" TargetMode="External"/><Relationship Id="rId10" Type="http://schemas.openxmlformats.org/officeDocument/2006/relationships/hyperlink" Target="https://doi.org/10.4324/9781315595733-7" TargetMode="External"/><Relationship Id="rId4" Type="http://schemas.openxmlformats.org/officeDocument/2006/relationships/settings" Target="settings.xml"/><Relationship Id="rId9" Type="http://schemas.openxmlformats.org/officeDocument/2006/relationships/hyperlink" Target="https://assets.publishing.service.gov.uk/government/uploads/system/uploads/attachment_data/file/728547/inclusive-transport-strategy.pdf" TargetMode="External"/><Relationship Id="rId14" Type="http://schemas.openxmlformats.org/officeDocument/2006/relationships/hyperlink" Target="https://doi.org/10.1016/j.iatssr.2017.05.0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E3858-2B47-469D-9341-CE70D986E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4</Pages>
  <Words>1465</Words>
  <Characters>8351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Rugina, Bogdan</dc:creator>
  <cp:keywords/>
  <dc:description/>
  <cp:lastModifiedBy>Rugina, Bogdan</cp:lastModifiedBy>
  <cp:revision>6</cp:revision>
  <dcterms:created xsi:type="dcterms:W3CDTF">2019-05-15T14:14:00Z</dcterms:created>
  <dcterms:modified xsi:type="dcterms:W3CDTF">2019-05-16T11:05:00Z</dcterms:modified>
</cp:coreProperties>
</file>