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BB699" w14:textId="77777777" w:rsidR="00C06984" w:rsidRPr="00DF6999" w:rsidRDefault="00000000">
      <w:pPr>
        <w:spacing w:before="0" w:after="120" w:line="360" w:lineRule="auto"/>
        <w:rPr>
          <w:rFonts w:ascii="Meiryo UI" w:eastAsia="Meiryo UI" w:hAnsi="Meiryo UI" w:cs="Meiryo UI"/>
        </w:rPr>
      </w:pPr>
      <w:r>
        <w:rPr>
          <w:rFonts w:ascii="Meiryo UI" w:eastAsia="Meiryo UI" w:hAnsi="Meiryo UI" w:cs="Meiryo UI"/>
          <w:b/>
          <w:bCs/>
          <w:color w:val="1A1410"/>
          <w:sz w:val="40"/>
          <w:szCs w:val="40"/>
        </w:rPr>
        <w:t>財源確保シミュレーション（10カ年・年額）</w:t>
      </w:r>
    </w:p>
    <w:p w14:paraId="1F28CA26" w14:textId="77777777" w:rsidR="00C06984" w:rsidRPr="00DF6999" w:rsidRDefault="00000000">
      <w:pPr>
        <w:spacing w:after="120" w:before="0" w:line="360" w:lineRule="auto"/>
        <w:rPr>
          <w:rFonts w:ascii="Meiryo UI" w:eastAsia="Meiryo UI" w:hAnsi="Meiryo UI" w:cs="Meiryo UI"/>
          <w:sz w:val="24"/>
          <w:szCs w:val="24"/>
        </w:rPr>
      </w:pPr>
      <w:r>
        <w:rPr>
          <w:rFonts w:ascii="Meiryo UI" w:eastAsia="Meiryo UI" w:hAnsi="Meiryo UI" w:cs="Meiryo UI"/>
          <w:color w:val="4A3A2A"/>
          <w:sz w:val="24"/>
          <w:szCs w:val="24"/>
        </w:rPr>
        <w:t>障害者生活保障・雇用制度改革　提言書　別記　7-4</w:t>
      </w:r>
    </w:p>
    <w:p w14:paraId="7ADFE0FA" w14:textId="77777777" w:rsidR="00C06984" w:rsidRPr="00DF6999" w:rsidRDefault="00000000">
      <w:pPr>
        <w:pBdr>
          <w:bottom w:val="single" w:sz="6" w:space="4" w:color="1A1410"/>
        </w:pBdr>
        <w:spacing w:after="120" w:before="0" w:line="360" w:lineRule="auto"/>
        <w:rPr>
          <w:rFonts w:ascii="Meiryo UI" w:eastAsia="Meiryo UI" w:hAnsi="Meiryo UI" w:cs="Meiryo UI"/>
          <w:sz w:val="24"/>
          <w:szCs w:val="24"/>
        </w:rPr>
      </w:pPr>
      <w:r>
        <w:rPr>
          <w:rFonts w:ascii="Meiryo UI" w:eastAsia="Meiryo UI" w:hAnsi="Meiryo UI" w:cs="Meiryo UI"/>
          <w:color w:val="4A3A2A"/>
          <w:sz w:val="24"/>
          <w:szCs w:val="24"/>
        </w:rPr>
        <w:t>本制度の導入にあたっては、行政・企業の混乱を避け、財源の性質を「政府による初期投資」から「社会構造の最適化による自律財源」へと滑らかに移行させるため、以下の10カ年計画による段階的施行を提案する。</w:t>
      </w:r>
    </w:p>
    <w:p w14:paraId="79C6DA77" w14:textId="77777777" w:rsidR="00C06984" w:rsidRPr="00DF6999" w:rsidRDefault="00000000">
      <w:pPr>
        <w:pBdr>
          <w:bottom w:val="single" w:sz="6" w:space="4" w:color="1A1410"/>
        </w:pBdr>
        <w:spacing w:before="0" w:after="120" w:line="360" w:lineRule="auto"/>
        <w:rPr>
          <w:rFonts w:ascii="Meiryo UI" w:eastAsia="Meiryo UI" w:hAnsi="Meiryo UI" w:cs="Meiryo UI"/>
        </w:rPr>
      </w:pPr>
      <w:r>
        <w:rPr>
          <w:rFonts w:ascii="Meiryo UI" w:eastAsia="Meiryo UI" w:hAnsi="Meiryo UI" w:cs="Meiryo UI"/>
          <w:b/>
          <w:bCs/>
          <w:color w:val="1A1410"/>
          <w:sz w:val="28"/>
          <w:szCs w:val="28"/>
        </w:rPr>
        <w:t>■ 両シナリオ比較サマリー</w:t>
      </w:r>
    </w:p>
    <w:tbl>
      <w:tblPr>
        <w:tblW w:w="201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8"/>
        <w:gridCol w:w="2119"/>
        <w:gridCol w:w="2825"/>
        <w:gridCol w:w="2119"/>
        <w:gridCol w:w="2858"/>
        <w:gridCol w:w="2119"/>
        <w:gridCol w:w="2858"/>
        <w:gridCol w:w="2504"/>
      </w:tblGrid>
      <w:tr w:rsidR="00C06984" w:rsidRPr="00DF6999" w14:paraId="608E3345" w14:textId="77777777">
        <w:tblPrEx>
          <w:tblCellMar>
            <w:top w:w="0" w:type="dxa"/>
            <w:bottom w:w="0" w:type="dxa"/>
          </w:tblCellMar>
        </w:tblPrEx>
        <w:trPr>
          <w:tblHeader/>
        </w:trPr>
        <w:tc>
          <w:tcPr>
            <w:tcW w:w="3200" w:type="dxa"/>
            <w:tcBorders>
              <w:top w:val="single" w:sz="4" w:space="0" w:color="1A1410"/>
              <w:left w:val="single" w:sz="4" w:space="0" w:color="1A1410"/>
              <w:bottom w:val="single" w:sz="4" w:space="0" w:color="1A1410"/>
              <w:right w:val="single" w:sz="4" w:space="0" w:color="1A1410"/>
            </w:tcBorders>
            <w:shd w:val="clear" w:color="auto" w:fill="D4C4B0"/>
            <w:tcMar>
              <w:top w:w="60" w:type="dxa"/>
              <w:left w:w="100" w:type="dxa"/>
              <w:bottom w:w="60" w:type="dxa"/>
              <w:right w:w="80" w:type="dxa"/>
            </w:tcMar>
            <w:vAlign w:val="center"/>
          </w:tcPr>
          <w:p w14:paraId="5CB80CFA" w14:textId="77777777" w:rsidR="00C06984" w:rsidRPr="00DF6999" w:rsidRDefault="00C06984">
            <w:pPr>
              <w:jc w:val="center"/>
              <w:rPr>
                <w:rFonts w:ascii="Meiryo UI" w:eastAsia="Meiryo UI" w:hAnsi="Meiryo UI" w:cs="Meiryo UI"/>
                <w:sz w:val="24"/>
                <w:szCs w:val="24"/>
              </w:rPr>
              <w:spacing w:before="0" w:after="120" w:line="360" w:lineRule="auto"/>
            </w:pPr>
          </w:p>
        </w:tc>
        <w:tc>
          <w:tcPr>
            <w:tcW w:w="2400" w:type="dxa"/>
            <w:tcBorders>
              <w:top w:val="single" w:sz="4" w:space="0" w:color="1A1410"/>
              <w:left w:val="single" w:sz="4" w:space="0" w:color="1A1410"/>
              <w:bottom w:val="single" w:sz="4" w:space="0" w:color="1A1410"/>
              <w:right w:val="single" w:sz="4" w:space="0" w:color="1A1410"/>
            </w:tcBorders>
            <w:shd w:val="clear" w:color="auto" w:fill="1A1410"/>
            <w:tcMar>
              <w:top w:w="60" w:type="dxa"/>
              <w:left w:w="100" w:type="dxa"/>
              <w:bottom w:w="60" w:type="dxa"/>
              <w:right w:w="80" w:type="dxa"/>
            </w:tcMar>
            <w:vAlign w:val="center"/>
          </w:tcPr>
          <w:p w14:paraId="1BD6B581"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第1期　年金増額期 （法整備完了後1〜3年目）</w:t>
            </w:r>
          </w:p>
        </w:tc>
        <w:tc>
          <w:tcPr>
            <w:tcW w:w="2400" w:type="dxa"/>
            <w:tcBorders>
              <w:top w:val="single" w:sz="4" w:space="0" w:color="1A1410"/>
              <w:left w:val="single" w:sz="4" w:space="0" w:color="1A1410"/>
              <w:bottom w:val="single" w:sz="4" w:space="0" w:color="1A1410"/>
              <w:right w:val="single" w:sz="4" w:space="0" w:color="1A1410"/>
            </w:tcBorders>
            <w:shd w:val="clear" w:color="auto" w:fill="D4C4B0"/>
            <w:tcMar>
              <w:top w:w="60" w:type="dxa"/>
              <w:left w:w="100" w:type="dxa"/>
              <w:bottom w:w="60" w:type="dxa"/>
              <w:right w:w="80" w:type="dxa"/>
            </w:tcMar>
            <w:vAlign w:val="center"/>
          </w:tcPr>
          <w:p w14:paraId="16FDD1CF" w14:textId="77777777" w:rsidR="00C06984" w:rsidRPr="00DF6999" w:rsidRDefault="00C06984">
            <w:pPr>
              <w:jc w:val="center"/>
              <w:rPr>
                <w:rFonts w:ascii="Meiryo UI" w:eastAsia="Meiryo UI" w:hAnsi="Meiryo UI" w:cs="Meiryo UI"/>
                <w:sz w:val="24"/>
                <w:szCs w:val="24"/>
              </w:rPr>
              <w:spacing w:before="0" w:after="120" w:line="360" w:lineRule="auto"/>
            </w:pPr>
          </w:p>
        </w:tc>
        <w:tc>
          <w:tcPr>
            <w:tcW w:w="2400" w:type="dxa"/>
            <w:tcBorders>
              <w:top w:val="single" w:sz="4" w:space="0" w:color="1A1410"/>
              <w:left w:val="single" w:sz="4" w:space="0" w:color="1A1410"/>
              <w:bottom w:val="single" w:sz="4" w:space="0" w:color="1A1410"/>
              <w:right w:val="single" w:sz="4" w:space="0" w:color="1A1410"/>
            </w:tcBorders>
            <w:shd w:val="clear" w:color="auto" w:fill="1A1410"/>
            <w:tcMar>
              <w:top w:w="60" w:type="dxa"/>
              <w:left w:w="100" w:type="dxa"/>
              <w:bottom w:w="60" w:type="dxa"/>
              <w:right w:w="80" w:type="dxa"/>
            </w:tcMar>
            <w:vAlign w:val="center"/>
          </w:tcPr>
          <w:p w14:paraId="2266B1AA"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第2期　準公務開始期 （4〜6年目）</w:t>
            </w:r>
          </w:p>
        </w:tc>
        <w:tc>
          <w:tcPr>
            <w:tcW w:w="2400" w:type="dxa"/>
            <w:tcBorders>
              <w:top w:val="single" w:sz="4" w:space="0" w:color="1A1410"/>
              <w:left w:val="single" w:sz="4" w:space="0" w:color="1A1410"/>
              <w:bottom w:val="single" w:sz="4" w:space="0" w:color="1A1410"/>
              <w:right w:val="single" w:sz="4" w:space="0" w:color="1A1410"/>
            </w:tcBorders>
            <w:shd w:val="clear" w:color="auto" w:fill="D4C4B0"/>
            <w:tcMar>
              <w:top w:w="60" w:type="dxa"/>
              <w:left w:w="100" w:type="dxa"/>
              <w:bottom w:w="60" w:type="dxa"/>
              <w:right w:w="80" w:type="dxa"/>
            </w:tcMar>
            <w:vAlign w:val="center"/>
          </w:tcPr>
          <w:p w14:paraId="58BA9AD4" w14:textId="77777777" w:rsidR="00C06984" w:rsidRPr="00DF6999" w:rsidRDefault="00C06984">
            <w:pPr>
              <w:jc w:val="center"/>
              <w:rPr>
                <w:rFonts w:ascii="Meiryo UI" w:eastAsia="Meiryo UI" w:hAnsi="Meiryo UI" w:cs="Meiryo UI"/>
                <w:sz w:val="24"/>
                <w:szCs w:val="24"/>
              </w:rPr>
              <w:spacing w:before="0" w:after="120" w:line="360" w:lineRule="auto"/>
            </w:pPr>
          </w:p>
        </w:tc>
        <w:tc>
          <w:tcPr>
            <w:tcW w:w="2400" w:type="dxa"/>
            <w:tcBorders>
              <w:top w:val="single" w:sz="4" w:space="0" w:color="1A1410"/>
              <w:left w:val="single" w:sz="4" w:space="0" w:color="1A1410"/>
              <w:bottom w:val="single" w:sz="4" w:space="0" w:color="1A1410"/>
              <w:right w:val="single" w:sz="4" w:space="0" w:color="1A1410"/>
            </w:tcBorders>
            <w:shd w:val="clear" w:color="auto" w:fill="1A1410"/>
            <w:tcMar>
              <w:top w:w="60" w:type="dxa"/>
              <w:left w:w="100" w:type="dxa"/>
              <w:bottom w:w="60" w:type="dxa"/>
              <w:right w:w="80" w:type="dxa"/>
            </w:tcMar>
            <w:vAlign w:val="center"/>
          </w:tcPr>
          <w:p w14:paraId="09D28937"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第3期　完成・自走期 （7〜10年目）</w:t>
            </w:r>
          </w:p>
        </w:tc>
        <w:tc>
          <w:tcPr>
            <w:tcW w:w="2400" w:type="dxa"/>
            <w:tcBorders>
              <w:top w:val="single" w:sz="4" w:space="0" w:color="1A1410"/>
              <w:left w:val="single" w:sz="4" w:space="0" w:color="1A1410"/>
              <w:bottom w:val="single" w:sz="4" w:space="0" w:color="1A1410"/>
              <w:right w:val="single" w:sz="4" w:space="0" w:color="1A1410"/>
            </w:tcBorders>
            <w:shd w:val="clear" w:color="auto" w:fill="D4C4B0"/>
            <w:tcMar>
              <w:top w:w="60" w:type="dxa"/>
              <w:left w:w="100" w:type="dxa"/>
              <w:bottom w:w="60" w:type="dxa"/>
              <w:right w:w="80" w:type="dxa"/>
            </w:tcMar>
            <w:vAlign w:val="center"/>
          </w:tcPr>
          <w:p w14:paraId="6CE6C06B" w14:textId="77777777" w:rsidR="00C06984" w:rsidRPr="00DF6999" w:rsidRDefault="00C06984">
            <w:pPr>
              <w:jc w:val="center"/>
              <w:rPr>
                <w:rFonts w:ascii="Meiryo UI" w:eastAsia="Meiryo UI" w:hAnsi="Meiryo UI" w:cs="Meiryo UI"/>
                <w:sz w:val="24"/>
                <w:szCs w:val="24"/>
              </w:rPr>
              <w:spacing w:before="0" w:after="120" w:line="360" w:lineRule="auto"/>
            </w:pPr>
          </w:p>
        </w:tc>
        <w:tc>
          <w:tcPr>
            <w:tcW w:w="2350" w:type="dxa"/>
            <w:tcBorders>
              <w:top w:val="single" w:sz="4" w:space="0" w:color="1A1410"/>
              <w:left w:val="single" w:sz="4" w:space="0" w:color="1A1410"/>
              <w:bottom w:val="single" w:sz="4" w:space="0" w:color="1A1410"/>
              <w:right w:val="single" w:sz="4" w:space="0" w:color="1A1410"/>
            </w:tcBorders>
            <w:shd w:val="clear" w:color="auto" w:fill="1A1410"/>
            <w:tcMar>
              <w:top w:w="60" w:type="dxa"/>
              <w:left w:w="100" w:type="dxa"/>
              <w:bottom w:w="60" w:type="dxa"/>
              <w:right w:w="80" w:type="dxa"/>
            </w:tcMar>
            <w:vAlign w:val="center"/>
          </w:tcPr>
          <w:p w14:paraId="6B70C6F9"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黒字転換</w:t>
            </w:r>
          </w:p>
        </w:tc>
      </w:tr>
      <w:tr w:rsidR="00C06984" w:rsidRPr="00DF6999" w14:paraId="67A5C2BB" w14:textId="77777777">
        <w:tblPrEx>
          <w:tblCellMar>
            <w:top w:w="0" w:type="dxa"/>
            <w:bottom w:w="0" w:type="dxa"/>
          </w:tblCellMar>
        </w:tblPrEx>
        <w:trPr>
          <w:tblHeader/>
        </w:trPr>
        <w:tc>
          <w:tcPr>
            <w:tcW w:w="3200" w:type="dxa"/>
            <w:tcBorders>
              <w:top w:val="single" w:sz="4" w:space="0" w:color="1A1410"/>
              <w:left w:val="single" w:sz="4" w:space="0" w:color="1A1410"/>
              <w:bottom w:val="single" w:sz="4" w:space="0" w:color="1A1410"/>
              <w:right w:val="single" w:sz="4" w:space="0" w:color="1A1410"/>
            </w:tcBorders>
            <w:shd w:val="clear" w:color="auto" w:fill="1A1410"/>
            <w:tcMar>
              <w:top w:w="60" w:type="dxa"/>
              <w:left w:w="100" w:type="dxa"/>
              <w:bottom w:w="60" w:type="dxa"/>
              <w:right w:w="80" w:type="dxa"/>
            </w:tcMar>
            <w:vAlign w:val="center"/>
          </w:tcPr>
          <w:p w14:paraId="4A51BECC"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シナリオ</w:t>
            </w:r>
          </w:p>
        </w:tc>
        <w:tc>
          <w:tcPr>
            <w:tcW w:w="2400" w:type="dxa"/>
            <w:tcBorders>
              <w:top w:val="single" w:sz="4" w:space="0" w:color="1A1410"/>
              <w:left w:val="single" w:sz="4" w:space="0" w:color="1A1410"/>
              <w:bottom w:val="single" w:sz="4" w:space="0" w:color="1A1410"/>
              <w:right w:val="single" w:sz="4" w:space="0" w:color="1A1410"/>
            </w:tcBorders>
            <w:shd w:val="clear" w:color="auto" w:fill="1A1410"/>
            <w:tcMar>
              <w:top w:w="60" w:type="dxa"/>
              <w:left w:w="100" w:type="dxa"/>
              <w:bottom w:w="60" w:type="dxa"/>
              <w:right w:w="80" w:type="dxa"/>
            </w:tcMar>
            <w:vAlign w:val="center"/>
          </w:tcPr>
          <w:p w14:paraId="3D11850E"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予算（年額）</w:t>
            </w:r>
          </w:p>
        </w:tc>
        <w:tc>
          <w:tcPr>
            <w:tcW w:w="2400" w:type="dxa"/>
            <w:tcBorders>
              <w:top w:val="single" w:sz="4" w:space="0" w:color="1A1410"/>
              <w:left w:val="single" w:sz="4" w:space="0" w:color="1A1410"/>
              <w:bottom w:val="single" w:sz="4" w:space="0" w:color="1A1410"/>
              <w:right w:val="single" w:sz="4" w:space="0" w:color="1A1410"/>
            </w:tcBorders>
            <w:shd w:val="clear" w:color="auto" w:fill="EDE0D0"/>
            <w:tcMar>
              <w:top w:w="60" w:type="dxa"/>
              <w:left w:w="100" w:type="dxa"/>
              <w:bottom w:w="60" w:type="dxa"/>
              <w:right w:w="80" w:type="dxa"/>
            </w:tcMar>
            <w:vAlign w:val="center"/>
          </w:tcPr>
          <w:p w14:paraId="642A47F8"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1A1410"/>
                <w:sz w:val="24"/>
                <w:szCs w:val="24"/>
              </w:rPr>
              <w:t>財源合計</w:t>
            </w:r>
          </w:p>
        </w:tc>
        <w:tc>
          <w:tcPr>
            <w:tcW w:w="2400" w:type="dxa"/>
            <w:tcBorders>
              <w:top w:val="single" w:sz="4" w:space="0" w:color="1A1410"/>
              <w:left w:val="single" w:sz="4" w:space="0" w:color="1A1410"/>
              <w:bottom w:val="single" w:sz="4" w:space="0" w:color="1A1410"/>
              <w:right w:val="single" w:sz="4" w:space="0" w:color="1A1410"/>
            </w:tcBorders>
            <w:shd w:val="clear" w:color="auto" w:fill="1A1410"/>
            <w:tcMar>
              <w:top w:w="60" w:type="dxa"/>
              <w:left w:w="100" w:type="dxa"/>
              <w:bottom w:w="60" w:type="dxa"/>
              <w:right w:w="80" w:type="dxa"/>
            </w:tcMar>
            <w:vAlign w:val="center"/>
          </w:tcPr>
          <w:p w14:paraId="4517E5C9"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予算（年額）</w:t>
            </w:r>
          </w:p>
        </w:tc>
        <w:tc>
          <w:tcPr>
            <w:tcW w:w="2400" w:type="dxa"/>
            <w:tcBorders>
              <w:top w:val="single" w:sz="4" w:space="0" w:color="1A1410"/>
              <w:left w:val="single" w:sz="4" w:space="0" w:color="1A1410"/>
              <w:bottom w:val="single" w:sz="4" w:space="0" w:color="1A1410"/>
              <w:right w:val="single" w:sz="4" w:space="0" w:color="1A1410"/>
            </w:tcBorders>
            <w:shd w:val="clear" w:color="auto" w:fill="EDE0D0"/>
            <w:tcMar>
              <w:top w:w="60" w:type="dxa"/>
              <w:left w:w="100" w:type="dxa"/>
              <w:bottom w:w="60" w:type="dxa"/>
              <w:right w:w="80" w:type="dxa"/>
            </w:tcMar>
            <w:vAlign w:val="center"/>
          </w:tcPr>
          <w:p w14:paraId="40D7310D"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1A1410"/>
                <w:sz w:val="24"/>
                <w:szCs w:val="24"/>
              </w:rPr>
              <w:t>財源合計</w:t>
            </w:r>
          </w:p>
        </w:tc>
        <w:tc>
          <w:tcPr>
            <w:tcW w:w="2400" w:type="dxa"/>
            <w:tcBorders>
              <w:top w:val="single" w:sz="4" w:space="0" w:color="1A1410"/>
              <w:left w:val="single" w:sz="4" w:space="0" w:color="1A1410"/>
              <w:bottom w:val="single" w:sz="4" w:space="0" w:color="1A1410"/>
              <w:right w:val="single" w:sz="4" w:space="0" w:color="1A1410"/>
            </w:tcBorders>
            <w:shd w:val="clear" w:color="auto" w:fill="1A1410"/>
            <w:tcMar>
              <w:top w:w="60" w:type="dxa"/>
              <w:left w:w="100" w:type="dxa"/>
              <w:bottom w:w="60" w:type="dxa"/>
              <w:right w:w="80" w:type="dxa"/>
            </w:tcMar>
            <w:vAlign w:val="center"/>
          </w:tcPr>
          <w:p w14:paraId="1A81A22E"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予算（年額）</w:t>
            </w:r>
          </w:p>
        </w:tc>
        <w:tc>
          <w:tcPr>
            <w:tcW w:w="2400" w:type="dxa"/>
            <w:tcBorders>
              <w:top w:val="single" w:sz="4" w:space="0" w:color="1A1410"/>
              <w:left w:val="single" w:sz="4" w:space="0" w:color="1A1410"/>
              <w:bottom w:val="single" w:sz="4" w:space="0" w:color="1A1410"/>
              <w:right w:val="single" w:sz="4" w:space="0" w:color="1A1410"/>
            </w:tcBorders>
            <w:shd w:val="clear" w:color="auto" w:fill="EDE0D0"/>
            <w:tcMar>
              <w:top w:w="60" w:type="dxa"/>
              <w:left w:w="100" w:type="dxa"/>
              <w:bottom w:w="60" w:type="dxa"/>
              <w:right w:w="80" w:type="dxa"/>
            </w:tcMar>
            <w:vAlign w:val="center"/>
          </w:tcPr>
          <w:p w14:paraId="7A378C1C"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1A1410"/>
                <w:sz w:val="24"/>
                <w:szCs w:val="24"/>
              </w:rPr>
              <w:t>財源合計</w:t>
            </w:r>
          </w:p>
        </w:tc>
        <w:tc>
          <w:tcPr>
            <w:tcW w:w="2350" w:type="dxa"/>
            <w:tcBorders>
              <w:top w:val="single" w:sz="4" w:space="0" w:color="1A1410"/>
              <w:left w:val="single" w:sz="4" w:space="0" w:color="1A1410"/>
              <w:bottom w:val="single" w:sz="4" w:space="0" w:color="1A1410"/>
              <w:right w:val="single" w:sz="4" w:space="0" w:color="1A1410"/>
            </w:tcBorders>
            <w:shd w:val="clear" w:color="auto" w:fill="1A1410"/>
            <w:tcMar>
              <w:top w:w="60" w:type="dxa"/>
              <w:left w:w="100" w:type="dxa"/>
              <w:bottom w:w="60" w:type="dxa"/>
              <w:right w:w="80" w:type="dxa"/>
            </w:tcMar>
            <w:vAlign w:val="center"/>
          </w:tcPr>
          <w:p w14:paraId="4007005D"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時期</w:t>
            </w:r>
          </w:p>
        </w:tc>
      </w:tr>
      <w:tr w:rsidR="00C06984" w:rsidRPr="00DF6999" w14:paraId="3E94C0C5"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5D2C5CB2"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w:t>
            </w:r>
            <w:r>
              <w:rPr>
                <w:rFonts w:ascii="Meiryo UI" w:eastAsia="Meiryo UI" w:hAnsi="Meiryo UI" w:cs="Meiryo UI"/>
                <w:b/>
                <w:bCs/>
                <w:sz w:val="24"/>
                <w:szCs w:val="24"/>
              </w:rPr>
              <w:t xml:space="preserve"> 順調シナリオ</w:t>
            </w:r>
          </w:p>
          <w:p w14:paraId="09ECED90"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既存施設・リース・民間連携最大活用</w:t>
            </w:r>
          </w:p>
        </w:tc>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61625912"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約 2.31兆円</w:t>
            </w:r>
          </w:p>
        </w:tc>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14FFE461"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2.69兆円 ＋MMT補完</w:t>
            </w:r>
          </w:p>
        </w:tc>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37E912BD"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約 3.29兆円</w:t>
            </w:r>
          </w:p>
        </w:tc>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0380AAAA"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5.57兆円 黒字 +2.28兆円</w:t>
            </w:r>
          </w:p>
        </w:tc>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7A1FF29A"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約 4.26兆円</w:t>
            </w:r>
          </w:p>
        </w:tc>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36AAFCA6"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7.20兆円 黒字 +2.94兆円</w:t>
            </w:r>
          </w:p>
        </w:tc>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58AB4C23"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1E6B3A"/>
                <w:sz w:val="24"/>
                <w:szCs w:val="24"/>
              </w:rPr>
              <w:t xml:space="preserve">第2期から 黒字転換 </w:t>
            </w:r>
            <w:r>
              <w:rPr>
                <w:rFonts w:ascii="Meiryo UI" w:eastAsia="Meiryo UI" w:hAnsi="Meiryo UI" w:cs="Meiryo UI"/>
                <w:b/>
                <w:bCs/>
                <w:color w:val="1E6B3A"/>
                <w:sz w:val="24"/>
                <w:szCs w:val="24"/>
              </w:rPr>
              <w:t>✅</w:t>
            </w:r>
          </w:p>
        </w:tc>
      </w:tr>
      <w:tr w:rsidR="00C06984" w:rsidRPr="00DF6999" w14:paraId="635C3DF8"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shd w:val="clear" w:color="auto" w:fill="F0D8D8"/>
            <w:tcMar>
              <w:top w:w="60" w:type="dxa"/>
              <w:left w:w="100" w:type="dxa"/>
              <w:bottom w:w="60" w:type="dxa"/>
              <w:right w:w="80" w:type="dxa"/>
            </w:tcMar>
            <w:vAlign w:val="center"/>
          </w:tcPr>
          <w:p w14:paraId="6BB4082D"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w:t>
            </w:r>
            <w:r>
              <w:rPr>
                <w:rFonts w:ascii="Meiryo UI" w:eastAsia="Meiryo UI" w:hAnsi="Meiryo UI" w:cs="Meiryo UI"/>
                <w:b/>
                <w:bCs/>
                <w:sz w:val="24"/>
                <w:szCs w:val="24"/>
              </w:rPr>
              <w:t xml:space="preserve"> 停滞シナリオ</w:t>
            </w:r>
          </w:p>
          <w:p w14:paraId="74AA928B"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老朽化・独自開発・採用難・移行遅延</w:t>
            </w:r>
          </w:p>
        </w:tc>
        <w:tc>
          <w:tcPr>
            <w:tcW w:w="0" w:type="auto"/>
            <w:tcBorders>
              <w:top w:val="single" w:sz="4" w:space="0" w:color="D9D9D9"/>
              <w:left w:val="single" w:sz="4" w:space="0" w:color="D9D9D9"/>
              <w:bottom w:val="single" w:sz="4" w:space="0" w:color="D9D9D9"/>
              <w:right w:val="single" w:sz="4" w:space="0" w:color="D9D9D9"/>
            </w:tcBorders>
            <w:shd w:val="clear" w:color="auto" w:fill="F0D8D8"/>
            <w:tcMar>
              <w:top w:w="60" w:type="dxa"/>
              <w:left w:w="100" w:type="dxa"/>
              <w:bottom w:w="60" w:type="dxa"/>
              <w:right w:w="80" w:type="dxa"/>
            </w:tcMar>
            <w:vAlign w:val="center"/>
          </w:tcPr>
          <w:p w14:paraId="4EC4C36D"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約 5.04兆円</w:t>
            </w:r>
          </w:p>
        </w:tc>
        <w:tc>
          <w:tcPr>
            <w:tcW w:w="0" w:type="auto"/>
            <w:tcBorders>
              <w:top w:val="single" w:sz="4" w:space="0" w:color="D9D9D9"/>
              <w:left w:val="single" w:sz="4" w:space="0" w:color="D9D9D9"/>
              <w:bottom w:val="single" w:sz="4" w:space="0" w:color="D9D9D9"/>
              <w:right w:val="single" w:sz="4" w:space="0" w:color="D9D9D9"/>
            </w:tcBorders>
            <w:shd w:val="clear" w:color="auto" w:fill="EDD0C0"/>
            <w:tcMar>
              <w:top w:w="60" w:type="dxa"/>
              <w:left w:w="100" w:type="dxa"/>
              <w:bottom w:w="60" w:type="dxa"/>
              <w:right w:w="80" w:type="dxa"/>
            </w:tcMar>
            <w:vAlign w:val="center"/>
          </w:tcPr>
          <w:p w14:paraId="6D89F9D9"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2.69兆円 ▲2.34兆円不足</w:t>
            </w:r>
          </w:p>
        </w:tc>
        <w:tc>
          <w:tcPr>
            <w:tcW w:w="0" w:type="auto"/>
            <w:tcBorders>
              <w:top w:val="single" w:sz="4" w:space="0" w:color="D9D9D9"/>
              <w:left w:val="single" w:sz="4" w:space="0" w:color="D9D9D9"/>
              <w:bottom w:val="single" w:sz="4" w:space="0" w:color="D9D9D9"/>
              <w:right w:val="single" w:sz="4" w:space="0" w:color="D9D9D9"/>
            </w:tcBorders>
            <w:shd w:val="clear" w:color="auto" w:fill="F0D8D8"/>
            <w:tcMar>
              <w:top w:w="60" w:type="dxa"/>
              <w:left w:w="100" w:type="dxa"/>
              <w:bottom w:w="60" w:type="dxa"/>
              <w:right w:w="80" w:type="dxa"/>
            </w:tcMar>
            <w:vAlign w:val="center"/>
          </w:tcPr>
          <w:p w14:paraId="6142DE16"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約 5.18兆円</w:t>
            </w:r>
          </w:p>
        </w:tc>
        <w:tc>
          <w:tcPr>
            <w:tcW w:w="0" w:type="auto"/>
            <w:tcBorders>
              <w:top w:val="single" w:sz="4" w:space="0" w:color="D9D9D9"/>
              <w:left w:val="single" w:sz="4" w:space="0" w:color="D9D9D9"/>
              <w:bottom w:val="single" w:sz="4" w:space="0" w:color="D9D9D9"/>
              <w:right w:val="single" w:sz="4" w:space="0" w:color="D9D9D9"/>
            </w:tcBorders>
            <w:shd w:val="clear" w:color="auto" w:fill="EDD0C0"/>
            <w:tcMar>
              <w:top w:w="60" w:type="dxa"/>
              <w:left w:w="100" w:type="dxa"/>
              <w:bottom w:w="60" w:type="dxa"/>
              <w:right w:w="80" w:type="dxa"/>
            </w:tcMar>
            <w:vAlign w:val="center"/>
          </w:tcPr>
          <w:p w14:paraId="5D4ECD54"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5.07兆円 ▲0.11兆円不足</w:t>
            </w:r>
          </w:p>
        </w:tc>
        <w:tc>
          <w:tcPr>
            <w:tcW w:w="0" w:type="auto"/>
            <w:tcBorders>
              <w:top w:val="single" w:sz="4" w:space="0" w:color="D9D9D9"/>
              <w:left w:val="single" w:sz="4" w:space="0" w:color="D9D9D9"/>
              <w:bottom w:val="single" w:sz="4" w:space="0" w:color="D9D9D9"/>
              <w:right w:val="single" w:sz="4" w:space="0" w:color="D9D9D9"/>
            </w:tcBorders>
            <w:shd w:val="clear" w:color="auto" w:fill="F0D8D8"/>
            <w:tcMar>
              <w:top w:w="60" w:type="dxa"/>
              <w:left w:w="100" w:type="dxa"/>
              <w:bottom w:w="60" w:type="dxa"/>
              <w:right w:w="80" w:type="dxa"/>
            </w:tcMar>
            <w:vAlign w:val="center"/>
          </w:tcPr>
          <w:p w14:paraId="3327F977"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約 6.10兆円</w:t>
            </w:r>
          </w:p>
        </w:tc>
        <w:tc>
          <w:tcPr>
            <w:tcW w:w="0" w:type="auto"/>
            <w:tcBorders>
              <w:top w:val="single" w:sz="4" w:space="0" w:color="D9D9D9"/>
              <w:left w:val="single" w:sz="4" w:space="0" w:color="D9D9D9"/>
              <w:bottom w:val="single" w:sz="4" w:space="0" w:color="D9D9D9"/>
              <w:right w:val="single" w:sz="4" w:space="0" w:color="D9D9D9"/>
            </w:tcBorders>
            <w:shd w:val="clear" w:color="auto" w:fill="EDD0C0"/>
            <w:tcMar>
              <w:top w:w="60" w:type="dxa"/>
              <w:left w:w="100" w:type="dxa"/>
              <w:bottom w:w="60" w:type="dxa"/>
              <w:right w:w="80" w:type="dxa"/>
            </w:tcMar>
            <w:vAlign w:val="center"/>
          </w:tcPr>
          <w:p w14:paraId="1F9A1DED"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6.70兆円 ▲1.20兆円不足</w:t>
            </w:r>
          </w:p>
        </w:tc>
        <w:tc>
          <w:tcPr>
            <w:tcW w:w="0" w:type="auto"/>
            <w:tcBorders>
              <w:top w:val="single" w:sz="4" w:space="0" w:color="D9D9D9"/>
              <w:left w:val="single" w:sz="4" w:space="0" w:color="D9D9D9"/>
              <w:bottom w:val="single" w:sz="4" w:space="0" w:color="D9D9D9"/>
              <w:right w:val="single" w:sz="4" w:space="0" w:color="D9D9D9"/>
            </w:tcBorders>
            <w:shd w:val="clear" w:color="auto" w:fill="F0D8D8"/>
            <w:tcMar>
              <w:top w:w="60" w:type="dxa"/>
              <w:left w:w="100" w:type="dxa"/>
              <w:bottom w:w="60" w:type="dxa"/>
              <w:right w:w="80" w:type="dxa"/>
            </w:tcMar>
            <w:vAlign w:val="center"/>
          </w:tcPr>
          <w:p w14:paraId="767AE2D0"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9B1C1C"/>
                <w:sz w:val="24"/>
                <w:szCs w:val="24"/>
              </w:rPr>
              <w:t xml:space="preserve">10年内 黒字転換せず </w:t>
            </w:r>
            <w:r>
              <w:rPr>
                <w:rFonts w:ascii="Meiryo UI" w:eastAsia="Meiryo UI" w:hAnsi="Meiryo UI" w:cs="Meiryo UI"/>
                <w:b/>
                <w:bCs/>
                <w:color w:val="9B1C1C"/>
                <w:sz w:val="24"/>
                <w:szCs w:val="24"/>
              </w:rPr>
              <w:t>⚠️</w:t>
            </w:r>
          </w:p>
        </w:tc>
      </w:tr>
    </w:tbl>
    <w:p w14:paraId="64C24F66" w14:textId="77777777" w:rsidR="00C06984" w:rsidRPr="00DF6999" w:rsidRDefault="00000000">
      <w:pPr>
        <w:spacing w:before="0" w:after="120" w:line="360" w:lineRule="auto"/>
        <w:rPr>
          <w:rFonts w:ascii="Meiryo UI" w:eastAsia="Meiryo UI" w:hAnsi="Meiryo UI" w:cs="Meiryo UI"/>
          <w:sz w:val="24"/>
          <w:szCs w:val="24"/>
        </w:rPr>
      </w:pPr>
      <w:r>
        <w:rPr>
          <w:rFonts w:ascii="Meiryo UI" w:eastAsia="Meiryo UI" w:hAnsi="Meiryo UI" w:cs="Meiryo UI"/>
          <w:i/>
          <w:iCs/>
          <w:color w:val="4A3A2A"/>
          <w:sz w:val="24"/>
          <w:szCs w:val="24"/>
        </w:rPr>
        <w:t>▲ 印：マイナス（費用削減・支出）を示す　　※本試算はすべて年額換算の概算値</w:t>
      </w:r>
    </w:p>
    <w:p w14:paraId="0D6CE302" w14:textId="77777777" w:rsidR="00C06984" w:rsidRPr="00DF6999" w:rsidRDefault="00000000">
      <w:pPr>
        <w:spacing w:before="0" w:after="120" w:line="360" w:lineRule="auto"/>
        <w:rPr>
          <w:rFonts w:ascii="Meiryo UI" w:eastAsia="Meiryo UI" w:hAnsi="Meiryo UI" w:cs="Meiryo UI"/>
        </w:rPr>
      </w:pPr>
      <w:r>
        <w:rPr>
          <w:rFonts w:ascii="Meiryo UI" w:eastAsia="Meiryo UI" w:hAnsi="Meiryo UI" w:cs="Meiryo UI"/>
          <w:i/>
          <w:iCs/>
          <w:color w:val="4A3A2A"/>
          <w:sz w:val="24"/>
          <w:szCs w:val="24"/>
        </w:rPr>
        <w:t>出典：厚生労働省「令和5年度 厚生年金保険・国民年金事業の概況」（令和6年12月）、就労継続支援A/B型給付費（厚生労働省・第112回社会保障審議会障害者部会資料）</w:t>
      </w:r>
      <w:r>
        <w:rPr>
          <w:rFonts w:ascii="Meiryo UI" w:eastAsia="Meiryo UI" w:hAnsi="Meiryo UI" w:cs="Meiryo UI"/>
          <w:color w:val="4A3A2A"/>
          <w:sz w:val="24"/>
          <w:szCs w:val="24"/>
        </w:rPr>
        <w:t>、JEED</w:t>
      </w:r>
      <w:r>
        <w:rPr>
          <w:rFonts w:ascii="Meiryo UI" w:eastAsia="Meiryo UI" w:hAnsi="Meiryo UI" w:cs="Meiryo UI"/>
          <w:i/>
          <w:iCs/>
          <w:color w:val="4A3A2A"/>
          <w:sz w:val="24"/>
          <w:szCs w:val="24"/>
        </w:rPr>
        <w:t>障害者雇用納付金制度（令和8年度版）</w:t>
      </w:r>
    </w:p>
    <w:p w14:paraId="254D8D3C" w14:textId="77777777" w:rsidR="00C06984" w:rsidRPr="00DF6999" w:rsidRDefault="00000000">
      <w:pPr>
        <w:rPr>
          <w:rFonts w:ascii="Meiryo UI" w:eastAsia="Meiryo UI" w:hAnsi="Meiryo UI" w:cs="Meiryo UI"/>
        </w:rPr>
        <w:spacing w:before="0" w:after="120" w:line="360" w:lineRule="auto"/>
      </w:pPr>
      <w:r>
        <w:rPr>
          <w:rFonts w:ascii="Meiryo UI" w:eastAsia="Meiryo UI" w:hAnsi="Meiryo UI" w:cs="Meiryo UI"/>
        </w:rPr>
        <w:br w:type="page"/>
      </w:r>
    </w:p>
    <w:p w14:paraId="2B2FF18B" w14:textId="77777777" w:rsidR="00C06984" w:rsidRPr="00DF6999" w:rsidRDefault="00000000">
      <w:pPr>
        <w:pBdr>
          <w:bottom w:val="single" w:sz="6" w:space="4" w:color="1A1410"/>
        </w:pBdr>
        <w:spacing w:before="0" w:after="120" w:line="360" w:lineRule="auto"/>
        <w:rPr>
          <w:rFonts w:ascii="Meiryo UI" w:eastAsia="Meiryo UI" w:hAnsi="Meiryo UI" w:cs="Meiryo UI"/>
        </w:rPr>
      </w:pPr>
      <w:r>
        <w:rPr>
          <w:rFonts w:ascii="Meiryo UI" w:eastAsia="Meiryo UI" w:hAnsi="Meiryo UI" w:cs="Meiryo UI"/>
          <w:b/>
          <w:bCs/>
          <w:color w:val="1A1410"/>
          <w:sz w:val="28"/>
          <w:szCs w:val="28"/>
        </w:rPr>
        <w:t>✅</w:t>
      </w:r>
      <w:r>
        <w:rPr>
          <w:rFonts w:ascii="Meiryo UI" w:eastAsia="Meiryo UI" w:hAnsi="Meiryo UI" w:cs="Meiryo UI"/>
          <w:b/>
          <w:bCs/>
          <w:color w:val="1A1410"/>
          <w:sz w:val="28"/>
          <w:szCs w:val="28"/>
        </w:rPr>
        <w:t xml:space="preserve"> 【順調シナリオ】詳細</w:t>
      </w:r>
      <w:r>
        <w:rPr>
          <w:rFonts w:ascii="Meiryo UI" w:eastAsia="Meiryo UI" w:hAnsi="Meiryo UI" w:cs="Meiryo UI"/>
          <w:color w:val="4A3A2A"/>
          <w:sz w:val="20"/>
          <w:szCs w:val="20"/>
        </w:rPr>
        <w:t xml:space="preserve">　</w:t>
      </w:r>
      <w:r>
        <w:rPr>
          <w:rFonts w:ascii="Meiryo UI" w:eastAsia="Meiryo UI" w:hAnsi="Meiryo UI" w:cs="Meiryo UI"/>
          <w:color w:val="000000"/>
          <w:sz w:val="20"/>
          <w:szCs w:val="20"/>
        </w:rPr>
        <w:t>既存施設・リース・民間連携を最大活用した場合</w:t>
      </w:r>
    </w:p>
    <w:tbl>
      <w:tblPr>
        <w:tblW w:w="201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8"/>
        <w:gridCol w:w="1534"/>
        <w:gridCol w:w="3854"/>
        <w:gridCol w:w="4053"/>
        <w:gridCol w:w="3556"/>
        <w:gridCol w:w="6375"/>
      </w:tblGrid>
      <w:tr w:rsidR="00C06984" w:rsidRPr="00DF6999" w14:paraId="781A84D6" w14:textId="77777777">
        <w:tblPrEx>
          <w:tblCellMar>
            <w:top w:w="0" w:type="dxa"/>
            <w:bottom w:w="0" w:type="dxa"/>
          </w:tblCellMar>
        </w:tblPrEx>
        <w:trPr>
          <w:tblHeader/>
        </w:trPr>
        <w:tc>
          <w:tcPr>
            <w:tcW w:w="900" w:type="dxa"/>
            <w:tcBorders>
              <w:top w:val="single" w:sz="4" w:space="0" w:color="1A1410"/>
              <w:left w:val="single" w:sz="4" w:space="0" w:color="1A1410"/>
              <w:bottom w:val="single" w:sz="4" w:space="0" w:color="1A1410"/>
              <w:right w:val="single" w:sz="4" w:space="0" w:color="1A1410"/>
            </w:tcBorders>
            <w:shd w:val="clear" w:color="auto" w:fill="5C3D1A"/>
            <w:tcMar>
              <w:top w:w="60" w:type="dxa"/>
              <w:left w:w="100" w:type="dxa"/>
              <w:bottom w:w="60" w:type="dxa"/>
              <w:right w:w="80" w:type="dxa"/>
            </w:tcMar>
            <w:vAlign w:val="center"/>
          </w:tcPr>
          <w:p w14:paraId="6952248E"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区分</w:t>
            </w:r>
          </w:p>
        </w:tc>
        <w:tc>
          <w:tcPr>
            <w:tcW w:w="2800" w:type="dxa"/>
            <w:tcBorders>
              <w:top w:val="single" w:sz="4" w:space="0" w:color="1A1410"/>
              <w:left w:val="single" w:sz="4" w:space="0" w:color="1A1410"/>
              <w:bottom w:val="single" w:sz="4" w:space="0" w:color="1A1410"/>
              <w:right w:val="single" w:sz="4" w:space="0" w:color="1A1410"/>
            </w:tcBorders>
            <w:shd w:val="clear" w:color="auto" w:fill="5C3D1A"/>
            <w:tcMar>
              <w:top w:w="60" w:type="dxa"/>
              <w:left w:w="100" w:type="dxa"/>
              <w:bottom w:w="60" w:type="dxa"/>
              <w:right w:w="80" w:type="dxa"/>
            </w:tcMar>
            <w:vAlign w:val="center"/>
          </w:tcPr>
          <w:p w14:paraId="0F514B3B"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項目</w:t>
            </w:r>
          </w:p>
        </w:tc>
        <w:tc>
          <w:tcPr>
            <w:tcW w:w="1700" w:type="dxa"/>
            <w:tcBorders>
              <w:top w:val="single" w:sz="4" w:space="0" w:color="1A1410"/>
              <w:left w:val="single" w:sz="4" w:space="0" w:color="1A1410"/>
              <w:bottom w:val="single" w:sz="4" w:space="0" w:color="1A1410"/>
              <w:right w:val="single" w:sz="4" w:space="0" w:color="1A1410"/>
            </w:tcBorders>
            <w:shd w:val="clear" w:color="auto" w:fill="5C3D1A"/>
            <w:tcMar>
              <w:top w:w="60" w:type="dxa"/>
              <w:left w:w="100" w:type="dxa"/>
              <w:bottom w:w="60" w:type="dxa"/>
              <w:right w:w="80" w:type="dxa"/>
            </w:tcMar>
            <w:vAlign w:val="center"/>
          </w:tcPr>
          <w:p w14:paraId="3CBFE2A3"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第1期 年金増額期 （1〜3年目）</w:t>
            </w:r>
          </w:p>
        </w:tc>
        <w:tc>
          <w:tcPr>
            <w:tcW w:w="1700" w:type="dxa"/>
            <w:tcBorders>
              <w:top w:val="single" w:sz="4" w:space="0" w:color="1A1410"/>
              <w:left w:val="single" w:sz="4" w:space="0" w:color="1A1410"/>
              <w:bottom w:val="single" w:sz="4" w:space="0" w:color="1A1410"/>
              <w:right w:val="single" w:sz="4" w:space="0" w:color="1A1410"/>
            </w:tcBorders>
            <w:shd w:val="clear" w:color="auto" w:fill="5C3D1A"/>
            <w:tcMar>
              <w:top w:w="60" w:type="dxa"/>
              <w:left w:w="100" w:type="dxa"/>
              <w:bottom w:w="60" w:type="dxa"/>
              <w:right w:w="80" w:type="dxa"/>
            </w:tcMar>
            <w:vAlign w:val="center"/>
          </w:tcPr>
          <w:p w14:paraId="286656A4"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第2期 準公務開始期 （4〜6年目）</w:t>
            </w:r>
          </w:p>
        </w:tc>
        <w:tc>
          <w:tcPr>
            <w:tcW w:w="1700" w:type="dxa"/>
            <w:tcBorders>
              <w:top w:val="single" w:sz="4" w:space="0" w:color="1A1410"/>
              <w:left w:val="single" w:sz="4" w:space="0" w:color="1A1410"/>
              <w:bottom w:val="single" w:sz="4" w:space="0" w:color="1A1410"/>
              <w:right w:val="single" w:sz="4" w:space="0" w:color="1A1410"/>
            </w:tcBorders>
            <w:shd w:val="clear" w:color="auto" w:fill="5C3D1A"/>
            <w:tcMar>
              <w:top w:w="60" w:type="dxa"/>
              <w:left w:w="100" w:type="dxa"/>
              <w:bottom w:w="60" w:type="dxa"/>
              <w:right w:w="80" w:type="dxa"/>
            </w:tcMar>
            <w:vAlign w:val="center"/>
          </w:tcPr>
          <w:p w14:paraId="791699BB"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第3期 完成・自走期 （7〜10年目）</w:t>
            </w:r>
          </w:p>
        </w:tc>
        <w:tc>
          <w:tcPr>
            <w:tcW w:w="11350" w:type="dxa"/>
            <w:tcBorders>
              <w:top w:val="single" w:sz="4" w:space="0" w:color="1A1410"/>
              <w:left w:val="single" w:sz="4" w:space="0" w:color="1A1410"/>
              <w:bottom w:val="single" w:sz="4" w:space="0" w:color="1A1410"/>
              <w:right w:val="single" w:sz="4" w:space="0" w:color="1A1410"/>
            </w:tcBorders>
            <w:shd w:val="clear" w:color="auto" w:fill="5C3D1A"/>
            <w:tcMar>
              <w:top w:w="60" w:type="dxa"/>
              <w:left w:w="100" w:type="dxa"/>
              <w:bottom w:w="60" w:type="dxa"/>
              <w:right w:w="80" w:type="dxa"/>
            </w:tcMar>
            <w:vAlign w:val="center"/>
          </w:tcPr>
          <w:p w14:paraId="73149810"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備考・算出根拠・想定規模</w:t>
            </w:r>
          </w:p>
        </w:tc>
      </w:tr>
      <w:tr w:rsidR="00C06984" w:rsidRPr="00DF6999" w14:paraId="518238D8"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F5E8C0"/>
            <w:tcMar>
              <w:top w:w="60" w:type="dxa"/>
              <w:left w:w="100" w:type="dxa"/>
              <w:bottom w:w="60" w:type="dxa"/>
              <w:right w:w="80" w:type="dxa"/>
            </w:tcMar>
            <w:vAlign w:val="center"/>
          </w:tcPr>
          <w:p w14:paraId="2C66FCA8"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主な 施策</w:t>
            </w:r>
          </w:p>
        </w:tc>
        <w:tc>
          <w:tcPr>
            <w:tcW w:w="0" w:type="auto"/>
            <w:tcBorders>
              <w:top w:val="single" w:sz="4" w:space="0" w:color="D9D9D9"/>
              <w:left w:val="single" w:sz="4" w:space="0" w:color="D9D9D9"/>
              <w:bottom w:val="single" w:sz="4" w:space="0" w:color="D9D9D9"/>
              <w:right w:val="single" w:sz="4" w:space="0" w:color="D9D9D9"/>
            </w:tcBorders>
            <w:shd w:val="clear" w:color="auto" w:fill="F5E8C0"/>
            <w:tcMar>
              <w:top w:w="60" w:type="dxa"/>
              <w:left w:w="100" w:type="dxa"/>
              <w:bottom w:w="60" w:type="dxa"/>
              <w:right w:w="80" w:type="dxa"/>
            </w:tcMar>
            <w:vAlign w:val="center"/>
          </w:tcPr>
          <w:p w14:paraId="05F776B3"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第1期の主な施策</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80" w:type="dxa"/>
            </w:tcMar>
            <w:vAlign w:val="center"/>
          </w:tcPr>
          <w:p w14:paraId="01917750"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・年金3級新設・1,2級増額 ・現場管理職員先行配置・研修開始 ・1,072拠点優先整備 ・公用車リース導入 ・ICT基盤整備（既存API連携） ・民間ノウハウ買取・提携</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80" w:type="dxa"/>
            </w:tcMar>
            <w:vAlign w:val="center"/>
          </w:tcPr>
          <w:p w14:paraId="449AFA13"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・準公務職員採用開始・随行体制構築 ・管理職員転換研修完了・本格配置 ・公務ユニット試験運用（段階拡大） ・推進局47ブロック本格稼働 ・企業からの早期移行受付開始</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80" w:type="dxa"/>
            </w:tcMar>
            <w:vAlign w:val="center"/>
          </w:tcPr>
          <w:p w14:paraId="087885B8"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・準公務・準企業職員制度 本格始動 ・民間企業が新制度へ完全移行 ・拠出金が安定財源として確立 ・スペシャリスト職員の定着・育成サイクル確立</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12AEA87B"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10カ年計画の段階的施行スキーム。第1期で制度基盤を整備し、第2期で運用を本格化、第3期で財源の自律化を実現する。</w:t>
            </w:r>
          </w:p>
        </w:tc>
      </w:tr>
      <w:tr w:rsidR="00C06984" w:rsidRPr="00DF6999" w14:paraId="4ADAD095"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5C3D1A"/>
            <w:tcMar>
              <w:top w:w="60" w:type="dxa"/>
              <w:left w:w="100" w:type="dxa"/>
              <w:bottom w:w="60" w:type="dxa"/>
              <w:right w:w="80" w:type="dxa"/>
            </w:tcMar>
            <w:vAlign w:val="center"/>
          </w:tcPr>
          <w:p w14:paraId="0BCB9F39"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w:t>
            </w:r>
          </w:p>
        </w:tc>
        <w:tc>
          <w:tcPr>
            <w:tcW w:w="0" w:type="auto"/>
            <w:tcBorders>
              <w:top w:val="single" w:sz="4" w:space="0" w:color="D9D9D9"/>
              <w:left w:val="single" w:sz="4" w:space="0" w:color="D9D9D9"/>
              <w:bottom w:val="single" w:sz="4" w:space="0" w:color="D9D9D9"/>
              <w:right w:val="single" w:sz="4" w:space="0" w:color="D9D9D9"/>
            </w:tcBorders>
            <w:shd w:val="clear" w:color="auto" w:fill="5C3D1A"/>
            <w:tcMar>
              <w:top w:w="60" w:type="dxa"/>
              <w:left w:w="100" w:type="dxa"/>
              <w:bottom w:w="60" w:type="dxa"/>
              <w:right w:w="80" w:type="dxa"/>
            </w:tcMar>
            <w:vAlign w:val="center"/>
          </w:tcPr>
          <w:p w14:paraId="1DA7FEA3"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想定必要予算</w:t>
            </w:r>
          </w:p>
          <w:p w14:paraId="50E07E24"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（年額・概算）</w:t>
            </w:r>
          </w:p>
        </w:tc>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4F541D7E"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1E6B3A"/>
                <w:sz w:val="24"/>
                <w:szCs w:val="24"/>
              </w:rPr>
              <w:t>約 2.31兆円</w:t>
            </w:r>
          </w:p>
        </w:tc>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68FC529F"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1E6B3A"/>
                <w:sz w:val="24"/>
                <w:szCs w:val="24"/>
              </w:rPr>
              <w:t>約 3.29兆円</w:t>
            </w:r>
          </w:p>
        </w:tc>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32FA9486"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1E6B3A"/>
                <w:sz w:val="24"/>
                <w:szCs w:val="24"/>
              </w:rPr>
              <w:t>約 4.26兆円</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5220AEB2"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各費目①〜⑬の合計（年額）。健常職員人件費・研修費・拠点整備費を費目別に精緻化した積み上げ値。</w:t>
            </w:r>
          </w:p>
        </w:tc>
      </w:tr>
      <w:tr w:rsidR="00C06984" w:rsidRPr="00DF6999" w14:paraId="7BF67A73"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4780CFE0"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【コスト 支出項目】</w:t>
            </w:r>
          </w:p>
        </w:tc>
        <w:tc>
          <w:tcPr>
            <w:tcW w:w="0" w:type="auto"/>
            <w:tcBorders>
              <w:top w:val="single" w:sz="4" w:space="0" w:color="D9D9D9"/>
              <w:left w:val="single" w:sz="4" w:space="0" w:color="D9D9D9"/>
              <w:bottom w:val="single" w:sz="4" w:space="0" w:color="D9D9D9"/>
              <w:right w:val="single" w:sz="4" w:space="0" w:color="D9D9D9"/>
            </w:tcBorders>
            <w:shd w:val="clear" w:color="auto" w:fill="1A1410"/>
            <w:tcMar>
              <w:top w:w="60" w:type="dxa"/>
              <w:left w:w="100" w:type="dxa"/>
              <w:bottom w:w="60" w:type="dxa"/>
              <w:right w:w="80" w:type="dxa"/>
            </w:tcMar>
            <w:vAlign w:val="center"/>
          </w:tcPr>
          <w:p w14:paraId="33B3A5DC"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費目</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0DEEA877"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第1期</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17C191E8"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第2期</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78073F5A"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第3期</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49166A3D"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費目別の年額試算（以下①〜⑬）</w:t>
            </w:r>
          </w:p>
        </w:tc>
      </w:tr>
      <w:tr w:rsidR="00C06984" w:rsidRPr="00DF6999" w14:paraId="5536D789"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39C49B3E"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①</w:t>
            </w:r>
          </w:p>
        </w:tc>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468470F7"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障害年金増額・新設分</w:t>
            </w:r>
          </w:p>
          <w:p w14:paraId="61EE8C98"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（3級創設・1/2級引上げ）</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17948D65"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1.5兆円</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39011DEE"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1.6兆円</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7AE5FCD0"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1.8兆円</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6420B118"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等級別精緻化】1級35万人×月+6.7万円＋2級残留161万人×月+5.4万円＋2→3級再編28万人×月+2.4万円＋新規3級流入（第1期平均5万人・第2期20万人・第3期35万人）×月+9万円で算出。現行受給者224万人（令和4年度末）をベースに2級の15%を3級に再編。未申請者から段階的に新規3級認定者が増加する順調的前提。</w:t>
            </w:r>
          </w:p>
        </w:tc>
      </w:tr>
      <w:tr w:rsidR="00C06984" w:rsidRPr="00DF6999" w14:paraId="1842349C"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33F7793D"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②</w:t>
            </w:r>
          </w:p>
        </w:tc>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37F2E42A"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準公務・準企業職員</w:t>
            </w:r>
          </w:p>
          <w:p w14:paraId="7C27F246"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給与支払い</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23867186"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0.2兆円 （登録5万人）</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77BDF286"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1.2兆円 （登録30万人）</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4D0DFE82"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2.0兆円 （登録50万人）</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2CE99692"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時給1,200〜1,800円×週30h。段階的登録拡大。第3期で50万人のタスク従事者を想定。</w:t>
            </w:r>
          </w:p>
        </w:tc>
      </w:tr>
      <w:tr w:rsidR="00C06984" w:rsidRPr="00DF6999" w14:paraId="28383774"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3EE908C8"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③</w:t>
            </w:r>
          </w:p>
        </w:tc>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0D02BEC5"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 現場管理職員（スペシャリスト）</w:t>
            </w:r>
          </w:p>
          <w:p w14:paraId="3D5D4470"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継続人件費</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3E17515B"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0.08兆円 （8,000名×平均560万円）</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1F98F3A4"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0.10兆円 （15,000名×平均626万円）</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49C79D6A"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0.11兆円 （17,500名×平均626万円）</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09EEC640"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G1（520〜580万）・G2主任（600〜680万）・G3拠点所長（700〜800万）・G4推進局幹部（650〜750万）。福祉支援員（平均320万）から複合スペシャリストとして大幅処遇改善。配置（現場・推進局）によらず給与は変動しない。</w:t>
            </w:r>
          </w:p>
        </w:tc>
      </w:tr>
      <w:tr w:rsidR="00C06984" w:rsidRPr="00DF6999" w14:paraId="49C21ED6"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0FB42B72"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④</w:t>
            </w:r>
          </w:p>
        </w:tc>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0DF360C6"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 現場管理職員</w:t>
            </w:r>
          </w:p>
          <w:p w14:paraId="4CD453C9"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選定・転換研修費</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089F2748"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0.003兆円 （73億円を3年分割＋更新）</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5CB29FCA"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0.001兆円 （追加採用研修＋年次更新）</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4BA8EFC9"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0.000兆円 （年次更新3.5億円のみ）</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2B03BEF9"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選考16億＋転換研修30億（合宿5日・通学12回・eL20h）＋OJT26億（6ヶ月）＋認定1億＝計73億円を第1期3年で分割。年次更新研修3.5億円/年。</w:t>
            </w:r>
          </w:p>
        </w:tc>
      </w:tr>
      <w:tr w:rsidR="00C06984" w:rsidRPr="00DF6999" w14:paraId="7BCA1D53"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3725E36A"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⑤</w:t>
            </w:r>
          </w:p>
        </w:tc>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43923405"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 拠点整備費</w:t>
            </w:r>
          </w:p>
          <w:p w14:paraId="5AE28DD7"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（バリアフリー・耐震・駐車場等）</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40684BC5"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0.3兆円 （1,072拠点×平均2.8億円）</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7C2F9629"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0.05兆円 （軽微改修・追加）</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48A09BAE"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0.02兆円 （小規模修繕）</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5481348E"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1拠点あたり駐車32台（480〜640㎡）＋建物改修。敷地最低800〜1,500㎡必要。利用者30%が車通勤想定。都市規模別1,072拠点（政令市129・中核市93・一般市大150・一般市小450・町村合同250）。</w:t>
            </w:r>
          </w:p>
        </w:tc>
      </w:tr>
      <w:tr w:rsidR="00C06984" w:rsidRPr="00DF6999" w14:paraId="559DFFCC"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13D3EF04"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⑥</w:t>
            </w:r>
          </w:p>
        </w:tc>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44853BA7"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 施設活用見込み・整備規模</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464E4F48"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全国1,072拠点 （都市規模別配置）</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45446049"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維持1,072拠点 （大都市は需要増で増設検討）</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6B2EB645"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維持〜微増 （約1,100拠点程度）</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7A136887"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従来想定（2,000〜2,800拠点）は過大。人口密度・障害者数・交通アクセスに基づく都市規模別モデルで約1,072拠点が適正。</w:t>
            </w:r>
          </w:p>
        </w:tc>
      </w:tr>
      <w:tr w:rsidR="00C06984" w:rsidRPr="00DF6999" w14:paraId="4C05F9C0"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296B1F96"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⑦</w:t>
            </w:r>
          </w:p>
        </w:tc>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0DA7753E"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公用車初期導入費</w:t>
            </w:r>
          </w:p>
          <w:p w14:paraId="6C498464"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（リース優先）</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5B68EB5C"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0.05兆円 （屋外チーム数×リース初期）</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631A0C26"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0.01兆円 （追加分）</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795104F0"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0.01兆円 （更新）</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3437640C"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1,072拠点×屋外チーム約8台＝約8,576台。リース優先（ファイナンスリース）で初期費用を圧縮。福祉車両（リフト付等）含む。</w:t>
            </w:r>
          </w:p>
        </w:tc>
      </w:tr>
      <w:tr w:rsidR="00C06984" w:rsidRPr="00DF6999" w14:paraId="5F78A395"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1C4B08FA"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⑧</w:t>
            </w:r>
          </w:p>
        </w:tc>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05A42A94"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公務ユニット運営費</w:t>
            </w:r>
          </w:p>
          <w:p w14:paraId="06021562"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（車両維持・端末通信・拠点光熱費等）</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18FB0B20"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0.05兆円</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71E678C7"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0.12兆円</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31B4664D"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0.15兆円</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70C56320"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燃料・保険・車検、タブレット端末・通信費、拠点光熱費・消耗品等。※職員給与は③に分離計上済み。</w:t>
            </w:r>
          </w:p>
        </w:tc>
      </w:tr>
      <w:tr w:rsidR="00C06984" w:rsidRPr="00DF6999" w14:paraId="2BE133E8"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322866C4"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⑨</w:t>
            </w:r>
          </w:p>
        </w:tc>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52FB4CA9"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準公務・準企業職員</w:t>
            </w:r>
          </w:p>
          <w:p w14:paraId="0DB8D8F9"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研修費</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07687950"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0.02兆円 （パイロット研修）</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4E02B606"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0.08兆円 （本格研修）</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590DD45A"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0.04兆円 （フォローアップ）</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0298682D"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障害特性別業務習熟・安全管理・ICT操作研修。eラーニング活用で費用圧縮。</w:t>
            </w:r>
          </w:p>
        </w:tc>
      </w:tr>
      <w:tr w:rsidR="00C06984" w:rsidRPr="00DF6999" w14:paraId="1472F26C"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79910F8A"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⑩</w:t>
            </w:r>
          </w:p>
        </w:tc>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4D0E242F"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ICT基盤整備費</w:t>
            </w:r>
          </w:p>
          <w:p w14:paraId="328EED13"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（システム開発・保守等）</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3029CF1D"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0.08兆円 （既存API連携＋小規模開発）</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4EFB63E0"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0.08兆円 （運用・保守）</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1D336823"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0.08兆円 （更新・軽微拡張）</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582EBF6F"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タスク管理・信頼スコア・給与勤怠・不正検知システム。既存自治体基盤をAPI連携で活用しフルスクラッチ開発を回避。</w:t>
            </w:r>
          </w:p>
        </w:tc>
      </w:tr>
      <w:tr w:rsidR="00C06984" w:rsidRPr="00DF6999" w14:paraId="57713FF4"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18CADEB2"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⑪</w:t>
            </w:r>
          </w:p>
        </w:tc>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39CE14C0"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司令部（推進局）</w:t>
            </w:r>
          </w:p>
          <w:p w14:paraId="31FEEB88"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設置・運営費</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1B9E9BD2"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0.01兆円 （庁舎改修・初期整備）</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2ECC91D8"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0.03兆円 （本格稼働）</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7903DB0A"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0.03兆円 （安定運営）</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23F70B17"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47都道府県ブロック×8名（順調）。本庁舎内設置。PM・業務コーディネーター・企業対応担当等。</w:t>
            </w:r>
          </w:p>
        </w:tc>
      </w:tr>
      <w:tr w:rsidR="00C06984" w:rsidRPr="00DF6999" w14:paraId="72FCE965"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2EAF623C"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⑫</w:t>
            </w:r>
          </w:p>
        </w:tc>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19587589"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不正受給防止・</w:t>
            </w:r>
          </w:p>
          <w:p w14:paraId="71A1C529"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モニタリングシステム費</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66159F2B"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0.01兆円</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66881667"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0.01兆円</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0DD048D5"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0.01兆円</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0A86DDF0"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AI診断書照合・医療機関監査・生活実態調査体制。既存社会保障番号システムと連携。</w:t>
            </w:r>
          </w:p>
        </w:tc>
      </w:tr>
      <w:tr w:rsidR="00C06984" w:rsidRPr="00DF6999" w14:paraId="39365277"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6B92C425"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⑬</w:t>
            </w:r>
          </w:p>
        </w:tc>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787BB467"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包括的準職員保険</w:t>
            </w:r>
          </w:p>
          <w:p w14:paraId="3CC4C216"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・事故補償基金</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6356AAC5"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0.01兆円</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0EE22D2C"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0.01兆円</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15EBB027"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0.01兆円</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0DD1805E"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公務中事故・ケガへの補償原資。民間保険との折半を検討。現場責任リスクを推進局が吸収。</w:t>
            </w:r>
          </w:p>
        </w:tc>
      </w:tr>
      <w:tr w:rsidR="00C06984" w:rsidRPr="00DF6999" w14:paraId="5BF723D3"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74068189"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【財源 収入項目】</w:t>
            </w:r>
          </w:p>
        </w:tc>
        <w:tc>
          <w:tcPr>
            <w:tcW w:w="0" w:type="auto"/>
            <w:tcBorders>
              <w:top w:val="single" w:sz="4" w:space="0" w:color="D9D9D9"/>
              <w:left w:val="single" w:sz="4" w:space="0" w:color="D9D9D9"/>
              <w:bottom w:val="single" w:sz="4" w:space="0" w:color="D9D9D9"/>
              <w:right w:val="single" w:sz="4" w:space="0" w:color="D9D9D9"/>
            </w:tcBorders>
            <w:shd w:val="clear" w:color="auto" w:fill="5C3D1A"/>
            <w:tcMar>
              <w:top w:w="60" w:type="dxa"/>
              <w:left w:w="100" w:type="dxa"/>
              <w:bottom w:w="60" w:type="dxa"/>
              <w:right w:w="80" w:type="dxa"/>
            </w:tcMar>
            <w:vAlign w:val="center"/>
          </w:tcPr>
          <w:p w14:paraId="38A44A99"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財源</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11CEA3BB"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第1期</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3F6BEFBC"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第2期</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2AD8DEFB"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第3期</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5CEF1B4C"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財源A〜Fの内訳</w:t>
            </w:r>
          </w:p>
        </w:tc>
      </w:tr>
      <w:tr w:rsidR="00C06984" w:rsidRPr="00DF6999" w14:paraId="291DB1AC"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3326411A"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A</w:t>
            </w:r>
          </w:p>
        </w:tc>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5D9C480D"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現行障害年金予算</w:t>
            </w:r>
          </w:p>
          <w:p w14:paraId="4F85111C"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（既存分・流用）</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3EEE38B6"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2.4兆円</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54027A47"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2.4兆円</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7E19DFAA"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2.5兆円</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41A66FD9"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現行の障害年金支出をそのまま本制度の年金増額分の原資として充当。出典：厚生労働省「令和5年度 厚生年金保険・国民年金事業の概況」（令和6年12月）。障害基礎年金受給者約222万人に係る現行支出分を充当。</w:t>
            </w:r>
          </w:p>
        </w:tc>
      </w:tr>
      <w:tr w:rsidR="00C06984" w:rsidRPr="00DF6999" w14:paraId="3F73BBDF"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7335E527"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B</w:t>
            </w:r>
          </w:p>
        </w:tc>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75A508EB"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行政・補助金効率化</w:t>
            </w:r>
          </w:p>
          <w:p w14:paraId="57541409"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（就労支援施設スタッフ予算スライド含む）</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4F917011"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0.1兆円</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19850B01"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0.8兆円</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2003DC23"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1.2兆円</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4F20FC16"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就労継続支援A/B型給付金（年約7,000億円）を段階的に本制度へ移管。スタッフ人件費スライド分が③（スペシャリスト人件費）の原資に充当。A型約1,211億円・B型約3,814億円（厚生労働省資料、令和元年度）をベースに年8%増で推計。</w:t>
            </w:r>
          </w:p>
        </w:tc>
      </w:tr>
      <w:tr w:rsidR="00C06984" w:rsidRPr="00DF6999" w14:paraId="52897C3C"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55FB38B8"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C</w:t>
            </w:r>
          </w:p>
        </w:tc>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21BBDB77"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雇用代替拠出金</w:t>
            </w:r>
          </w:p>
          <w:p w14:paraId="3EDF17EE"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（企業からの拠出）</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0FA5EC0B"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0.0兆円 （制度準備段階）</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6B5D08A8"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2.0兆円 （早期に高水準で集積）</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6B220ABE"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3.0兆円 （完全移行後の安定財源）</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140302A7"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1ユニット（週30h）月額18万円×対象企業数。第2期で約100万ユニット（約55,000社）、第3期で約140万ユニット想定。1P=1,500円×120P（1人分）=18万円が1人の月給原資とリンクした循環設計。</w:t>
            </w:r>
          </w:p>
        </w:tc>
      </w:tr>
      <w:tr w:rsidR="00C06984" w:rsidRPr="00DF6999" w14:paraId="3BF03CC4"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7F6FF324"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D</w:t>
            </w:r>
          </w:p>
        </w:tc>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04CFBB1F"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既存手当・扶助費整理</w:t>
            </w:r>
          </w:p>
          <w:p w14:paraId="304A3E4C"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（生活保護費との重複解消等）</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2B44BFA1"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0.2兆円</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07784B0C"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0.4兆円</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2CE3D0BF"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0.5兆円</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3ACBEA81"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障害者加算・特別障害者手当・生活保護と障害年金の重複受給を整理し原資を本制度へ集約。</w:t>
            </w:r>
          </w:p>
        </w:tc>
      </w:tr>
      <w:tr w:rsidR="00C06984" w:rsidRPr="00DF6999" w14:paraId="5CD2A272"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0A58063F"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E</w:t>
            </w:r>
          </w:p>
        </w:tc>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6DF44699"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民間ノウハウ協力費</w:t>
            </w:r>
          </w:p>
          <w:p w14:paraId="4F453FC3"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（支出・マイナス項目）</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2EABF023"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▲0.01兆円 （＝▲100億円）</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15282F75"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▲0.03兆円 （＝▲300億円）</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41B14C95"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（拠出金減免により調整）</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49D3C8FE"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民間企業ノウハウ提供への対価支払い（支出）。採用率・規模により増減。</w:t>
            </w:r>
          </w:p>
        </w:tc>
      </w:tr>
      <w:tr w:rsidR="00C06984" w:rsidRPr="00DF6999" w14:paraId="07F1D098"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17AED804"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F</w:t>
            </w:r>
          </w:p>
        </w:tc>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29A1DACF"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政府支出による初期財政措置</w:t>
            </w:r>
          </w:p>
          <w:p w14:paraId="41540A5F"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（MMT的アプローチ／国債発行含む）</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501EA9D0"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（不足分を補完）</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43657F75"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27D77EC0"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11265E06"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増税に頼らない初期コスト対応。国債発行を含む政府支出により措置するが、インフレ率・国債残高を監視指標として設定し、中長期的には自律財源への移行を図る。恒久的な国債依存を前提とするものではない。</w:t>
            </w:r>
          </w:p>
        </w:tc>
      </w:tr>
      <w:tr w:rsidR="00C06984" w:rsidRPr="00DF6999" w14:paraId="1AC066D0"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5C3D1A"/>
            <w:tcMar>
              <w:top w:w="60" w:type="dxa"/>
              <w:left w:w="100" w:type="dxa"/>
              <w:bottom w:w="60" w:type="dxa"/>
              <w:right w:w="80" w:type="dxa"/>
            </w:tcMar>
            <w:vAlign w:val="center"/>
          </w:tcPr>
          <w:p w14:paraId="62DC0479"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w:t>
            </w:r>
          </w:p>
        </w:tc>
        <w:tc>
          <w:tcPr>
            <w:tcW w:w="0" w:type="auto"/>
            <w:tcBorders>
              <w:top w:val="single" w:sz="4" w:space="0" w:color="D9D9D9"/>
              <w:left w:val="single" w:sz="4" w:space="0" w:color="D9D9D9"/>
              <w:bottom w:val="single" w:sz="4" w:space="0" w:color="D9D9D9"/>
              <w:right w:val="single" w:sz="4" w:space="0" w:color="D9D9D9"/>
            </w:tcBorders>
            <w:shd w:val="clear" w:color="auto" w:fill="5C3D1A"/>
            <w:tcMar>
              <w:top w:w="60" w:type="dxa"/>
              <w:left w:w="100" w:type="dxa"/>
              <w:bottom w:w="60" w:type="dxa"/>
              <w:right w:w="80" w:type="dxa"/>
            </w:tcMar>
            <w:vAlign w:val="center"/>
          </w:tcPr>
          <w:p w14:paraId="2DA48B12"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【財源合計（年額）】</w:t>
            </w:r>
          </w:p>
        </w:tc>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1C7807B6"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1E6B3A"/>
                <w:sz w:val="24"/>
                <w:szCs w:val="24"/>
              </w:rPr>
              <w:t>約 2.69兆円 （＋MMT補完分）</w:t>
            </w:r>
          </w:p>
        </w:tc>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43CC803F"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1E6B3A"/>
                <w:sz w:val="24"/>
                <w:szCs w:val="24"/>
              </w:rPr>
              <w:t>約 5.57兆円</w:t>
            </w:r>
          </w:p>
        </w:tc>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1760D465"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1E6B3A"/>
                <w:sz w:val="24"/>
                <w:szCs w:val="24"/>
              </w:rPr>
              <w:t>約 7.20兆円</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78C0E28E"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上記A〜F合計。</w:t>
            </w:r>
          </w:p>
        </w:tc>
      </w:tr>
      <w:tr w:rsidR="00C06984" w:rsidRPr="00DF6999" w14:paraId="7F3432C3"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5C3D1A"/>
            <w:tcMar>
              <w:top w:w="60" w:type="dxa"/>
              <w:left w:w="100" w:type="dxa"/>
              <w:bottom w:w="60" w:type="dxa"/>
              <w:right w:w="80" w:type="dxa"/>
            </w:tcMar>
            <w:vAlign w:val="center"/>
          </w:tcPr>
          <w:p w14:paraId="6234EB8A"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w:t>
            </w:r>
          </w:p>
        </w:tc>
        <w:tc>
          <w:tcPr>
            <w:tcW w:w="0" w:type="auto"/>
            <w:tcBorders>
              <w:top w:val="single" w:sz="4" w:space="0" w:color="D9D9D9"/>
              <w:left w:val="single" w:sz="4" w:space="0" w:color="D9D9D9"/>
              <w:bottom w:val="single" w:sz="4" w:space="0" w:color="D9D9D9"/>
              <w:right w:val="single" w:sz="4" w:space="0" w:color="D9D9D9"/>
            </w:tcBorders>
            <w:shd w:val="clear" w:color="auto" w:fill="5C3D1A"/>
            <w:tcMar>
              <w:top w:w="60" w:type="dxa"/>
              <w:left w:w="100" w:type="dxa"/>
              <w:bottom w:w="60" w:type="dxa"/>
              <w:right w:w="80" w:type="dxa"/>
            </w:tcMar>
            <w:vAlign w:val="center"/>
          </w:tcPr>
          <w:p w14:paraId="233CECE5"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収支差額</w:t>
            </w:r>
          </w:p>
          <w:p w14:paraId="7358C5E9"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（＋：黒字予備費）</w:t>
            </w:r>
          </w:p>
        </w:tc>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2FAD68BE"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1E6B3A"/>
                <w:sz w:val="24"/>
                <w:szCs w:val="24"/>
              </w:rPr>
              <w:t>黒字 約0.22兆円 → MMT補完で対応</w:t>
            </w:r>
          </w:p>
        </w:tc>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2A98067C"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1E6B3A"/>
                <w:sz w:val="24"/>
                <w:szCs w:val="24"/>
              </w:rPr>
              <w:t>黒字 約2.28兆円 → 予備費・将来積立</w:t>
            </w:r>
          </w:p>
        </w:tc>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253D8523"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1E6B3A"/>
                <w:sz w:val="24"/>
                <w:szCs w:val="24"/>
              </w:rPr>
              <w:t>黒字 約2.94兆円</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44294B22"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【順調】等級別精緻化により第1期から黒字転換。新規3級流入が増加する第2〜3期も黒字を維持し、制度拡充の原資となる。</w:t>
            </w:r>
          </w:p>
        </w:tc>
      </w:tr>
    </w:tbl>
    <w:p w14:paraId="108C53C3" w14:textId="77777777" w:rsidR="00C06984" w:rsidRPr="00DF6999" w:rsidRDefault="00000000">
      <w:pPr>
        <w:spacing w:before="0" w:after="120" w:line="360" w:lineRule="auto"/>
        <w:rPr>
          <w:rFonts w:ascii="Meiryo UI" w:eastAsia="Meiryo UI" w:hAnsi="Meiryo UI" w:cs="Meiryo UI"/>
          <w:sz w:val="24"/>
          <w:szCs w:val="24"/>
        </w:rPr>
      </w:pPr>
      <w:r>
        <w:rPr>
          <w:rFonts w:ascii="Meiryo UI" w:eastAsia="Meiryo UI" w:hAnsi="Meiryo UI" w:cs="Meiryo UI"/>
          <w:b/>
          <w:bCs/>
          <w:sz w:val="24"/>
          <w:szCs w:val="24"/>
        </w:rPr>
        <w:t>【職員給与グレード設計】</w:t>
      </w:r>
      <w:r>
        <w:rPr>
          <w:rFonts w:ascii="Meiryo UI" w:eastAsia="Meiryo UI" w:hAnsi="Meiryo UI" w:cs="Meiryo UI"/>
          <w:sz w:val="24"/>
          <w:szCs w:val="24"/>
        </w:rPr>
        <w:t>給与はグレードに基づく基本給一本で設定し、現場・推進局のいずれに配置されても変動しない。G1（一般職員・1年スパンローテーション対象）：520〜580万円 ／ G2（主任・現場経験必須・原則固定）：600〜680万円 ／ G3（拠点所長・固定）：700〜800万円 ／ G4（推進局幹部・固定）：650〜750万円　平均年収：順調626万円</w:t>
      </w:r>
    </w:p>
    <w:p w14:paraId="7276091F" w14:textId="77777777" w:rsidR="00C06984" w:rsidRPr="00DF6999" w:rsidRDefault="00000000">
      <w:pPr>
        <w:spacing w:before="0" w:after="120" w:line="360" w:lineRule="auto"/>
        <w:rPr>
          <w:rFonts w:ascii="Meiryo UI" w:eastAsia="Meiryo UI" w:hAnsi="Meiryo UI" w:cs="Meiryo UI"/>
          <w:sz w:val="24"/>
          <w:szCs w:val="24"/>
        </w:rPr>
      </w:pPr>
      <w:r>
        <w:rPr>
          <w:rFonts w:ascii="Meiryo UI" w:eastAsia="Meiryo UI" w:hAnsi="Meiryo UI" w:cs="Meiryo UI"/>
          <w:b/>
          <w:bCs/>
          <w:sz w:val="24"/>
          <w:szCs w:val="24"/>
        </w:rPr>
        <w:t>【現場管理職員 必要人数根拠】</w:t>
      </w:r>
      <w:r>
        <w:rPr>
          <w:rFonts w:ascii="Meiryo UI" w:eastAsia="Meiryo UI" w:hAnsi="Meiryo UI" w:cs="Meiryo UI"/>
          <w:sz w:val="24"/>
          <w:szCs w:val="24"/>
        </w:rPr>
        <w:t>全国1,072拠点×チーム随行モデル（屋外5名/チーム＋随行1名・室内8名/チーム＋指示1名・リモート10名/担当1名）＋拠点所長2名＋司令部：順調17,500名</w:t>
      </w:r>
    </w:p>
    <w:p w14:paraId="3548EDB0" w14:textId="77777777" w:rsidR="00C06984" w:rsidRPr="00DF6999" w:rsidRDefault="00000000">
      <w:pPr>
        <w:rPr>
          <w:rFonts w:ascii="Meiryo UI" w:eastAsia="Meiryo UI" w:hAnsi="Meiryo UI" w:cs="Meiryo UI"/>
        </w:rPr>
        <w:spacing w:before="0" w:after="120" w:line="360" w:lineRule="auto"/>
      </w:pPr>
      <w:r>
        <w:rPr>
          <w:rFonts w:ascii="Meiryo UI" w:eastAsia="Meiryo UI" w:hAnsi="Meiryo UI" w:cs="Meiryo UI"/>
        </w:rPr>
        <w:br w:type="page"/>
      </w:r>
    </w:p>
    <w:p w14:paraId="49D3437E" w14:textId="77777777" w:rsidR="00C06984" w:rsidRPr="00DF6999" w:rsidRDefault="00000000">
      <w:pPr>
        <w:pBdr>
          <w:bottom w:val="single" w:sz="6" w:space="4" w:color="1A1410"/>
        </w:pBdr>
        <w:spacing w:before="0" w:after="120" w:line="360" w:lineRule="auto"/>
        <w:rPr>
          <w:rFonts w:ascii="Meiryo UI" w:eastAsia="Meiryo UI" w:hAnsi="Meiryo UI" w:cs="Meiryo UI"/>
        </w:rPr>
      </w:pPr>
      <w:r>
        <w:rPr>
          <w:rFonts w:ascii="Meiryo UI" w:eastAsia="Meiryo UI" w:hAnsi="Meiryo UI" w:cs="Meiryo UI"/>
          <w:b/>
          <w:bCs/>
          <w:color w:val="1A1410"/>
          <w:sz w:val="28"/>
          <w:szCs w:val="28"/>
        </w:rPr>
        <w:t>⚠️</w:t>
      </w:r>
      <w:r>
        <w:rPr>
          <w:rFonts w:ascii="Meiryo UI" w:eastAsia="Meiryo UI" w:hAnsi="Meiryo UI" w:cs="Meiryo UI"/>
          <w:b/>
          <w:bCs/>
          <w:color w:val="1A1410"/>
          <w:sz w:val="28"/>
          <w:szCs w:val="28"/>
        </w:rPr>
        <w:t xml:space="preserve"> 【停滞シナリオ】詳細</w:t>
      </w:r>
      <w:r>
        <w:rPr>
          <w:rFonts w:ascii="Meiryo UI" w:eastAsia="Meiryo UI" w:hAnsi="Meiryo UI" w:cs="Meiryo UI"/>
          <w:color w:val="4A3A2A"/>
          <w:sz w:val="20"/>
          <w:szCs w:val="20"/>
        </w:rPr>
        <w:t xml:space="preserve">　</w:t>
      </w:r>
      <w:r>
        <w:rPr>
          <w:rFonts w:ascii="Meiryo UI" w:eastAsia="Meiryo UI" w:hAnsi="Meiryo UI" w:cs="Meiryo UI"/>
          <w:color w:val="000000"/>
          <w:sz w:val="20"/>
          <w:szCs w:val="20"/>
        </w:rPr>
        <w:t>老朽化・独自開発・採用難・企業移行遅延を想定した場合</w:t>
      </w:r>
    </w:p>
    <w:tbl>
      <w:tblPr>
        <w:tblW w:w="201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7"/>
        <w:gridCol w:w="1455"/>
        <w:gridCol w:w="4610"/>
        <w:gridCol w:w="4309"/>
        <w:gridCol w:w="3680"/>
        <w:gridCol w:w="5349"/>
      </w:tblGrid>
      <w:tr w:rsidR="00C06984" w:rsidRPr="00DF6999" w14:paraId="10D3947F" w14:textId="77777777">
        <w:tblPrEx>
          <w:tblCellMar>
            <w:top w:w="0" w:type="dxa"/>
            <w:bottom w:w="0" w:type="dxa"/>
          </w:tblCellMar>
        </w:tblPrEx>
        <w:trPr>
          <w:tblHeader/>
        </w:trPr>
        <w:tc>
          <w:tcPr>
            <w:tcW w:w="900" w:type="dxa"/>
            <w:tcBorders>
              <w:top w:val="single" w:sz="4" w:space="0" w:color="1A1410"/>
              <w:left w:val="single" w:sz="4" w:space="0" w:color="1A1410"/>
              <w:bottom w:val="single" w:sz="4" w:space="0" w:color="1A1410"/>
              <w:right w:val="single" w:sz="4" w:space="0" w:color="1A1410"/>
            </w:tcBorders>
            <w:shd w:val="clear" w:color="auto" w:fill="8B2635"/>
            <w:tcMar>
              <w:top w:w="60" w:type="dxa"/>
              <w:left w:w="100" w:type="dxa"/>
              <w:bottom w:w="60" w:type="dxa"/>
              <w:right w:w="80" w:type="dxa"/>
            </w:tcMar>
            <w:vAlign w:val="center"/>
          </w:tcPr>
          <w:p w14:paraId="48D10859"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区分</w:t>
            </w:r>
          </w:p>
        </w:tc>
        <w:tc>
          <w:tcPr>
            <w:tcW w:w="2800" w:type="dxa"/>
            <w:tcBorders>
              <w:top w:val="single" w:sz="4" w:space="0" w:color="1A1410"/>
              <w:left w:val="single" w:sz="4" w:space="0" w:color="1A1410"/>
              <w:bottom w:val="single" w:sz="4" w:space="0" w:color="1A1410"/>
              <w:right w:val="single" w:sz="4" w:space="0" w:color="1A1410"/>
            </w:tcBorders>
            <w:shd w:val="clear" w:color="auto" w:fill="8B2635"/>
            <w:tcMar>
              <w:top w:w="60" w:type="dxa"/>
              <w:left w:w="100" w:type="dxa"/>
              <w:bottom w:w="60" w:type="dxa"/>
              <w:right w:w="80" w:type="dxa"/>
            </w:tcMar>
            <w:vAlign w:val="center"/>
          </w:tcPr>
          <w:p w14:paraId="163A146D"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項目</w:t>
            </w:r>
          </w:p>
        </w:tc>
        <w:tc>
          <w:tcPr>
            <w:tcW w:w="1700" w:type="dxa"/>
            <w:tcBorders>
              <w:top w:val="single" w:sz="4" w:space="0" w:color="1A1410"/>
              <w:left w:val="single" w:sz="4" w:space="0" w:color="1A1410"/>
              <w:bottom w:val="single" w:sz="4" w:space="0" w:color="1A1410"/>
              <w:right w:val="single" w:sz="4" w:space="0" w:color="1A1410"/>
            </w:tcBorders>
            <w:shd w:val="clear" w:color="auto" w:fill="8B2635"/>
            <w:tcMar>
              <w:top w:w="60" w:type="dxa"/>
              <w:left w:w="100" w:type="dxa"/>
              <w:bottom w:w="60" w:type="dxa"/>
              <w:right w:w="80" w:type="dxa"/>
            </w:tcMar>
            <w:vAlign w:val="center"/>
          </w:tcPr>
          <w:p w14:paraId="4D2E681F"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第1期 年金増額期 （1〜3年目）</w:t>
            </w:r>
          </w:p>
        </w:tc>
        <w:tc>
          <w:tcPr>
            <w:tcW w:w="1700" w:type="dxa"/>
            <w:tcBorders>
              <w:top w:val="single" w:sz="4" w:space="0" w:color="1A1410"/>
              <w:left w:val="single" w:sz="4" w:space="0" w:color="1A1410"/>
              <w:bottom w:val="single" w:sz="4" w:space="0" w:color="1A1410"/>
              <w:right w:val="single" w:sz="4" w:space="0" w:color="1A1410"/>
            </w:tcBorders>
            <w:shd w:val="clear" w:color="auto" w:fill="8B2635"/>
            <w:tcMar>
              <w:top w:w="60" w:type="dxa"/>
              <w:left w:w="100" w:type="dxa"/>
              <w:bottom w:w="60" w:type="dxa"/>
              <w:right w:w="80" w:type="dxa"/>
            </w:tcMar>
            <w:vAlign w:val="center"/>
          </w:tcPr>
          <w:p w14:paraId="085D54E4"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第2期 準公務開始期 （4〜6年目）</w:t>
            </w:r>
          </w:p>
        </w:tc>
        <w:tc>
          <w:tcPr>
            <w:tcW w:w="1700" w:type="dxa"/>
            <w:tcBorders>
              <w:top w:val="single" w:sz="4" w:space="0" w:color="1A1410"/>
              <w:left w:val="single" w:sz="4" w:space="0" w:color="1A1410"/>
              <w:bottom w:val="single" w:sz="4" w:space="0" w:color="1A1410"/>
              <w:right w:val="single" w:sz="4" w:space="0" w:color="1A1410"/>
            </w:tcBorders>
            <w:shd w:val="clear" w:color="auto" w:fill="8B2635"/>
            <w:tcMar>
              <w:top w:w="60" w:type="dxa"/>
              <w:left w:w="100" w:type="dxa"/>
              <w:bottom w:w="60" w:type="dxa"/>
              <w:right w:w="80" w:type="dxa"/>
            </w:tcMar>
            <w:vAlign w:val="center"/>
          </w:tcPr>
          <w:p w14:paraId="7F8E6A51"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第3期 完成・自走期 （7〜10年目）</w:t>
            </w:r>
          </w:p>
        </w:tc>
        <w:tc>
          <w:tcPr>
            <w:tcW w:w="11350" w:type="dxa"/>
            <w:tcBorders>
              <w:top w:val="single" w:sz="4" w:space="0" w:color="1A1410"/>
              <w:left w:val="single" w:sz="4" w:space="0" w:color="1A1410"/>
              <w:bottom w:val="single" w:sz="4" w:space="0" w:color="1A1410"/>
              <w:right w:val="single" w:sz="4" w:space="0" w:color="1A1410"/>
            </w:tcBorders>
            <w:shd w:val="clear" w:color="auto" w:fill="8B2635"/>
            <w:tcMar>
              <w:top w:w="60" w:type="dxa"/>
              <w:left w:w="100" w:type="dxa"/>
              <w:bottom w:w="60" w:type="dxa"/>
              <w:right w:w="80" w:type="dxa"/>
            </w:tcMar>
            <w:vAlign w:val="center"/>
          </w:tcPr>
          <w:p w14:paraId="1591AE2C"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備考・算出根拠・想定規模</w:t>
            </w:r>
          </w:p>
        </w:tc>
      </w:tr>
      <w:tr w:rsidR="00C06984" w:rsidRPr="00DF6999" w14:paraId="02E011D4"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F5E8C0"/>
            <w:tcMar>
              <w:top w:w="60" w:type="dxa"/>
              <w:left w:w="100" w:type="dxa"/>
              <w:bottom w:w="60" w:type="dxa"/>
              <w:right w:w="80" w:type="dxa"/>
            </w:tcMar>
            <w:vAlign w:val="center"/>
          </w:tcPr>
          <w:p w14:paraId="1FF47CB1"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主な 施策</w:t>
            </w:r>
          </w:p>
        </w:tc>
        <w:tc>
          <w:tcPr>
            <w:tcW w:w="0" w:type="auto"/>
            <w:tcBorders>
              <w:top w:val="single" w:sz="4" w:space="0" w:color="D9D9D9"/>
              <w:left w:val="single" w:sz="4" w:space="0" w:color="D9D9D9"/>
              <w:bottom w:val="single" w:sz="4" w:space="0" w:color="D9D9D9"/>
              <w:right w:val="single" w:sz="4" w:space="0" w:color="D9D9D9"/>
            </w:tcBorders>
            <w:shd w:val="clear" w:color="auto" w:fill="F5E8C0"/>
            <w:tcMar>
              <w:top w:w="60" w:type="dxa"/>
              <w:left w:w="100" w:type="dxa"/>
              <w:bottom w:w="60" w:type="dxa"/>
              <w:right w:w="80" w:type="dxa"/>
            </w:tcMar>
            <w:vAlign w:val="center"/>
          </w:tcPr>
          <w:p w14:paraId="016060C1"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各期の主な施策（停滞）</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80" w:type="dxa"/>
            </w:tcMar>
            <w:vAlign w:val="center"/>
          </w:tcPr>
          <w:p w14:paraId="696C8668"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・年金3級新設・1,2級増額（受給者膨張リスクあり） ・大規模拠点改修（老朽化・耐震問題が深刻） ・公用車の大量購入（リース活用が進まない） ・ICTフルスクラッチ開発（独自システム） ・管理職員の新規大量採用・転換研修が長期化</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80" w:type="dxa"/>
            </w:tcMar>
            <w:vAlign w:val="center"/>
          </w:tcPr>
          <w:p w14:paraId="036D29C4"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・準公務職員採用開始（支援ニーズが想定超） ・研修の大規模化（離職・ミスマッチ多発） ・公務ユニット試験運用の非効率（トライ＆エラー多発） ・拠点追加整備継続（構造的改修が長引く） ・司令部の運営コスト増大</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80" w:type="dxa"/>
            </w:tcMar>
            <w:vAlign w:val="center"/>
          </w:tcPr>
          <w:p w14:paraId="0DE7E4F3"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・制度本格始動（運用効率は想定より低い） ・企業の新制度移行が遅れ拠出金の伸びが鈍い ・拠点維持費・修繕費が高止まり ・スペシャリスト職員の待遇水準維持が財政を圧迫</w:t>
            </w:r>
          </w:p>
        </w:tc>
        <w:tc>
          <w:tcPr>
            <w:tcW w:w="0" w:type="auto"/>
            <w:tcBorders>
              <w:top w:val="single" w:sz="4" w:space="0" w:color="D9D9D9"/>
              <w:left w:val="single" w:sz="4" w:space="0" w:color="D9D9D9"/>
              <w:bottom w:val="single" w:sz="4" w:space="0" w:color="D9D9D9"/>
              <w:right w:val="single" w:sz="4" w:space="0" w:color="D9D9D9"/>
            </w:tcBorders>
            <w:shd w:val="clear" w:color="auto" w:fill="F5EDEB"/>
            <w:tcMar>
              <w:top w:w="60" w:type="dxa"/>
              <w:left w:w="100" w:type="dxa"/>
              <w:bottom w:w="60" w:type="dxa"/>
              <w:right w:w="80" w:type="dxa"/>
            </w:tcMar>
            <w:vAlign w:val="center"/>
          </w:tcPr>
          <w:p w14:paraId="14470038"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老朽化・採用難・独自ICT開発・企業移行遅延が重なり、第1期コストが順調の約2.2倍に膨張する。</w:t>
            </w:r>
          </w:p>
        </w:tc>
      </w:tr>
      <w:tr w:rsidR="00C06984" w:rsidRPr="00DF6999" w14:paraId="43503351"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8B2635"/>
            <w:tcMar>
              <w:top w:w="60" w:type="dxa"/>
              <w:left w:w="100" w:type="dxa"/>
              <w:bottom w:w="60" w:type="dxa"/>
              <w:right w:w="80" w:type="dxa"/>
            </w:tcMar>
            <w:vAlign w:val="center"/>
          </w:tcPr>
          <w:p w14:paraId="6918AF4E"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w:t>
            </w:r>
          </w:p>
        </w:tc>
        <w:tc>
          <w:tcPr>
            <w:tcW w:w="0" w:type="auto"/>
            <w:tcBorders>
              <w:top w:val="single" w:sz="4" w:space="0" w:color="D9D9D9"/>
              <w:left w:val="single" w:sz="4" w:space="0" w:color="D9D9D9"/>
              <w:bottom w:val="single" w:sz="4" w:space="0" w:color="D9D9D9"/>
              <w:right w:val="single" w:sz="4" w:space="0" w:color="D9D9D9"/>
            </w:tcBorders>
            <w:shd w:val="clear" w:color="auto" w:fill="8B2635"/>
            <w:tcMar>
              <w:top w:w="60" w:type="dxa"/>
              <w:left w:w="100" w:type="dxa"/>
              <w:bottom w:w="60" w:type="dxa"/>
              <w:right w:w="80" w:type="dxa"/>
            </w:tcMar>
            <w:vAlign w:val="center"/>
          </w:tcPr>
          <w:p w14:paraId="730A3381"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想定必要予算</w:t>
            </w:r>
          </w:p>
          <w:p w14:paraId="6966C97B"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（年額・概算）</w:t>
            </w:r>
          </w:p>
        </w:tc>
        <w:tc>
          <w:tcPr>
            <w:tcW w:w="0" w:type="auto"/>
            <w:tcBorders>
              <w:top w:val="single" w:sz="4" w:space="0" w:color="D9D9D9"/>
              <w:left w:val="single" w:sz="4" w:space="0" w:color="D9D9D9"/>
              <w:bottom w:val="single" w:sz="4" w:space="0" w:color="D9D9D9"/>
              <w:right w:val="single" w:sz="4" w:space="0" w:color="D9D9D9"/>
            </w:tcBorders>
            <w:shd w:val="clear" w:color="auto" w:fill="F0D8D8"/>
            <w:tcMar>
              <w:top w:w="60" w:type="dxa"/>
              <w:left w:w="100" w:type="dxa"/>
              <w:bottom w:w="60" w:type="dxa"/>
              <w:right w:w="80" w:type="dxa"/>
            </w:tcMar>
            <w:vAlign w:val="center"/>
          </w:tcPr>
          <w:p w14:paraId="274C69FF"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9B1C1C"/>
                <w:sz w:val="24"/>
                <w:szCs w:val="24"/>
              </w:rPr>
              <w:t>約 5.04兆円</w:t>
            </w:r>
          </w:p>
        </w:tc>
        <w:tc>
          <w:tcPr>
            <w:tcW w:w="0" w:type="auto"/>
            <w:tcBorders>
              <w:top w:val="single" w:sz="4" w:space="0" w:color="D9D9D9"/>
              <w:left w:val="single" w:sz="4" w:space="0" w:color="D9D9D9"/>
              <w:bottom w:val="single" w:sz="4" w:space="0" w:color="D9D9D9"/>
              <w:right w:val="single" w:sz="4" w:space="0" w:color="D9D9D9"/>
            </w:tcBorders>
            <w:shd w:val="clear" w:color="auto" w:fill="F0D8D8"/>
            <w:tcMar>
              <w:top w:w="60" w:type="dxa"/>
              <w:left w:w="100" w:type="dxa"/>
              <w:bottom w:w="60" w:type="dxa"/>
              <w:right w:w="80" w:type="dxa"/>
            </w:tcMar>
            <w:vAlign w:val="center"/>
          </w:tcPr>
          <w:p w14:paraId="398B2E35"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9B1C1C"/>
                <w:sz w:val="24"/>
                <w:szCs w:val="24"/>
              </w:rPr>
              <w:t>約 5.18兆円</w:t>
            </w:r>
          </w:p>
        </w:tc>
        <w:tc>
          <w:tcPr>
            <w:tcW w:w="0" w:type="auto"/>
            <w:tcBorders>
              <w:top w:val="single" w:sz="4" w:space="0" w:color="D9D9D9"/>
              <w:left w:val="single" w:sz="4" w:space="0" w:color="D9D9D9"/>
              <w:bottom w:val="single" w:sz="4" w:space="0" w:color="D9D9D9"/>
              <w:right w:val="single" w:sz="4" w:space="0" w:color="D9D9D9"/>
            </w:tcBorders>
            <w:shd w:val="clear" w:color="auto" w:fill="F0D8D8"/>
            <w:tcMar>
              <w:top w:w="60" w:type="dxa"/>
              <w:left w:w="100" w:type="dxa"/>
              <w:bottom w:w="60" w:type="dxa"/>
              <w:right w:w="80" w:type="dxa"/>
            </w:tcMar>
            <w:vAlign w:val="center"/>
          </w:tcPr>
          <w:p w14:paraId="2B78878A"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9B1C1C"/>
                <w:sz w:val="24"/>
                <w:szCs w:val="24"/>
              </w:rPr>
              <w:t>約 6.10兆円</w:t>
            </w:r>
          </w:p>
        </w:tc>
        <w:tc>
          <w:tcPr>
            <w:tcW w:w="0" w:type="auto"/>
            <w:tcBorders>
              <w:top w:val="single" w:sz="4" w:space="0" w:color="D9D9D9"/>
              <w:left w:val="single" w:sz="4" w:space="0" w:color="D9D9D9"/>
              <w:bottom w:val="single" w:sz="4" w:space="0" w:color="D9D9D9"/>
              <w:right w:val="single" w:sz="4" w:space="0" w:color="D9D9D9"/>
            </w:tcBorders>
            <w:shd w:val="clear" w:color="auto" w:fill="F5EDEB"/>
            <w:tcMar>
              <w:top w:w="60" w:type="dxa"/>
              <w:left w:w="100" w:type="dxa"/>
              <w:bottom w:w="60" w:type="dxa"/>
              <w:right w:w="80" w:type="dxa"/>
            </w:tcMar>
            <w:vAlign w:val="center"/>
          </w:tcPr>
          <w:p w14:paraId="49F47C45"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各費目①〜⑬の合計。第1期の大規模拠点整備費と独自ICT開発が全体を押し上げる。</w:t>
            </w:r>
          </w:p>
        </w:tc>
      </w:tr>
      <w:tr w:rsidR="00C06984" w:rsidRPr="00DF6999" w14:paraId="3D1B25A6"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76CD7281"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【コスト 支出項目】</w:t>
            </w:r>
          </w:p>
        </w:tc>
        <w:tc>
          <w:tcPr>
            <w:tcW w:w="0" w:type="auto"/>
            <w:tcBorders>
              <w:top w:val="single" w:sz="4" w:space="0" w:color="D9D9D9"/>
              <w:left w:val="single" w:sz="4" w:space="0" w:color="D9D9D9"/>
              <w:bottom w:val="single" w:sz="4" w:space="0" w:color="D9D9D9"/>
              <w:right w:val="single" w:sz="4" w:space="0" w:color="D9D9D9"/>
            </w:tcBorders>
            <w:shd w:val="clear" w:color="auto" w:fill="1A1410"/>
            <w:tcMar>
              <w:top w:w="60" w:type="dxa"/>
              <w:left w:w="100" w:type="dxa"/>
              <w:bottom w:w="60" w:type="dxa"/>
              <w:right w:w="80" w:type="dxa"/>
            </w:tcMar>
            <w:vAlign w:val="center"/>
          </w:tcPr>
          <w:p w14:paraId="42AEB506"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費目</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43639241"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第1期</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5DEE90BE"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第2期</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2433ADA7"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第3期</w:t>
            </w:r>
          </w:p>
        </w:tc>
        <w:tc>
          <w:tcPr>
            <w:tcW w:w="0" w:type="auto"/>
            <w:tcBorders>
              <w:top w:val="single" w:sz="4" w:space="0" w:color="D9D9D9"/>
              <w:left w:val="single" w:sz="4" w:space="0" w:color="D9D9D9"/>
              <w:bottom w:val="single" w:sz="4" w:space="0" w:color="D9D9D9"/>
              <w:right w:val="single" w:sz="4" w:space="0" w:color="D9D9D9"/>
            </w:tcBorders>
            <w:shd w:val="clear" w:color="auto" w:fill="F5EDEB"/>
            <w:tcMar>
              <w:top w:w="60" w:type="dxa"/>
              <w:left w:w="100" w:type="dxa"/>
              <w:bottom w:w="60" w:type="dxa"/>
              <w:right w:w="80" w:type="dxa"/>
            </w:tcMar>
            <w:vAlign w:val="center"/>
          </w:tcPr>
          <w:p w14:paraId="6D99B755"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費目別の年額試算（以下①〜⑬）</w:t>
            </w:r>
          </w:p>
        </w:tc>
      </w:tr>
      <w:tr w:rsidR="00C06984" w:rsidRPr="00DF6999" w14:paraId="3F929C4A"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55802F30"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①</w:t>
            </w:r>
          </w:p>
        </w:tc>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319F3521"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障害年金増額・新設分</w:t>
            </w:r>
          </w:p>
          <w:p w14:paraId="43C61405"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（3級創設・1/2級引上げ）</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20FAE646"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2.0兆円</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5460D8D4"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2.2兆円</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226B2F35"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2.5兆円</w:t>
            </w:r>
          </w:p>
        </w:tc>
        <w:tc>
          <w:tcPr>
            <w:tcW w:w="0" w:type="auto"/>
            <w:tcBorders>
              <w:top w:val="single" w:sz="4" w:space="0" w:color="D9D9D9"/>
              <w:left w:val="single" w:sz="4" w:space="0" w:color="D9D9D9"/>
              <w:bottom w:val="single" w:sz="4" w:space="0" w:color="D9D9D9"/>
              <w:right w:val="single" w:sz="4" w:space="0" w:color="D9D9D9"/>
            </w:tcBorders>
            <w:shd w:val="clear" w:color="auto" w:fill="F5EDEB"/>
            <w:tcMar>
              <w:top w:w="60" w:type="dxa"/>
              <w:left w:w="100" w:type="dxa"/>
              <w:bottom w:w="60" w:type="dxa"/>
              <w:right w:w="80" w:type="dxa"/>
            </w:tcMar>
            <w:vAlign w:val="center"/>
          </w:tcPr>
          <w:p w14:paraId="04FED734"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等級別精緻化】1級35万人×月+6.7万円＋2級残留142万人×月+5.4万円＋2→3級再編47万人×月+2.4万円＋新規3級流入（第1期平均8万人・第2期30万人・第3期60万人）×月+9万円。現行受給者224万人をベースに2級の25%を3級に再編。未申請者からの新規流入も多い停滞的前提。第3期に2.5兆円まで拡大するリスクあり。</w:t>
            </w:r>
          </w:p>
        </w:tc>
      </w:tr>
      <w:tr w:rsidR="00C06984" w:rsidRPr="00DF6999" w14:paraId="0B122B11"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768297C6"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②</w:t>
            </w:r>
          </w:p>
        </w:tc>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0B057F6B"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準公務・準企業職員</w:t>
            </w:r>
          </w:p>
          <w:p w14:paraId="6CF5E257"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給与支払い</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2FF925D5"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0.2兆円 （登録5万人）</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042D2A88"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1.2兆円 （登録30万人）</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53C56831"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2.0兆円 （登録50万人）</w:t>
            </w:r>
          </w:p>
        </w:tc>
        <w:tc>
          <w:tcPr>
            <w:tcW w:w="0" w:type="auto"/>
            <w:tcBorders>
              <w:top w:val="single" w:sz="4" w:space="0" w:color="D9D9D9"/>
              <w:left w:val="single" w:sz="4" w:space="0" w:color="D9D9D9"/>
              <w:bottom w:val="single" w:sz="4" w:space="0" w:color="D9D9D9"/>
              <w:right w:val="single" w:sz="4" w:space="0" w:color="D9D9D9"/>
            </w:tcBorders>
            <w:shd w:val="clear" w:color="auto" w:fill="F5EDEB"/>
            <w:tcMar>
              <w:top w:w="60" w:type="dxa"/>
              <w:left w:w="100" w:type="dxa"/>
              <w:bottom w:w="60" w:type="dxa"/>
              <w:right w:w="80" w:type="dxa"/>
            </w:tcMar>
            <w:vAlign w:val="center"/>
          </w:tcPr>
          <w:p w14:paraId="573AEFE6"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人数は順調同。ただし離職率が高く補充コストが追加発生。実稼働率が順調比▲20%低下を見込む。</w:t>
            </w:r>
          </w:p>
        </w:tc>
      </w:tr>
      <w:tr w:rsidR="00C06984" w:rsidRPr="00DF6999" w14:paraId="7BDB0DB5"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530ADCDA"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③</w:t>
            </w:r>
          </w:p>
        </w:tc>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62C78171"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 現場管理職員（スペシャリスト）</w:t>
            </w:r>
          </w:p>
          <w:p w14:paraId="1ABDBB9F"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継続人件費</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7BD387FE"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0.14兆円 （10,705名×平均560万円）</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7D15152E"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0.16兆円 （22,000名×平均680万円）</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2CDA73EF"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0.18兆円 （26,400名×平均680万円）</w:t>
            </w:r>
          </w:p>
        </w:tc>
        <w:tc>
          <w:tcPr>
            <w:tcW w:w="0" w:type="auto"/>
            <w:tcBorders>
              <w:top w:val="single" w:sz="4" w:space="0" w:color="D9D9D9"/>
              <w:left w:val="single" w:sz="4" w:space="0" w:color="D9D9D9"/>
              <w:bottom w:val="single" w:sz="4" w:space="0" w:color="D9D9D9"/>
              <w:right w:val="single" w:sz="4" w:space="0" w:color="D9D9D9"/>
            </w:tcBorders>
            <w:shd w:val="clear" w:color="auto" w:fill="F5EDEB"/>
            <w:tcMar>
              <w:top w:w="60" w:type="dxa"/>
              <w:left w:w="100" w:type="dxa"/>
              <w:bottom w:w="60" w:type="dxa"/>
              <w:right w:w="80" w:type="dxa"/>
            </w:tcMar>
            <w:vAlign w:val="center"/>
          </w:tcPr>
          <w:p w14:paraId="539E52CB"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停滞シナリオでは人材採用難・公務員給与水準の上昇・離職補填コストが重なり人件費が高騰。G1：600万・G2（主任）：700万・G3（所長）：800万円水準。</w:t>
            </w:r>
          </w:p>
        </w:tc>
      </w:tr>
      <w:tr w:rsidR="00C06984" w:rsidRPr="00DF6999" w14:paraId="48B12B10"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1DA9E266"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④</w:t>
            </w:r>
          </w:p>
        </w:tc>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195F3075"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 現場管理職員</w:t>
            </w:r>
          </w:p>
          <w:p w14:paraId="73D2C454"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選定・転換研修費</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77C2C3D2"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0.005兆円 （102億円を3年分割＋更新）</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05DF527E"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0.002兆円 （追加採用・離職補填研修）</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636C6158"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0.001兆円 （年次更新5.3億円＋補填）</w:t>
            </w:r>
          </w:p>
        </w:tc>
        <w:tc>
          <w:tcPr>
            <w:tcW w:w="0" w:type="auto"/>
            <w:tcBorders>
              <w:top w:val="single" w:sz="4" w:space="0" w:color="D9D9D9"/>
              <w:left w:val="single" w:sz="4" w:space="0" w:color="D9D9D9"/>
              <w:bottom w:val="single" w:sz="4" w:space="0" w:color="D9D9D9"/>
              <w:right w:val="single" w:sz="4" w:space="0" w:color="D9D9D9"/>
            </w:tcBorders>
            <w:shd w:val="clear" w:color="auto" w:fill="F5EDEB"/>
            <w:tcMar>
              <w:top w:w="60" w:type="dxa"/>
              <w:left w:w="100" w:type="dxa"/>
              <w:bottom w:w="60" w:type="dxa"/>
              <w:right w:w="80" w:type="dxa"/>
            </w:tcMar>
            <w:vAlign w:val="center"/>
          </w:tcPr>
          <w:p w14:paraId="4FDF684D"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停滞は離職補填のための再研修が継続発生。選考19億＋転換研修43億＋OJT38億＋認定2億＝計102億円（3年分割）。</w:t>
            </w:r>
          </w:p>
        </w:tc>
      </w:tr>
      <w:tr w:rsidR="00C06984" w:rsidRPr="00DF6999" w14:paraId="1A1DD869"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4FCDDD87"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⑤</w:t>
            </w:r>
          </w:p>
        </w:tc>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27B86048"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 拠点整備費</w:t>
            </w:r>
          </w:p>
          <w:p w14:paraId="675274A2"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（老朽化・耐震・大規模改修）</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615159D2"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1.6兆円 （1,072拠点×平均8億円）</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08EFA782"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0.4兆円 （構造的追加改修継続）</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6CF9CE03"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0.2兆円 （老朽化対応・大規模修繕）</w:t>
            </w:r>
          </w:p>
        </w:tc>
        <w:tc>
          <w:tcPr>
            <w:tcW w:w="0" w:type="auto"/>
            <w:tcBorders>
              <w:top w:val="single" w:sz="4" w:space="0" w:color="D9D9D9"/>
              <w:left w:val="single" w:sz="4" w:space="0" w:color="D9D9D9"/>
              <w:bottom w:val="single" w:sz="4" w:space="0" w:color="D9D9D9"/>
              <w:right w:val="single" w:sz="4" w:space="0" w:color="D9D9D9"/>
            </w:tcBorders>
            <w:shd w:val="clear" w:color="auto" w:fill="F5EDEB"/>
            <w:tcMar>
              <w:top w:w="60" w:type="dxa"/>
              <w:left w:w="100" w:type="dxa"/>
              <w:bottom w:w="60" w:type="dxa"/>
              <w:right w:w="80" w:type="dxa"/>
            </w:tcMar>
            <w:vAlign w:val="center"/>
          </w:tcPr>
          <w:p w14:paraId="4661343D"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老朽化・耐震不適合施設が多く1拠点8億円に膨張。アスベスト除去・スプリンクラー・大規模構造改修が多数発生。順調比の約2.9倍。</w:t>
            </w:r>
          </w:p>
        </w:tc>
      </w:tr>
      <w:tr w:rsidR="00C06984" w:rsidRPr="00DF6999" w14:paraId="2F4B4140"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0603FC3B"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⑥</w:t>
            </w:r>
          </w:p>
        </w:tc>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61F00CDE"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 施設活用見込み・整備規模</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512A8BA5"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1,072拠点 （老朽化施設多数）</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683C2177"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維持〜＋100拠点 （閉鎖リスクで代替確保）</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65DCBAFA"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維持〜1,200拠点 （新設もやむなし）</w:t>
            </w:r>
          </w:p>
        </w:tc>
        <w:tc>
          <w:tcPr>
            <w:tcW w:w="0" w:type="auto"/>
            <w:tcBorders>
              <w:top w:val="single" w:sz="4" w:space="0" w:color="D9D9D9"/>
              <w:left w:val="single" w:sz="4" w:space="0" w:color="D9D9D9"/>
              <w:bottom w:val="single" w:sz="4" w:space="0" w:color="D9D9D9"/>
              <w:right w:val="single" w:sz="4" w:space="0" w:color="D9D9D9"/>
            </w:tcBorders>
            <w:shd w:val="clear" w:color="auto" w:fill="F5EDEB"/>
            <w:tcMar>
              <w:top w:w="60" w:type="dxa"/>
              <w:left w:w="100" w:type="dxa"/>
              <w:bottom w:w="60" w:type="dxa"/>
              <w:right w:w="80" w:type="dxa"/>
            </w:tcMar>
            <w:vAlign w:val="center"/>
          </w:tcPr>
          <w:p w14:paraId="5FFE0679"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老朽化・耐震不適合施設の割合が高く、一部新築対応が必要。改修見送りによる閉鎖リスクもあり代替施設確保コストが発生。</w:t>
            </w:r>
          </w:p>
        </w:tc>
      </w:tr>
      <w:tr w:rsidR="00C06984" w:rsidRPr="00DF6999" w14:paraId="3485617F"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7513004D"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⑦</w:t>
            </w:r>
          </w:p>
        </w:tc>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74FF71D2"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公用車初期導入費</w:t>
            </w:r>
          </w:p>
          <w:p w14:paraId="06BE7C34"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（大量購入・リース進まず）</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54AF948E"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0.4兆円 （8,576台×400万円購入）</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6EE2F83B"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0.1兆円 （追加購入・更新）</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1459D7D0"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0.1兆円 （更新・補充）</w:t>
            </w:r>
          </w:p>
        </w:tc>
        <w:tc>
          <w:tcPr>
            <w:tcW w:w="0" w:type="auto"/>
            <w:tcBorders>
              <w:top w:val="single" w:sz="4" w:space="0" w:color="D9D9D9"/>
              <w:left w:val="single" w:sz="4" w:space="0" w:color="D9D9D9"/>
              <w:bottom w:val="single" w:sz="4" w:space="0" w:color="D9D9D9"/>
              <w:right w:val="single" w:sz="4" w:space="0" w:color="D9D9D9"/>
            </w:tcBorders>
            <w:shd w:val="clear" w:color="auto" w:fill="F5EDEB"/>
            <w:tcMar>
              <w:top w:w="60" w:type="dxa"/>
              <w:left w:w="100" w:type="dxa"/>
              <w:bottom w:w="60" w:type="dxa"/>
              <w:right w:w="80" w:type="dxa"/>
            </w:tcMar>
            <w:vAlign w:val="center"/>
          </w:tcPr>
          <w:p w14:paraId="55B8FB16"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リース事業者の受け皿整わず購入対応。福祉車両の需給逼迫で単価上昇。維持費も順調比＋50%増。</w:t>
            </w:r>
          </w:p>
        </w:tc>
      </w:tr>
      <w:tr w:rsidR="00C06984" w:rsidRPr="00DF6999" w14:paraId="64A61006"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7BFA0B31"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⑧</w:t>
            </w:r>
          </w:p>
        </w:tc>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428C50A2"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公務ユニット運営費</w:t>
            </w:r>
          </w:p>
          <w:p w14:paraId="1BFE3E2E"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（車両維持・端末通信・拠点光熱費等）</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03A430B3"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0.15兆円</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4CECE92A"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0.35兆円</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37B9DB8E"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0.45兆円</w:t>
            </w:r>
          </w:p>
        </w:tc>
        <w:tc>
          <w:tcPr>
            <w:tcW w:w="0" w:type="auto"/>
            <w:tcBorders>
              <w:top w:val="single" w:sz="4" w:space="0" w:color="D9D9D9"/>
              <w:left w:val="single" w:sz="4" w:space="0" w:color="D9D9D9"/>
              <w:bottom w:val="single" w:sz="4" w:space="0" w:color="D9D9D9"/>
              <w:right w:val="single" w:sz="4" w:space="0" w:color="D9D9D9"/>
            </w:tcBorders>
            <w:shd w:val="clear" w:color="auto" w:fill="F5EDEB"/>
            <w:tcMar>
              <w:top w:w="60" w:type="dxa"/>
              <w:left w:w="100" w:type="dxa"/>
              <w:bottom w:w="60" w:type="dxa"/>
              <w:right w:w="80" w:type="dxa"/>
            </w:tcMar>
            <w:vAlign w:val="center"/>
          </w:tcPr>
          <w:p w14:paraId="7028B49E"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燃料高・端末調達コスト増・施設維持費高止まり。順調比＋50〜100%増。</w:t>
            </w:r>
          </w:p>
        </w:tc>
      </w:tr>
      <w:tr w:rsidR="00C06984" w:rsidRPr="00DF6999" w14:paraId="3460465E"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51C1B57B"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⑨</w:t>
            </w:r>
          </w:p>
        </w:tc>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0F5C20D4"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準公務・準企業職員</w:t>
            </w:r>
          </w:p>
          <w:p w14:paraId="5C642321"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研修費</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08A49916"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0.05兆円 （初期研修）</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2D918A47"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0.3兆円 （大規模・長期研修）</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4372A2DB"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0.2兆円 （継続研修・再教育）</w:t>
            </w:r>
          </w:p>
        </w:tc>
        <w:tc>
          <w:tcPr>
            <w:tcW w:w="0" w:type="auto"/>
            <w:tcBorders>
              <w:top w:val="single" w:sz="4" w:space="0" w:color="D9D9D9"/>
              <w:left w:val="single" w:sz="4" w:space="0" w:color="D9D9D9"/>
              <w:bottom w:val="single" w:sz="4" w:space="0" w:color="D9D9D9"/>
              <w:right w:val="single" w:sz="4" w:space="0" w:color="D9D9D9"/>
            </w:tcBorders>
            <w:shd w:val="clear" w:color="auto" w:fill="F5EDEB"/>
            <w:tcMar>
              <w:top w:w="60" w:type="dxa"/>
              <w:left w:w="100" w:type="dxa"/>
              <w:bottom w:w="60" w:type="dxa"/>
              <w:right w:w="80" w:type="dxa"/>
            </w:tcMar>
            <w:vAlign w:val="center"/>
          </w:tcPr>
          <w:p w14:paraId="1FDE75F7"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ミスマッチ多発で再研修・追加プログラムが必要。eラーニング定着に時間がかかり対面研修の割合が高い。</w:t>
            </w:r>
          </w:p>
        </w:tc>
      </w:tr>
      <w:tr w:rsidR="00C06984" w:rsidRPr="00DF6999" w14:paraId="10CA035D"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6C78627B"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⑩</w:t>
            </w:r>
          </w:p>
        </w:tc>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6166FCD2"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ICT基盤整備費</w:t>
            </w:r>
          </w:p>
          <w:p w14:paraId="46FDF31C"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（フルスクラッチ開発）</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17644574"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0.4兆円 （独自システム構築）</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7CC9232B"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0.3兆円 （高額な運用・保守）</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4B571305"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0.3兆円 （更新・改修）</w:t>
            </w:r>
          </w:p>
        </w:tc>
        <w:tc>
          <w:tcPr>
            <w:tcW w:w="0" w:type="auto"/>
            <w:tcBorders>
              <w:top w:val="single" w:sz="4" w:space="0" w:color="D9D9D9"/>
              <w:left w:val="single" w:sz="4" w:space="0" w:color="D9D9D9"/>
              <w:bottom w:val="single" w:sz="4" w:space="0" w:color="D9D9D9"/>
              <w:right w:val="single" w:sz="4" w:space="0" w:color="D9D9D9"/>
            </w:tcBorders>
            <w:shd w:val="clear" w:color="auto" w:fill="F5EDEB"/>
            <w:tcMar>
              <w:top w:w="60" w:type="dxa"/>
              <w:left w:w="100" w:type="dxa"/>
              <w:bottom w:w="60" w:type="dxa"/>
              <w:right w:w="80" w:type="dxa"/>
            </w:tcMar>
            <w:vAlign w:val="center"/>
          </w:tcPr>
          <w:p w14:paraId="66817DF5"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民間クラウド活用が進まず独自開発が必要に。保守費用も高額で固定化。順調比で約4〜5倍のコスト。</w:t>
            </w:r>
          </w:p>
        </w:tc>
      </w:tr>
      <w:tr w:rsidR="00C06984" w:rsidRPr="00DF6999" w14:paraId="08ADFCF7"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30EFB4B8"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⑪</w:t>
            </w:r>
          </w:p>
        </w:tc>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76F4B794"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司令部（推進局）</w:t>
            </w:r>
          </w:p>
          <w:p w14:paraId="2533A692"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設置・運営費</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498A07FB"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0.05兆円 （庁舎改修・設備投資）</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4F60F2F6"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0.1兆円 （本格稼働・人員増）</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5555ABD8"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0.1兆円 （高コスト体制の維持）</w:t>
            </w:r>
          </w:p>
        </w:tc>
        <w:tc>
          <w:tcPr>
            <w:tcW w:w="0" w:type="auto"/>
            <w:tcBorders>
              <w:top w:val="single" w:sz="4" w:space="0" w:color="D9D9D9"/>
              <w:left w:val="single" w:sz="4" w:space="0" w:color="D9D9D9"/>
              <w:bottom w:val="single" w:sz="4" w:space="0" w:color="D9D9D9"/>
              <w:right w:val="single" w:sz="4" w:space="0" w:color="D9D9D9"/>
            </w:tcBorders>
            <w:shd w:val="clear" w:color="auto" w:fill="F5EDEB"/>
            <w:tcMar>
              <w:top w:w="60" w:type="dxa"/>
              <w:left w:w="100" w:type="dxa"/>
              <w:bottom w:w="60" w:type="dxa"/>
              <w:right w:w="80" w:type="dxa"/>
            </w:tcMar>
            <w:vAlign w:val="center"/>
          </w:tcPr>
          <w:p w14:paraId="52AE6D90"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47都道府県ブロック×15名（停滞）。組織肥大化・外部コンサル依存で間接費が高止まり。</w:t>
            </w:r>
          </w:p>
        </w:tc>
      </w:tr>
      <w:tr w:rsidR="00C06984" w:rsidRPr="00DF6999" w14:paraId="0107731E"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15CE466E"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⑫</w:t>
            </w:r>
          </w:p>
        </w:tc>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2570B45E"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不正受給防止・</w:t>
            </w:r>
          </w:p>
          <w:p w14:paraId="6FC43BC8"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モニタリングシステム費</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56366C5A"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0.02兆円</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00E7ACEA"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0.03兆円</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52E135EB"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0.03兆円</w:t>
            </w:r>
          </w:p>
        </w:tc>
        <w:tc>
          <w:tcPr>
            <w:tcW w:w="0" w:type="auto"/>
            <w:tcBorders>
              <w:top w:val="single" w:sz="4" w:space="0" w:color="D9D9D9"/>
              <w:left w:val="single" w:sz="4" w:space="0" w:color="D9D9D9"/>
              <w:bottom w:val="single" w:sz="4" w:space="0" w:color="D9D9D9"/>
              <w:right w:val="single" w:sz="4" w:space="0" w:color="D9D9D9"/>
            </w:tcBorders>
            <w:shd w:val="clear" w:color="auto" w:fill="F5EDEB"/>
            <w:tcMar>
              <w:top w:w="60" w:type="dxa"/>
              <w:left w:w="100" w:type="dxa"/>
              <w:bottom w:w="60" w:type="dxa"/>
              <w:right w:w="80" w:type="dxa"/>
            </w:tcMar>
            <w:vAlign w:val="center"/>
          </w:tcPr>
          <w:p w14:paraId="24DE58F5"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不正受給件数が想定を超え個別調査・法的対応コストが増大。医療機関監査の強化も必要。</w:t>
            </w:r>
          </w:p>
        </w:tc>
      </w:tr>
      <w:tr w:rsidR="00C06984" w:rsidRPr="00DF6999" w14:paraId="3F5D5957"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15D7FDA6"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⑬</w:t>
            </w:r>
          </w:p>
        </w:tc>
        <w:tc>
          <w:tcPr>
            <w:tcW w:w="0" w:type="auto"/>
            <w:tcBorders>
              <w:top w:val="single" w:sz="4" w:space="0" w:color="D9D9D9"/>
              <w:left w:val="single" w:sz="4" w:space="0" w:color="D9D9D9"/>
              <w:bottom w:val="single" w:sz="4" w:space="0" w:color="D9D9D9"/>
              <w:right w:val="single" w:sz="4" w:space="0" w:color="D9D9D9"/>
            </w:tcBorders>
            <w:shd w:val="clear" w:color="auto" w:fill="EDE0D0"/>
            <w:tcMar>
              <w:top w:w="60" w:type="dxa"/>
              <w:left w:w="100" w:type="dxa"/>
              <w:bottom w:w="60" w:type="dxa"/>
              <w:right w:w="80" w:type="dxa"/>
            </w:tcMar>
            <w:vAlign w:val="center"/>
          </w:tcPr>
          <w:p w14:paraId="1A2A822E"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包括的準職員保険</w:t>
            </w:r>
          </w:p>
          <w:p w14:paraId="6BD0D884"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・事故補償基金</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460F322E"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0.02兆円</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5004F86F"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0.04兆円</w:t>
            </w:r>
          </w:p>
        </w:tc>
        <w:tc>
          <w:tcPr>
            <w:tcW w:w="0" w:type="auto"/>
            <w:tcBorders>
              <w:top w:val="single" w:sz="4" w:space="0" w:color="D9D9D9"/>
              <w:left w:val="single" w:sz="4" w:space="0" w:color="D9D9D9"/>
              <w:bottom w:val="single" w:sz="4" w:space="0" w:color="D9D9D9"/>
              <w:right w:val="single" w:sz="4" w:space="0" w:color="D9D9D9"/>
            </w:tcBorders>
            <w:shd w:val="clear" w:color="auto" w:fill="F0EBE3"/>
            <w:tcMar>
              <w:top w:w="60" w:type="dxa"/>
              <w:left w:w="100" w:type="dxa"/>
              <w:bottom w:w="60" w:type="dxa"/>
              <w:right w:w="80" w:type="dxa"/>
            </w:tcMar>
            <w:vAlign w:val="center"/>
          </w:tcPr>
          <w:p w14:paraId="69BB9F7A"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約 0.04兆円</w:t>
            </w:r>
          </w:p>
        </w:tc>
        <w:tc>
          <w:tcPr>
            <w:tcW w:w="0" w:type="auto"/>
            <w:tcBorders>
              <w:top w:val="single" w:sz="4" w:space="0" w:color="D9D9D9"/>
              <w:left w:val="single" w:sz="4" w:space="0" w:color="D9D9D9"/>
              <w:bottom w:val="single" w:sz="4" w:space="0" w:color="D9D9D9"/>
              <w:right w:val="single" w:sz="4" w:space="0" w:color="D9D9D9"/>
            </w:tcBorders>
            <w:shd w:val="clear" w:color="auto" w:fill="F5EDEB"/>
            <w:tcMar>
              <w:top w:w="60" w:type="dxa"/>
              <w:left w:w="100" w:type="dxa"/>
              <w:bottom w:w="60" w:type="dxa"/>
              <w:right w:w="80" w:type="dxa"/>
            </w:tcMar>
            <w:vAlign w:val="center"/>
          </w:tcPr>
          <w:p w14:paraId="5DE1ED66"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事故件数が順調比で2倍程度に増加。保険料率も上昇し基金積立不足が懸念される。</w:t>
            </w:r>
          </w:p>
        </w:tc>
      </w:tr>
      <w:tr w:rsidR="00C06984" w:rsidRPr="00DF6999" w14:paraId="39E6C794"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7B393F09"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【財源 収入項目】</w:t>
            </w:r>
          </w:p>
        </w:tc>
        <w:tc>
          <w:tcPr>
            <w:tcW w:w="0" w:type="auto"/>
            <w:tcBorders>
              <w:top w:val="single" w:sz="4" w:space="0" w:color="D9D9D9"/>
              <w:left w:val="single" w:sz="4" w:space="0" w:color="D9D9D9"/>
              <w:bottom w:val="single" w:sz="4" w:space="0" w:color="D9D9D9"/>
              <w:right w:val="single" w:sz="4" w:space="0" w:color="D9D9D9"/>
            </w:tcBorders>
            <w:shd w:val="clear" w:color="auto" w:fill="5C3D1A"/>
            <w:tcMar>
              <w:top w:w="60" w:type="dxa"/>
              <w:left w:w="100" w:type="dxa"/>
              <w:bottom w:w="60" w:type="dxa"/>
              <w:right w:w="80" w:type="dxa"/>
            </w:tcMar>
            <w:vAlign w:val="center"/>
          </w:tcPr>
          <w:p w14:paraId="5E3433B4"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財源</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13B06EEA"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第1期</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729BB769"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第2期</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5AD81E05"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第3期</w:t>
            </w:r>
          </w:p>
        </w:tc>
        <w:tc>
          <w:tcPr>
            <w:tcW w:w="0" w:type="auto"/>
            <w:tcBorders>
              <w:top w:val="single" w:sz="4" w:space="0" w:color="D9D9D9"/>
              <w:left w:val="single" w:sz="4" w:space="0" w:color="D9D9D9"/>
              <w:bottom w:val="single" w:sz="4" w:space="0" w:color="D9D9D9"/>
              <w:right w:val="single" w:sz="4" w:space="0" w:color="D9D9D9"/>
            </w:tcBorders>
            <w:shd w:val="clear" w:color="auto" w:fill="F5EDEB"/>
            <w:tcMar>
              <w:top w:w="60" w:type="dxa"/>
              <w:left w:w="100" w:type="dxa"/>
              <w:bottom w:w="60" w:type="dxa"/>
              <w:right w:w="80" w:type="dxa"/>
            </w:tcMar>
            <w:vAlign w:val="center"/>
          </w:tcPr>
          <w:p w14:paraId="30048ECB"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財源A〜Fの内訳</w:t>
            </w:r>
          </w:p>
        </w:tc>
      </w:tr>
      <w:tr w:rsidR="00C06984" w:rsidRPr="00DF6999" w14:paraId="4064991C"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65835DB1"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A</w:t>
            </w:r>
          </w:p>
        </w:tc>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7BAE42D6"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現行障害年金予算</w:t>
            </w:r>
          </w:p>
          <w:p w14:paraId="67470F64"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（既存分・流用）</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2C264EB7"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2.4兆円</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54A67EB9"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2.4兆円</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12585A8C"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2.5兆円</w:t>
            </w:r>
          </w:p>
        </w:tc>
        <w:tc>
          <w:tcPr>
            <w:tcW w:w="0" w:type="auto"/>
            <w:tcBorders>
              <w:top w:val="single" w:sz="4" w:space="0" w:color="D9D9D9"/>
              <w:left w:val="single" w:sz="4" w:space="0" w:color="D9D9D9"/>
              <w:bottom w:val="single" w:sz="4" w:space="0" w:color="D9D9D9"/>
              <w:right w:val="single" w:sz="4" w:space="0" w:color="D9D9D9"/>
            </w:tcBorders>
            <w:shd w:val="clear" w:color="auto" w:fill="F5EDEB"/>
            <w:tcMar>
              <w:top w:w="60" w:type="dxa"/>
              <w:left w:w="100" w:type="dxa"/>
              <w:bottom w:w="60" w:type="dxa"/>
              <w:right w:w="80" w:type="dxa"/>
            </w:tcMar>
            <w:vAlign w:val="center"/>
          </w:tcPr>
          <w:p w14:paraId="62967071"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順調シナリオと同額。既存予算の確保は前提条件。出典：厚生労働省「令和5年度 厚生年金保険・国民年金事業の概況」（令和6年12月）。</w:t>
            </w:r>
          </w:p>
        </w:tc>
      </w:tr>
      <w:tr w:rsidR="00C06984" w:rsidRPr="00DF6999" w14:paraId="14DC935D"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6E529CE3"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B</w:t>
            </w:r>
          </w:p>
        </w:tc>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7259A8DF"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行政・補助金効率化</w:t>
            </w:r>
          </w:p>
          <w:p w14:paraId="74B06F51"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（就労支援施設スタッフ予算スライド含む）</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2FAB5D74"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0.1兆円</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5C2CFBB0"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0.8兆円</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44C072E4"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1.2兆円</w:t>
            </w:r>
          </w:p>
        </w:tc>
        <w:tc>
          <w:tcPr>
            <w:tcW w:w="0" w:type="auto"/>
            <w:tcBorders>
              <w:top w:val="single" w:sz="4" w:space="0" w:color="D9D9D9"/>
              <w:left w:val="single" w:sz="4" w:space="0" w:color="D9D9D9"/>
              <w:bottom w:val="single" w:sz="4" w:space="0" w:color="D9D9D9"/>
              <w:right w:val="single" w:sz="4" w:space="0" w:color="D9D9D9"/>
            </w:tcBorders>
            <w:shd w:val="clear" w:color="auto" w:fill="F5EDEB"/>
            <w:tcMar>
              <w:top w:w="60" w:type="dxa"/>
              <w:left w:w="100" w:type="dxa"/>
              <w:bottom w:w="60" w:type="dxa"/>
              <w:right w:w="80" w:type="dxa"/>
            </w:tcMar>
            <w:vAlign w:val="center"/>
          </w:tcPr>
          <w:p w14:paraId="26047A82"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順調シナリオと同額。ただし移管に時間がかかり想定より遅延するリスクあり。</w:t>
            </w:r>
          </w:p>
        </w:tc>
      </w:tr>
      <w:tr w:rsidR="00C06984" w:rsidRPr="00DF6999" w14:paraId="670B9F19"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6D0E0ADC"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C</w:t>
            </w:r>
          </w:p>
        </w:tc>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4EC37CFA"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雇用代替拠出金</w:t>
            </w:r>
          </w:p>
          <w:p w14:paraId="3C9E61C1"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（企業からの拠出）</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23190846"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0.0兆円 （制度準備段階）</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125F3322"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1.5兆円 （導入遅れ・低水準）</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693960B0"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2.5兆円 （移行遅れ・上限も控えめ）</w:t>
            </w:r>
          </w:p>
        </w:tc>
        <w:tc>
          <w:tcPr>
            <w:tcW w:w="0" w:type="auto"/>
            <w:tcBorders>
              <w:top w:val="single" w:sz="4" w:space="0" w:color="D9D9D9"/>
              <w:left w:val="single" w:sz="4" w:space="0" w:color="D9D9D9"/>
              <w:bottom w:val="single" w:sz="4" w:space="0" w:color="D9D9D9"/>
              <w:right w:val="single" w:sz="4" w:space="0" w:color="D9D9D9"/>
            </w:tcBorders>
            <w:shd w:val="clear" w:color="auto" w:fill="F5EDEB"/>
            <w:tcMar>
              <w:top w:w="60" w:type="dxa"/>
              <w:left w:w="100" w:type="dxa"/>
              <w:bottom w:w="60" w:type="dxa"/>
              <w:right w:w="80" w:type="dxa"/>
            </w:tcMar>
            <w:vAlign w:val="center"/>
          </w:tcPr>
          <w:p w14:paraId="593F28C3"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企業の制度移行が遅れ第2期の拠出金が順調比▲25%減。拠出単価の見直し交渉が長期化するリスクを加味。</w:t>
            </w:r>
          </w:p>
        </w:tc>
      </w:tr>
      <w:tr w:rsidR="00C06984" w:rsidRPr="00DF6999" w14:paraId="6B073BD0"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43E36F41"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D</w:t>
            </w:r>
          </w:p>
        </w:tc>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072FDD0B"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既存手当・扶助費整理</w:t>
            </w:r>
          </w:p>
          <w:p w14:paraId="523FACF6"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（生活保護費との重複解消等）</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6FDB3B85"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0.2兆円</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48875B92"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0.4兆円</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0BD0CC6E"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0.5兆円</w:t>
            </w:r>
          </w:p>
        </w:tc>
        <w:tc>
          <w:tcPr>
            <w:tcW w:w="0" w:type="auto"/>
            <w:tcBorders>
              <w:top w:val="single" w:sz="4" w:space="0" w:color="D9D9D9"/>
              <w:left w:val="single" w:sz="4" w:space="0" w:color="D9D9D9"/>
              <w:bottom w:val="single" w:sz="4" w:space="0" w:color="D9D9D9"/>
              <w:right w:val="single" w:sz="4" w:space="0" w:color="D9D9D9"/>
            </w:tcBorders>
            <w:shd w:val="clear" w:color="auto" w:fill="F5EDEB"/>
            <w:tcMar>
              <w:top w:w="60" w:type="dxa"/>
              <w:left w:w="100" w:type="dxa"/>
              <w:bottom w:w="60" w:type="dxa"/>
              <w:right w:w="80" w:type="dxa"/>
            </w:tcMar>
            <w:vAlign w:val="center"/>
          </w:tcPr>
          <w:p w14:paraId="643F4A03"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順調シナリオと同額。整理・統合の難易度は高いが制度設計で対応可能な範囲。</w:t>
            </w:r>
          </w:p>
        </w:tc>
      </w:tr>
      <w:tr w:rsidR="00C06984" w:rsidRPr="00DF6999" w14:paraId="51BBAC60"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0F8E9BE4"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E</w:t>
            </w:r>
          </w:p>
        </w:tc>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6CFF4115"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民間ノウハウ協力費</w:t>
            </w:r>
          </w:p>
          <w:p w14:paraId="1770B8DE"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（支出・マイナス項目）</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5A70E866"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▲0.01兆円 （＝▲100億円）</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38908365"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▲0.03兆円 （＝▲300億円）</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1B0D9A94"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（拠出金減免等で調整）</w:t>
            </w:r>
          </w:p>
        </w:tc>
        <w:tc>
          <w:tcPr>
            <w:tcW w:w="0" w:type="auto"/>
            <w:tcBorders>
              <w:top w:val="single" w:sz="4" w:space="0" w:color="D9D9D9"/>
              <w:left w:val="single" w:sz="4" w:space="0" w:color="D9D9D9"/>
              <w:bottom w:val="single" w:sz="4" w:space="0" w:color="D9D9D9"/>
              <w:right w:val="single" w:sz="4" w:space="0" w:color="D9D9D9"/>
            </w:tcBorders>
            <w:shd w:val="clear" w:color="auto" w:fill="F5EDEB"/>
            <w:tcMar>
              <w:top w:w="60" w:type="dxa"/>
              <w:left w:w="100" w:type="dxa"/>
              <w:bottom w:w="60" w:type="dxa"/>
              <w:right w:w="80" w:type="dxa"/>
            </w:tcMar>
            <w:vAlign w:val="center"/>
          </w:tcPr>
          <w:p w14:paraId="73EFCDEB"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停滞シナリオでは民間ノウハウが集まらず支出額は少ないが、独自構築コスト増で相殺される。</w:t>
            </w:r>
          </w:p>
        </w:tc>
      </w:tr>
      <w:tr w:rsidR="00C06984" w:rsidRPr="00DF6999" w14:paraId="58E9411E"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27D0D065"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F</w:t>
            </w:r>
          </w:p>
        </w:tc>
        <w:tc>
          <w:tcPr>
            <w:tcW w:w="0" w:type="auto"/>
            <w:tcBorders>
              <w:top w:val="single" w:sz="4" w:space="0" w:color="D9D9D9"/>
              <w:left w:val="single" w:sz="4" w:space="0" w:color="D9D9D9"/>
              <w:bottom w:val="single" w:sz="4" w:space="0" w:color="D9D9D9"/>
              <w:right w:val="single" w:sz="4" w:space="0" w:color="D9D9D9"/>
            </w:tcBorders>
            <w:shd w:val="clear" w:color="auto" w:fill="EDE8D8"/>
            <w:tcMar>
              <w:top w:w="60" w:type="dxa"/>
              <w:left w:w="100" w:type="dxa"/>
              <w:bottom w:w="60" w:type="dxa"/>
              <w:right w:w="80" w:type="dxa"/>
            </w:tcMar>
            <w:vAlign w:val="center"/>
          </w:tcPr>
          <w:p w14:paraId="10D76D4A"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政府支出による初期財政措置</w:t>
            </w:r>
          </w:p>
          <w:p w14:paraId="33886502"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（MMT的アプローチ／国債発行含む）</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1297CF40"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（不足分を補完）</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64F695B3"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（不足分を補完）</w:t>
            </w:r>
          </w:p>
        </w:tc>
        <w:tc>
          <w:tcPr>
            <w:tcW w:w="0" w:type="auto"/>
            <w:tcBorders>
              <w:top w:val="single" w:sz="4" w:space="0" w:color="D9D9D9"/>
              <w:left w:val="single" w:sz="4" w:space="0" w:color="D9D9D9"/>
              <w:bottom w:val="single" w:sz="4" w:space="0" w:color="D9D9D9"/>
              <w:right w:val="single" w:sz="4" w:space="0" w:color="D9D9D9"/>
            </w:tcBorders>
            <w:shd w:val="clear" w:color="auto" w:fill="F5F0E8"/>
            <w:tcMar>
              <w:top w:w="60" w:type="dxa"/>
              <w:left w:w="100" w:type="dxa"/>
              <w:bottom w:w="60" w:type="dxa"/>
              <w:right w:w="80" w:type="dxa"/>
            </w:tcMar>
            <w:vAlign w:val="center"/>
          </w:tcPr>
          <w:p w14:paraId="62D9F0DB"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（不足分を補完）</w:t>
            </w:r>
          </w:p>
        </w:tc>
        <w:tc>
          <w:tcPr>
            <w:tcW w:w="0" w:type="auto"/>
            <w:tcBorders>
              <w:top w:val="single" w:sz="4" w:space="0" w:color="D9D9D9"/>
              <w:left w:val="single" w:sz="4" w:space="0" w:color="D9D9D9"/>
              <w:bottom w:val="single" w:sz="4" w:space="0" w:color="D9D9D9"/>
              <w:right w:val="single" w:sz="4" w:space="0" w:color="D9D9D9"/>
            </w:tcBorders>
            <w:shd w:val="clear" w:color="auto" w:fill="F5EDEB"/>
            <w:tcMar>
              <w:top w:w="60" w:type="dxa"/>
              <w:left w:w="100" w:type="dxa"/>
              <w:bottom w:w="60" w:type="dxa"/>
              <w:right w:w="80" w:type="dxa"/>
            </w:tcMar>
            <w:vAlign w:val="center"/>
          </w:tcPr>
          <w:p w14:paraId="5DF9F2EC"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停滞シナリオでは補完額が大きく、インフレ・財政健全化への影響を慎重に監視する必要がある。</w:t>
            </w:r>
          </w:p>
        </w:tc>
      </w:tr>
      <w:tr w:rsidR="00C06984" w:rsidRPr="00DF6999" w14:paraId="5BB3AC17"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8B2635"/>
            <w:tcMar>
              <w:top w:w="60" w:type="dxa"/>
              <w:left w:w="100" w:type="dxa"/>
              <w:bottom w:w="60" w:type="dxa"/>
              <w:right w:w="80" w:type="dxa"/>
            </w:tcMar>
            <w:vAlign w:val="center"/>
          </w:tcPr>
          <w:p w14:paraId="0773FFA2"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w:t>
            </w:r>
          </w:p>
        </w:tc>
        <w:tc>
          <w:tcPr>
            <w:tcW w:w="0" w:type="auto"/>
            <w:tcBorders>
              <w:top w:val="single" w:sz="4" w:space="0" w:color="D9D9D9"/>
              <w:left w:val="single" w:sz="4" w:space="0" w:color="D9D9D9"/>
              <w:bottom w:val="single" w:sz="4" w:space="0" w:color="D9D9D9"/>
              <w:right w:val="single" w:sz="4" w:space="0" w:color="D9D9D9"/>
            </w:tcBorders>
            <w:shd w:val="clear" w:color="auto" w:fill="8B2635"/>
            <w:tcMar>
              <w:top w:w="60" w:type="dxa"/>
              <w:left w:w="100" w:type="dxa"/>
              <w:bottom w:w="60" w:type="dxa"/>
              <w:right w:w="80" w:type="dxa"/>
            </w:tcMar>
            <w:vAlign w:val="center"/>
          </w:tcPr>
          <w:p w14:paraId="08229444"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【財源合計（年額）】</w:t>
            </w:r>
          </w:p>
        </w:tc>
        <w:tc>
          <w:tcPr>
            <w:tcW w:w="0" w:type="auto"/>
            <w:tcBorders>
              <w:top w:val="single" w:sz="4" w:space="0" w:color="D9D9D9"/>
              <w:left w:val="single" w:sz="4" w:space="0" w:color="D9D9D9"/>
              <w:bottom w:val="single" w:sz="4" w:space="0" w:color="D9D9D9"/>
              <w:right w:val="single" w:sz="4" w:space="0" w:color="D9D9D9"/>
            </w:tcBorders>
            <w:shd w:val="clear" w:color="auto" w:fill="F0D8D8"/>
            <w:tcMar>
              <w:top w:w="60" w:type="dxa"/>
              <w:left w:w="100" w:type="dxa"/>
              <w:bottom w:w="60" w:type="dxa"/>
              <w:right w:w="80" w:type="dxa"/>
            </w:tcMar>
            <w:vAlign w:val="center"/>
          </w:tcPr>
          <w:p w14:paraId="319EA0D6"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9B1C1C"/>
                <w:sz w:val="24"/>
                <w:szCs w:val="24"/>
              </w:rPr>
              <w:t>約 2.69兆円 （＋大規模MMT必須）</w:t>
            </w:r>
          </w:p>
        </w:tc>
        <w:tc>
          <w:tcPr>
            <w:tcW w:w="0" w:type="auto"/>
            <w:tcBorders>
              <w:top w:val="single" w:sz="4" w:space="0" w:color="D9D9D9"/>
              <w:left w:val="single" w:sz="4" w:space="0" w:color="D9D9D9"/>
              <w:bottom w:val="single" w:sz="4" w:space="0" w:color="D9D9D9"/>
              <w:right w:val="single" w:sz="4" w:space="0" w:color="D9D9D9"/>
            </w:tcBorders>
            <w:shd w:val="clear" w:color="auto" w:fill="F0D8D8"/>
            <w:tcMar>
              <w:top w:w="60" w:type="dxa"/>
              <w:left w:w="100" w:type="dxa"/>
              <w:bottom w:w="60" w:type="dxa"/>
              <w:right w:w="80" w:type="dxa"/>
            </w:tcMar>
            <w:vAlign w:val="center"/>
          </w:tcPr>
          <w:p w14:paraId="2D8D0B0F"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9B1C1C"/>
                <w:sz w:val="24"/>
                <w:szCs w:val="24"/>
              </w:rPr>
              <w:t>約 5.07兆円 （＋MMT補完継続）</w:t>
            </w:r>
          </w:p>
        </w:tc>
        <w:tc>
          <w:tcPr>
            <w:tcW w:w="0" w:type="auto"/>
            <w:tcBorders>
              <w:top w:val="single" w:sz="4" w:space="0" w:color="D9D9D9"/>
              <w:left w:val="single" w:sz="4" w:space="0" w:color="D9D9D9"/>
              <w:bottom w:val="single" w:sz="4" w:space="0" w:color="D9D9D9"/>
              <w:right w:val="single" w:sz="4" w:space="0" w:color="D9D9D9"/>
            </w:tcBorders>
            <w:shd w:val="clear" w:color="auto" w:fill="F0D8D8"/>
            <w:tcMar>
              <w:top w:w="60" w:type="dxa"/>
              <w:left w:w="100" w:type="dxa"/>
              <w:bottom w:w="60" w:type="dxa"/>
              <w:right w:w="80" w:type="dxa"/>
            </w:tcMar>
            <w:vAlign w:val="center"/>
          </w:tcPr>
          <w:p w14:paraId="16EE05B5"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9B1C1C"/>
                <w:sz w:val="24"/>
                <w:szCs w:val="24"/>
              </w:rPr>
              <w:t>約 6.70兆円 （＋MMT補完継続）</w:t>
            </w:r>
          </w:p>
        </w:tc>
        <w:tc>
          <w:tcPr>
            <w:tcW w:w="0" w:type="auto"/>
            <w:tcBorders>
              <w:top w:val="single" w:sz="4" w:space="0" w:color="D9D9D9"/>
              <w:left w:val="single" w:sz="4" w:space="0" w:color="D9D9D9"/>
              <w:bottom w:val="single" w:sz="4" w:space="0" w:color="D9D9D9"/>
              <w:right w:val="single" w:sz="4" w:space="0" w:color="D9D9D9"/>
            </w:tcBorders>
            <w:shd w:val="clear" w:color="auto" w:fill="F5EDEB"/>
            <w:tcMar>
              <w:top w:w="60" w:type="dxa"/>
              <w:left w:w="100" w:type="dxa"/>
              <w:bottom w:w="60" w:type="dxa"/>
              <w:right w:w="80" w:type="dxa"/>
            </w:tcMar>
            <w:vAlign w:val="center"/>
          </w:tcPr>
          <w:p w14:paraId="445DC0A1"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財源合計（停滞）。順調比で第2〜3期に▲0.5兆円超の差が生じる。</w:t>
            </w:r>
          </w:p>
        </w:tc>
      </w:tr>
      <w:tr w:rsidR="00C06984" w:rsidRPr="00DF6999" w14:paraId="1D8E258A"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8B2635"/>
            <w:tcMar>
              <w:top w:w="60" w:type="dxa"/>
              <w:left w:w="100" w:type="dxa"/>
              <w:bottom w:w="60" w:type="dxa"/>
              <w:right w:w="80" w:type="dxa"/>
            </w:tcMar>
            <w:vAlign w:val="center"/>
          </w:tcPr>
          <w:p w14:paraId="16DDD2C3"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w:t>
            </w:r>
          </w:p>
        </w:tc>
        <w:tc>
          <w:tcPr>
            <w:tcW w:w="0" w:type="auto"/>
            <w:tcBorders>
              <w:top w:val="single" w:sz="4" w:space="0" w:color="D9D9D9"/>
              <w:left w:val="single" w:sz="4" w:space="0" w:color="D9D9D9"/>
              <w:bottom w:val="single" w:sz="4" w:space="0" w:color="D9D9D9"/>
              <w:right w:val="single" w:sz="4" w:space="0" w:color="D9D9D9"/>
            </w:tcBorders>
            <w:shd w:val="clear" w:color="auto" w:fill="8B2635"/>
            <w:tcMar>
              <w:top w:w="60" w:type="dxa"/>
              <w:left w:w="100" w:type="dxa"/>
              <w:bottom w:w="60" w:type="dxa"/>
              <w:right w:w="80" w:type="dxa"/>
            </w:tcMar>
            <w:vAlign w:val="center"/>
          </w:tcPr>
          <w:p w14:paraId="56EB459A"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収支差額</w:t>
            </w:r>
          </w:p>
          <w:p w14:paraId="1AD9F8B8"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（－：MMT補完必要額）</w:t>
            </w:r>
          </w:p>
        </w:tc>
        <w:tc>
          <w:tcPr>
            <w:tcW w:w="0" w:type="auto"/>
            <w:tcBorders>
              <w:top w:val="single" w:sz="4" w:space="0" w:color="D9D9D9"/>
              <w:left w:val="single" w:sz="4" w:space="0" w:color="D9D9D9"/>
              <w:bottom w:val="single" w:sz="4" w:space="0" w:color="D9D9D9"/>
              <w:right w:val="single" w:sz="4" w:space="0" w:color="D9D9D9"/>
            </w:tcBorders>
            <w:shd w:val="clear" w:color="auto" w:fill="F0D8D8"/>
            <w:tcMar>
              <w:top w:w="60" w:type="dxa"/>
              <w:left w:w="100" w:type="dxa"/>
              <w:bottom w:w="60" w:type="dxa"/>
              <w:right w:w="80" w:type="dxa"/>
            </w:tcMar>
            <w:vAlign w:val="center"/>
          </w:tcPr>
          <w:p w14:paraId="3727612B"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9B1C1C"/>
                <w:sz w:val="24"/>
                <w:szCs w:val="24"/>
              </w:rPr>
              <w:t>不足 約▲2.34兆円 → 第1期は大規模MMT補完必須</w:t>
            </w:r>
          </w:p>
        </w:tc>
        <w:tc>
          <w:tcPr>
            <w:tcW w:w="0" w:type="auto"/>
            <w:tcBorders>
              <w:top w:val="single" w:sz="4" w:space="0" w:color="D9D9D9"/>
              <w:left w:val="single" w:sz="4" w:space="0" w:color="D9D9D9"/>
              <w:bottom w:val="single" w:sz="4" w:space="0" w:color="D9D9D9"/>
              <w:right w:val="single" w:sz="4" w:space="0" w:color="D9D9D9"/>
            </w:tcBorders>
            <w:shd w:val="clear" w:color="auto" w:fill="F0D8D8"/>
            <w:tcMar>
              <w:top w:w="60" w:type="dxa"/>
              <w:left w:w="100" w:type="dxa"/>
              <w:bottom w:w="60" w:type="dxa"/>
              <w:right w:w="80" w:type="dxa"/>
            </w:tcMar>
            <w:vAlign w:val="center"/>
          </w:tcPr>
          <w:p w14:paraId="7CC77C8B"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9B1C1C"/>
                <w:sz w:val="24"/>
                <w:szCs w:val="24"/>
              </w:rPr>
              <w:t>不足 約▲0.11兆円 → ほぼ均衡・微不足</w:t>
            </w:r>
          </w:p>
        </w:tc>
        <w:tc>
          <w:tcPr>
            <w:tcW w:w="0" w:type="auto"/>
            <w:tcBorders>
              <w:top w:val="single" w:sz="4" w:space="0" w:color="D9D9D9"/>
              <w:left w:val="single" w:sz="4" w:space="0" w:color="D9D9D9"/>
              <w:bottom w:val="single" w:sz="4" w:space="0" w:color="D9D9D9"/>
              <w:right w:val="single" w:sz="4" w:space="0" w:color="D9D9D9"/>
            </w:tcBorders>
            <w:shd w:val="clear" w:color="auto" w:fill="F0D8D8"/>
            <w:tcMar>
              <w:top w:w="60" w:type="dxa"/>
              <w:left w:w="100" w:type="dxa"/>
              <w:bottom w:w="60" w:type="dxa"/>
              <w:right w:w="80" w:type="dxa"/>
            </w:tcMar>
            <w:vAlign w:val="center"/>
          </w:tcPr>
          <w:p w14:paraId="0C01DD1B" w14:textId="77777777" w:rsidR="00C06984" w:rsidRPr="00DF6999"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9B1C1C"/>
                <w:sz w:val="24"/>
                <w:szCs w:val="24"/>
              </w:rPr>
              <w:t>不足 約▲1.20兆円 → 10年内に黒字転換せず</w:t>
            </w:r>
          </w:p>
        </w:tc>
        <w:tc>
          <w:tcPr>
            <w:tcW w:w="0" w:type="auto"/>
            <w:tcBorders>
              <w:top w:val="single" w:sz="4" w:space="0" w:color="D9D9D9"/>
              <w:left w:val="single" w:sz="4" w:space="0" w:color="D9D9D9"/>
              <w:bottom w:val="single" w:sz="4" w:space="0" w:color="D9D9D9"/>
              <w:right w:val="single" w:sz="4" w:space="0" w:color="D9D9D9"/>
            </w:tcBorders>
            <w:shd w:val="clear" w:color="auto" w:fill="F5EDEB"/>
            <w:tcMar>
              <w:top w:w="60" w:type="dxa"/>
              <w:left w:w="100" w:type="dxa"/>
              <w:bottom w:w="60" w:type="dxa"/>
              <w:right w:w="80" w:type="dxa"/>
            </w:tcMar>
            <w:vAlign w:val="center"/>
          </w:tcPr>
          <w:p w14:paraId="3E8C0AFB" w14:textId="77777777" w:rsidR="00C06984" w:rsidRPr="00DF6999"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重要】停滞シナリオでは10年内に黒字転換しない。新規3級流入の増加が第3期コストを押し上げ（2.5兆円）、財政圧迫リスクが高まる。ただし現行制度の「不作為のコスト」（家族崩壊・企業力低下・生活保護増大）との比較では社会的に合理的な投資である。</w:t>
            </w:r>
          </w:p>
        </w:tc>
      </w:tr>
    </w:tbl>
    <w:p w14:paraId="7142D740" w14:textId="77777777" w:rsidR="00C06984" w:rsidRPr="00DF6999" w:rsidRDefault="00000000">
      <w:pPr>
        <w:spacing w:before="0" w:after="120" w:line="360" w:lineRule="auto"/>
        <w:rPr>
          <w:rFonts w:ascii="Meiryo UI" w:eastAsia="Meiryo UI" w:hAnsi="Meiryo UI" w:cs="Meiryo UI"/>
          <w:sz w:val="24"/>
          <w:szCs w:val="24"/>
        </w:rPr>
      </w:pPr>
      <w:r>
        <w:rPr>
          <w:rFonts w:ascii="Meiryo UI" w:eastAsia="Meiryo UI" w:hAnsi="Meiryo UI" w:cs="Meiryo UI"/>
          <w:b/>
          <w:bCs/>
          <w:sz w:val="24"/>
          <w:szCs w:val="24"/>
        </w:rPr>
        <w:t>【職員給与グレード設計（停滞）】</w:t>
      </w:r>
      <w:r>
        <w:rPr>
          <w:rFonts w:ascii="Meiryo UI" w:eastAsia="Meiryo UI" w:hAnsi="Meiryo UI" w:cs="Meiryo UI"/>
          <w:sz w:val="24"/>
          <w:szCs w:val="24"/>
        </w:rPr>
        <w:t>G1（600万）・G2（700万）・G3（800万）・G4（750万）水準。採用難のため処遇改善幅が大きく、平均年収680万円。</w:t>
      </w:r>
    </w:p>
    <w:p w14:paraId="2C48B454" w14:textId="77777777" w:rsidR="00C06984" w:rsidRPr="00DF6999" w:rsidRDefault="00000000">
      <w:pPr>
        <w:spacing w:before="0" w:after="120" w:line="360" w:lineRule="auto"/>
        <w:rPr>
          <w:rFonts w:ascii="Meiryo UI" w:eastAsia="Meiryo UI" w:hAnsi="Meiryo UI" w:cs="Meiryo UI"/>
          <w:sz w:val="24"/>
          <w:szCs w:val="24"/>
        </w:rPr>
      </w:pPr>
      <w:r>
        <w:rPr>
          <w:rFonts w:ascii="Meiryo UI" w:eastAsia="Meiryo UI" w:hAnsi="Meiryo UI" w:cs="Meiryo UI"/>
          <w:b/>
          <w:bCs/>
          <w:sz w:val="24"/>
          <w:szCs w:val="24"/>
        </w:rPr>
        <w:t>【現場管理職員 必要人数根拠（停滞）】</w:t>
      </w:r>
      <w:r>
        <w:rPr>
          <w:rFonts w:ascii="Meiryo UI" w:eastAsia="Meiryo UI" w:hAnsi="Meiryo UI" w:cs="Meiryo UI"/>
          <w:sz w:val="24"/>
          <w:szCs w:val="24"/>
        </w:rPr>
        <w:t>全国1,072拠点×同モデル＋拠点所長2名＋司令部：停滞26,400名（離職補填・人員増のため順調比＋51%）</w:t>
      </w:r>
    </w:p>
    <w:p w14:paraId="7C3ABA93" w14:textId="77777777" w:rsidR="00C06984" w:rsidRPr="00DF6999" w:rsidRDefault="00000000">
      <w:pPr>
        <w:spacing w:before="0" w:after="120" w:line="360" w:lineRule="auto"/>
        <w:rPr>
          <w:rFonts w:ascii="Meiryo UI" w:eastAsia="Meiryo UI" w:hAnsi="Meiryo UI" w:cs="Meiryo UI"/>
          <w:sz w:val="24"/>
          <w:szCs w:val="24"/>
        </w:rPr>
      </w:pPr>
      <w:r>
        <w:rPr>
          <w:rFonts w:ascii="Meiryo UI" w:eastAsia="Meiryo UI" w:hAnsi="Meiryo UI" w:cs="Meiryo UI"/>
          <w:b/>
          <w:bCs/>
          <w:color w:val="1A1410"/>
          <w:sz w:val="24"/>
          <w:szCs w:val="24"/>
        </w:rPr>
        <w:t>【まとめ・示唆】</w:t>
      </w:r>
    </w:p>
    <w:p w14:paraId="7414A537" w14:textId="77777777" w:rsidR="00C06984" w:rsidRPr="00DF6999" w:rsidRDefault="00000000">
      <w:pPr>
        <w:spacing w:before="0" w:after="120" w:line="360" w:lineRule="auto"/>
        <w:rPr>
          <w:rFonts w:ascii="Meiryo UI" w:eastAsia="Meiryo UI" w:hAnsi="Meiryo UI" w:cs="Meiryo UI"/>
          <w:sz w:val="24"/>
          <w:szCs w:val="24"/>
        </w:rPr>
      </w:pPr>
      <w:r>
        <w:rPr>
          <w:rFonts w:ascii="Meiryo UI" w:eastAsia="Meiryo UI" w:hAnsi="Meiryo UI" w:cs="Meiryo UI"/>
          <w:sz w:val="24"/>
          <w:szCs w:val="24"/>
        </w:rPr>
        <w:t>最大の変数は「拠点整備コスト」と「企業の制度参加速度（＝拠出金収入）」の2点である。順調シナリオでは民間リースや既存API連携により第1期コストを抑制し、第2期から安定黒字に転換する。停滞シナリオでは老朽化対応と独自ICT開発が第1期コストを約2.2倍に押し上げ、10年内の黒字転換が困難となる。いずれのシナリオにおいても、現行制度の「不作為のコスト」（家族崩壊・企業力低下・生活保護増大）と比較すれば社会的に合理的な投資である。問われているのは「コストをかけるか否か」ではなく、「そのコストを誰が・どんな形で負担するか」の設計思想の問題である。</w:t>
      </w:r>
    </w:p>
    <w:sectPr w:rsidR="00C06984" w:rsidRPr="00DF6999">
      <w:pgSz w:w="15842" w:h="2159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5252C"/>
    <w:multiLevelType w:val="hybridMultilevel"/>
    <w:tmpl w:val="85E88706"/>
    <w:lvl w:ilvl="0" w:tplc="6248E9D4">
      <w:start w:val="1"/>
      <w:numFmt w:val="bullet"/>
      <w:lvlText w:val="●"/>
      <w:lvlJc w:val="left"/>
      <w:pPr>
        <w:spacing w:before="60" w:after="60"/>
        <w:ind w:left="480" w:hanging="240"/>
      </w:pPr>
      <w:rPr>
        <w:rFonts w:ascii="Meiryo UI" w:eastAsia="Meiryo UI" w:hAnsi="Meiryo UI" w:cs="Meiryo UI"/>
      </w:rPr>
    </w:lvl>
    <w:lvl w:ilvl="1" w:tplc="24ECFD36">
      <w:start w:val="1"/>
      <w:numFmt w:val="bullet"/>
      <w:lvlText w:val="○"/>
      <w:lvlJc w:val="left"/>
      <w:pPr>
        <w:spacing w:before="60" w:after="60"/>
        <w:ind w:left="840" w:hanging="240"/>
      </w:pPr>
      <w:rPr>
        <w:rFonts w:ascii="Meiryo UI" w:eastAsia="Meiryo UI" w:hAnsi="Meiryo UI" w:cs="Meiryo UI"/>
      </w:rPr>
    </w:lvl>
    <w:lvl w:ilvl="2" w:tplc="C6647CCC">
      <w:start w:val="1"/>
      <w:numFmt w:val="bullet"/>
      <w:lvlText w:val="■"/>
      <w:lvlJc w:val="left"/>
      <w:pPr>
        <w:spacing w:before="60" w:after="60"/>
        <w:ind w:left="1200" w:hanging="240"/>
      </w:pPr>
      <w:rPr>
        <w:rFonts w:ascii="Meiryo UI" w:eastAsia="Meiryo UI" w:hAnsi="Meiryo UI" w:cs="Meiryo UI"/>
      </w:rPr>
    </w:lvl>
    <w:lvl w:ilvl="3" w:tplc="02C20C06">
      <w:start w:val="1"/>
      <w:numFmt w:val="bullet"/>
      <w:lvlText w:val="●"/>
      <w:lvlJc w:val="left"/>
      <w:pPr>
        <w:spacing w:before="60" w:after="60"/>
        <w:ind w:left="1560" w:hanging="240"/>
      </w:pPr>
      <w:rPr>
        <w:rFonts w:ascii="Meiryo UI" w:eastAsia="Meiryo UI" w:hAnsi="Meiryo UI" w:cs="Meiryo UI"/>
      </w:rPr>
    </w:lvl>
    <w:lvl w:ilvl="4" w:tplc="A21C777A">
      <w:start w:val="1"/>
      <w:numFmt w:val="bullet"/>
      <w:lvlText w:val="○"/>
      <w:lvlJc w:val="left"/>
      <w:pPr>
        <w:spacing w:before="60" w:after="60"/>
        <w:ind w:left="1920" w:hanging="240"/>
      </w:pPr>
      <w:rPr>
        <w:rFonts w:ascii="Meiryo UI" w:eastAsia="Meiryo UI" w:hAnsi="Meiryo UI" w:cs="Meiryo UI"/>
      </w:rPr>
    </w:lvl>
    <w:lvl w:ilvl="5" w:tplc="FB28E906">
      <w:start w:val="1"/>
      <w:numFmt w:val="bullet"/>
      <w:lvlText w:val="■"/>
      <w:lvlJc w:val="left"/>
      <w:pPr>
        <w:spacing w:before="60" w:after="60"/>
        <w:ind w:left="2280" w:hanging="240"/>
      </w:pPr>
      <w:rPr>
        <w:rFonts w:ascii="Meiryo UI" w:eastAsia="Meiryo UI" w:hAnsi="Meiryo UI" w:cs="Meiryo UI"/>
      </w:rPr>
    </w:lvl>
    <w:lvl w:ilvl="6" w:tplc="317A93EE">
      <w:start w:val="1"/>
      <w:numFmt w:val="bullet"/>
      <w:lvlText w:val="●"/>
      <w:lvlJc w:val="left"/>
      <w:pPr>
        <w:spacing w:before="60" w:after="60"/>
        <w:ind w:left="2640" w:hanging="240"/>
      </w:pPr>
      <w:rPr>
        <w:rFonts w:ascii="Meiryo UI" w:eastAsia="Meiryo UI" w:hAnsi="Meiryo UI" w:cs="Meiryo UI"/>
      </w:rPr>
    </w:lvl>
    <w:lvl w:ilvl="7" w:tplc="9174B764">
      <w:start w:val="1"/>
      <w:numFmt w:val="bullet"/>
      <w:lvlText w:val="●"/>
      <w:lvlJc w:val="left"/>
      <w:pPr>
        <w:spacing w:before="60" w:after="60"/>
        <w:ind w:left="3000" w:hanging="240"/>
      </w:pPr>
      <w:rPr>
        <w:rFonts w:ascii="Meiryo UI" w:eastAsia="Meiryo UI" w:hAnsi="Meiryo UI" w:cs="Meiryo UI"/>
      </w:rPr>
    </w:lvl>
    <w:lvl w:ilvl="8" w:tplc="30545B5A">
      <w:start w:val="1"/>
      <w:numFmt w:val="bullet"/>
      <w:lvlText w:val="●"/>
      <w:lvlJc w:val="left"/>
      <w:pPr>
        <w:spacing w:before="60" w:after="60"/>
        <w:ind w:left="3360" w:hanging="240"/>
      </w:pPr>
      <w:rPr>
        <w:rFonts w:ascii="Meiryo UI" w:eastAsia="Meiryo UI" w:hAnsi="Meiryo UI" w:cs="Meiryo UI"/>
      </w:rPr>
    </w:lvl>
  </w:abstractNum>
  <w:num w:numId="1" w16cid:durableId="15504154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984"/>
    <w:rsid w:val="009863C3"/>
    <w:rsid w:val="00A30E22"/>
    <w:rsid w:val="00C06984"/>
    <w:rsid w:val="00DF69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01483BC"/>
  <w15:docId w15:val="{CA83ACE5-E6D8-42C4-842A-49AEEE51D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iryo UI" w:eastAsia="Meiryo UI" w:hAnsi="Meiryo UI" w:cs="Meiryo UI"/>
        <w:sz w:val="18"/>
        <w:szCs w:val="18"/>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spacing w:before="360" w:after="120" w:line="360" w:lineRule="auto"/>
    </w:pPr>
    <w:rPr>
      <w:rFonts w:ascii="Meiryo UI" w:eastAsia="Meiryo UI" w:hAnsi="Meiryo UI" w:cs="Meiryo UI"/>
      <w:color w:val="1F497D"/>
      <w:sz w:val="32"/>
      <w:szCs w:val="32"/>
      <w:b/>
      <w:bCs/>
    </w:rPr>
  </w:style>
  <w:style w:type="paragraph" w:styleId="2">
    <w:name w:val="heading 2"/>
    <w:uiPriority w:val="9"/>
    <w:semiHidden/>
    <w:unhideWhenUsed/>
    <w:qFormat/>
    <w:pPr>
      <w:outlineLvl w:val="1"/>
      <w:spacing w:before="240" w:after="80" w:line="360" w:lineRule="auto"/>
    </w:pPr>
    <w:rPr>
      <w:rFonts w:ascii="Meiryo UI" w:eastAsia="Meiryo UI" w:hAnsi="Meiryo UI" w:cs="Meiryo UI"/>
      <w:color w:val="2E74B5"/>
      <w:sz w:val="28"/>
      <w:szCs w:val="28"/>
      <w:b/>
      <w:bCs/>
    </w:rPr>
  </w:style>
  <w:style w:type="paragraph" w:styleId="3">
    <w:name w:val="heading 3"/>
    <w:uiPriority w:val="9"/>
    <w:semiHidden/>
    <w:unhideWhenUsed/>
    <w:qFormat/>
    <w:pPr>
      <w:outlineLvl w:val="2"/>
      <w:spacing w:before="200" w:after="60" w:line="360" w:lineRule="auto"/>
    </w:pPr>
    <w:rPr>
      <w:rFonts w:ascii="Meiryo UI" w:eastAsia="Meiryo UI" w:hAnsi="Meiryo UI" w:cs="Meiryo UI"/>
      <w:color w:val="1F497D"/>
      <w:sz w:val="24"/>
      <w:szCs w:val="24"/>
      <w:b/>
      <w:bCs/>
    </w:rPr>
  </w:style>
  <w:style w:type="paragraph" w:styleId="4">
    <w:name w:val="heading 4"/>
    <w:uiPriority w:val="9"/>
    <w:semiHidden/>
    <w:unhideWhenUsed/>
    <w:qFormat/>
    <w:pPr>
      <w:outlineLvl w:val="3"/>
      <w:spacing w:before="160" w:after="40" w:line="360" w:lineRule="auto"/>
    </w:pPr>
    <w:rPr>
      <w:i/>
      <w:iCs/>
      <w:rFonts w:ascii="Meiryo UI" w:eastAsia="Meiryo UI" w:hAnsi="Meiryo UI" w:cs="Meiryo UI"/>
      <w:color w:val="404040"/>
      <w:sz w:val="22"/>
      <w:szCs w:val="22"/>
      <w:b/>
      <w:bCs/>
    </w:rPr>
  </w:style>
  <w:style w:type="paragraph" w:styleId="5">
    <w:name w:val="heading 5"/>
    <w:uiPriority w:val="9"/>
    <w:semiHidden/>
    <w:unhideWhenUsed/>
    <w:qFormat/>
    <w:pPr>
      <w:outlineLvl w:val="4"/>
      <w:spacing w:before="120" w:after="40" w:line="360" w:lineRule="auto"/>
    </w:pPr>
    <w:rPr>
      <w:rFonts w:ascii="Meiryo UI" w:eastAsia="Meiryo UI" w:hAnsi="Meiryo UI" w:cs="Meiryo UI"/>
      <w:color w:val="404040"/>
      <w:sz w:val="22"/>
      <w:szCs w:val="22"/>
    </w:rPr>
  </w:style>
  <w:style w:type="paragraph" w:styleId="6">
    <w:name w:val="heading 6"/>
    <w:uiPriority w:val="9"/>
    <w:semiHidden/>
    <w:unhideWhenUsed/>
    <w:qFormat/>
    <w:pPr>
      <w:outlineLvl w:val="5"/>
      <w:spacing w:before="100" w:after="40" w:line="360" w:lineRule="auto"/>
    </w:pPr>
    <w:rPr>
      <w:rFonts w:ascii="Meiryo UI" w:eastAsia="Meiryo UI" w:hAnsi="Meiryo UI" w:cs="Meiryo UI"/>
      <w:color w:val="595959"/>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BrownTheme">
      <a:dk1>
        <a:sysClr val="windowText" lastClr="000000"/>
      </a:dk1>
      <a:lt1>
        <a:sysClr val="window" lastClr="FFFFFF"/>
      </a:lt1>
      <a:dk2>
        <a:srgbClr val="1A1410"/>
      </a:dk2>
      <a:lt2>
        <a:srgbClr val="F0EBE3"/>
      </a:lt2>
      <a:accent1>
        <a:srgbClr val="1A1410"/>
      </a:accent1>
      <a:accent2>
        <a:srgbClr val="8B2635"/>
      </a:accent2>
      <a:accent3>
        <a:srgbClr val="5C3D1A"/>
      </a:accent3>
      <a:accent4>
        <a:srgbClr val="B8974A"/>
      </a:accent4>
      <a:accent5>
        <a:srgbClr val="8A7A6A"/>
      </a:accent5>
      <a:accent6>
        <a:srgbClr val="D4C4B0"/>
      </a:accent6>
      <a:hlink>
        <a:srgbClr val="8B4500"/>
      </a:hlink>
      <a:folHlink>
        <a:srgbClr val="6B3A2A"/>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1232</Words>
  <Characters>7026</Characters>
  <Application>Microsoft Office Word</Application>
  <DocSecurity>0</DocSecurity>
  <Lines>58</Lines>
  <Paragraphs>16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Y H</cp:lastModifiedBy>
  <cp:revision>2</cp:revision>
  <dcterms:created xsi:type="dcterms:W3CDTF">2026-03-14T06:20:00Z</dcterms:created>
  <dcterms:modified xsi:type="dcterms:W3CDTF">2026-03-14T06:20:00Z</dcterms:modified>
</cp:coreProperties>
</file>