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D7E69" w14:textId="77777777" w:rsidR="00E41A65" w:rsidRPr="006E1B70" w:rsidRDefault="00000000">
      <w:pPr>
        <w:pBdr>
          <w:bottom w:val="single" w:sz="6" w:space="8" w:color="B8974A"/>
        </w:pBdr>
        <w:spacing w:after="120" w:before="0" w:line="360" w:lineRule="auto"/>
        <w:rPr>
          <w:rFonts w:ascii="Meiryo UI" w:eastAsia="Meiryo UI" w:hAnsi="Meiryo UI" w:cs="Meiryo UI"/>
        </w:rPr>
      </w:pPr>
      <w:r w:rsidRPr="006E1B70">
        <w:rPr>
          <w:rFonts w:ascii="Meiryo UI" w:eastAsia="Meiryo UI" w:hAnsi="Meiryo UI" w:cs="Meiryo UI"/>
          <w:b/>
          <w:bCs/>
          <w:color w:val="1A1410"/>
          <w:sz w:val="52"/>
          <w:szCs w:val="52"/>
        </w:rPr>
        <w:t>第9章　制度の終わらせ方設計</w:t>
      </w:r>
    </w:p>
    <w:p w14:paraId="69671FE4" w14:textId="77777777" w:rsidR="00E41A65" w:rsidRPr="006E1B70" w:rsidRDefault="00000000">
      <w:pPr>
        <w:spacing w:after="120" w:before="0" w:line="360" w:lineRule="auto"/>
        <w:rPr>
          <w:rFonts w:ascii="Meiryo UI" w:eastAsia="Meiryo UI" w:hAnsi="Meiryo UI" w:cs="Meiryo UI"/>
          <w:sz w:val="24"/>
          <w:szCs w:val="24"/>
        </w:rPr>
      </w:pPr>
      <w:r w:rsidRPr="006E1B70">
        <w:rPr>
          <w:rFonts w:ascii="Meiryo UI" w:eastAsia="Meiryo UI" w:hAnsi="Meiryo UI" w:cs="Meiryo UI"/>
          <w:color w:val="8A7A6A"/>
          <w:sz w:val="24"/>
          <w:szCs w:val="24"/>
        </w:rPr>
        <w:t>次世代型障害者雇用モデルの「日没条項」と移行設計</w:t>
      </w:r>
    </w:p>
    <w:p w14:paraId="343F4BF1" w14:textId="77777777" w:rsidR="00E41A65" w:rsidRPr="0004251E" w:rsidRDefault="00000000">
      <w:pPr>
        <w:pBdr>
          <w:left w:val="single" w:sz="6" w:space="12" w:color="B8974A"/>
        </w:pBdr>
        <w:spacing w:before="0" w:after="120" w:line="360" w:lineRule="auto"/>
        <w:rPr>
          <w:rFonts w:ascii="Meiryo UI" w:eastAsia="Meiryo UI" w:hAnsi="Meiryo UI" w:cs="Meiryo UI"/>
          <w:color w:val="000000" w:themeColor="text1"/>
          <w:sz w:val="24"/>
          <w:szCs w:val="24"/>
        </w:rPr>
      </w:pPr>
      <w:r w:rsidRPr="0004251E">
        <w:rPr>
          <w:rFonts w:ascii="Meiryo UI" w:eastAsia="Meiryo UI" w:hAnsi="Meiryo UI" w:cs="Meiryo UI"/>
          <w:i/>
          <w:iCs/>
          <w:color w:val="000000" w:themeColor="text1"/>
          <w:sz w:val="24"/>
          <w:szCs w:val="24"/>
        </w:rPr>
        <w:t>制度は、作られた瞬間から老いはじめる。 問題は老いること自体ではない。老いに気づかず、手放せないことである。 本章は、本提言が提案する制度を「いつ、どのように終わらせるか」を設計する。 それは制度への不信ではなく、制度への最大の誠実さである。</w:t>
      </w:r>
    </w:p>
    <w:p w14:paraId="7B5120E2" w14:textId="77777777" w:rsidR="00E41A65" w:rsidRPr="006E1B70" w:rsidRDefault="00E41A65">
      <w:pPr>
        <w:pBdr>
          <w:bottom w:val="single" w:sz="2" w:space="1" w:color="B8974A"/>
        </w:pBdr>
        <w:spacing w:before="0" w:after="120" w:line="360" w:lineRule="auto"/>
        <w:rPr>
          <w:rFonts w:ascii="Meiryo UI" w:eastAsia="Meiryo UI" w:hAnsi="Meiryo UI" w:cs="Meiryo UI"/>
        </w:rPr>
      </w:pPr>
    </w:p>
    <w:p w14:paraId="7267711D" w14:textId="77777777" w:rsidR="00E41A65" w:rsidRPr="006E1B70" w:rsidRDefault="00000000">
      <w:pPr>
        <w:pStyle w:val="1"/>
        <w:pBdr>
          <w:bottom w:val="single" w:sz="3" w:space="6" w:color="B8974A"/>
        </w:pBdr>
        <w:rPr>
          <w:rFonts w:ascii="Meiryo UI" w:eastAsia="Meiryo UI" w:hAnsi="Meiryo UI" w:cs="Meiryo UI"/>
        </w:rPr>
        <w:spacing w:before="360" w:after="120" w:line="360" w:lineRule="auto"/>
      </w:pPr>
      <w:r w:rsidRPr="006E1B70">
        <w:rPr>
          <w:rFonts w:ascii="Meiryo UI" w:eastAsia="Meiryo UI" w:hAnsi="Meiryo UI" w:cs="Meiryo UI"/>
          <w:color w:val="1A1410"/>
        </w:rPr>
        <w:t>はじめに　── なぜ「終わり」を設計するのか</w:t>
      </w:r>
    </w:p>
    <w:p w14:paraId="056B5ED9" w14:textId="77777777" w:rsidR="00E41A65" w:rsidRPr="006E1B70" w:rsidRDefault="00000000">
      <w:pPr>
        <w:pStyle w:val="2"/>
        <w:rPr>
          <w:rFonts w:ascii="Meiryo UI" w:eastAsia="Meiryo UI" w:hAnsi="Meiryo UI" w:cs="Meiryo UI"/>
        </w:rPr>
        <w:spacing w:before="240" w:after="80" w:line="360" w:lineRule="auto"/>
      </w:pPr>
      <w:r w:rsidRPr="006E1B70">
        <w:rPr>
          <w:rFonts w:ascii="Meiryo UI" w:eastAsia="Meiryo UI" w:hAnsi="Meiryo UI" w:cs="Meiryo UI"/>
          <w:color w:val="1A1410"/>
        </w:rPr>
        <w:t>現行制度が証明した「終わりを設計しないことの代償」</w:t>
      </w:r>
    </w:p>
    <w:p w14:paraId="0322614F" w14:textId="77777777" w:rsidR="00E41A65" w:rsidRPr="006E1B70" w:rsidRDefault="00000000">
      <w:pPr>
        <w:spacing w:after="120" w:before="0" w:line="360" w:lineRule="auto"/>
        <w:rPr>
          <w:rFonts w:ascii="Meiryo UI" w:eastAsia="Meiryo UI" w:hAnsi="Meiryo UI" w:cs="Meiryo UI"/>
          <w:sz w:val="24"/>
          <w:szCs w:val="24"/>
        </w:rPr>
      </w:pPr>
      <w:r w:rsidRPr="0004251E">
        <w:rPr>
          <w:rFonts w:ascii="Meiryo UI" w:eastAsia="Meiryo UI" w:hAnsi="Meiryo UI" w:cs="Meiryo UI"/>
          <w:color w:val="000000" w:themeColor="text1"/>
          <w:sz w:val="24"/>
          <w:szCs w:val="24"/>
        </w:rPr>
        <w:t>1960年に誕生した法定雇用率制度は、2026年現在も基本構造を変えないまま66年間存続している。しかし正確に言えば、この制度は「長く機能し続けた」のではなく、「壁が来るたびに先送りされ続けた」のである。</w:t>
      </w:r>
    </w:p>
    <w:p w14:paraId="58FBC932" w14:textId="77777777" w:rsidR="00E41A65" w:rsidRPr="006E1B70" w:rsidRDefault="00E41A65">
      <w:pPr>
        <w:spacing w:after="120" w:before="0" w:line="360" w:lineRule="auto"/>
        <w:rPr>
          <w:rFonts w:ascii="Meiryo UI" w:eastAsia="Meiryo UI" w:hAnsi="Meiryo UI" w:cs="Meiryo UI"/>
          <w:sz w:val="24"/>
          <w:szCs w:val="24"/>
        </w:rPr>
      </w:pPr>
    </w:p>
    <w:tbl>
      <w:tblPr>
        <w:tblW w:w="1474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5"/>
        <w:gridCol w:w="3685"/>
        <w:gridCol w:w="3685"/>
        <w:gridCol w:w="3686"/>
      </w:tblGrid>
      <w:tr w:rsidR="00E41A65" w:rsidRPr="006E1B70" w14:paraId="099BA264" w14:textId="77777777" w:rsidTr="006E1B70">
        <w:tblPrEx>
          <w:tblCellMar>
            <w:top w:w="0" w:type="dxa"/>
            <w:bottom w:w="0" w:type="dxa"/>
          </w:tblCellMar>
        </w:tblPrEx>
        <w:trPr>
          <w:tblHeader/>
        </w:trPr>
        <w:tc>
          <w:tcPr>
            <w:tcW w:w="3685" w:type="dxa"/>
            <w:tcBorders>
              <w:top w:val="single" w:sz="1" w:space="0" w:color="D4C9BC"/>
              <w:left w:val="single" w:sz="1" w:space="0" w:color="D4C9BC"/>
              <w:bottom w:val="single" w:sz="1" w:space="0" w:color="D4C9BC"/>
              <w:right w:val="single" w:sz="1" w:space="0" w:color="D4C9BC"/>
            </w:tcBorders>
            <w:shd w:val="clear" w:color="auto" w:fill="1A1410"/>
            <w:tcMar>
              <w:top w:w="80" w:type="dxa"/>
              <w:left w:w="120" w:type="dxa"/>
              <w:bottom w:w="80" w:type="dxa"/>
              <w:right w:w="120" w:type="dxa"/>
            </w:tcMar>
          </w:tcPr>
          <w:p w14:paraId="4E627788" w14:textId="77777777" w:rsidR="00E41A65" w:rsidRPr="006E1B70" w:rsidRDefault="00000000">
            <w:pPr>
              <w:rPr>
                <w:rFonts w:ascii="Meiryo UI" w:eastAsia="Meiryo UI" w:hAnsi="Meiryo UI" w:cs="Meiryo UI"/>
                <w:sz w:val="24"/>
                <w:szCs w:val="24"/>
              </w:rPr>
              <w:spacing w:before="0" w:after="120" w:line="360" w:lineRule="auto"/>
            </w:pPr>
            <w:r w:rsidRPr="006E1B70">
              <w:rPr>
                <w:rFonts w:ascii="Meiryo UI" w:eastAsia="Meiryo UI" w:hAnsi="Meiryo UI" w:cs="Meiryo UI"/>
                <w:color w:val="F8F5F0"/>
                <w:sz w:val="24"/>
                <w:szCs w:val="24"/>
              </w:rPr>
              <w:t>時期</w:t>
            </w:r>
          </w:p>
        </w:tc>
        <w:tc>
          <w:tcPr>
            <w:tcW w:w="3685" w:type="dxa"/>
            <w:tcBorders>
              <w:top w:val="single" w:sz="1" w:space="0" w:color="D4C9BC"/>
              <w:left w:val="single" w:sz="1" w:space="0" w:color="D4C9BC"/>
              <w:bottom w:val="single" w:sz="1" w:space="0" w:color="D4C9BC"/>
              <w:right w:val="single" w:sz="1" w:space="0" w:color="D4C9BC"/>
            </w:tcBorders>
            <w:shd w:val="clear" w:color="auto" w:fill="1A1410"/>
            <w:tcMar>
              <w:top w:w="80" w:type="dxa"/>
              <w:left w:w="120" w:type="dxa"/>
              <w:bottom w:w="80" w:type="dxa"/>
              <w:right w:w="120" w:type="dxa"/>
            </w:tcMar>
          </w:tcPr>
          <w:p w14:paraId="32906A42" w14:textId="77777777" w:rsidR="00E41A65" w:rsidRPr="006E1B70" w:rsidRDefault="00000000">
            <w:pPr>
              <w:rPr>
                <w:rFonts w:ascii="Meiryo UI" w:eastAsia="Meiryo UI" w:hAnsi="Meiryo UI" w:cs="Meiryo UI"/>
                <w:sz w:val="24"/>
                <w:szCs w:val="24"/>
              </w:rPr>
              <w:spacing w:before="0" w:after="120" w:line="360" w:lineRule="auto"/>
            </w:pPr>
            <w:r w:rsidRPr="006E1B70">
              <w:rPr>
                <w:rFonts w:ascii="Meiryo UI" w:eastAsia="Meiryo UI" w:hAnsi="Meiryo UI" w:cs="Meiryo UI"/>
                <w:color w:val="F8F5F0"/>
                <w:sz w:val="24"/>
                <w:szCs w:val="24"/>
              </w:rPr>
              <w:t>壁の内容</w:t>
            </w:r>
          </w:p>
        </w:tc>
        <w:tc>
          <w:tcPr>
            <w:tcW w:w="3685" w:type="dxa"/>
            <w:tcBorders>
              <w:top w:val="single" w:sz="1" w:space="0" w:color="D4C9BC"/>
              <w:left w:val="single" w:sz="1" w:space="0" w:color="D4C9BC"/>
              <w:bottom w:val="single" w:sz="1" w:space="0" w:color="D4C9BC"/>
              <w:right w:val="single" w:sz="1" w:space="0" w:color="D4C9BC"/>
            </w:tcBorders>
            <w:shd w:val="clear" w:color="auto" w:fill="1A1410"/>
            <w:tcMar>
              <w:top w:w="80" w:type="dxa"/>
              <w:left w:w="120" w:type="dxa"/>
              <w:bottom w:w="80" w:type="dxa"/>
              <w:right w:w="120" w:type="dxa"/>
            </w:tcMar>
          </w:tcPr>
          <w:p w14:paraId="69493540" w14:textId="77777777" w:rsidR="00E41A65" w:rsidRPr="006E1B70" w:rsidRDefault="00000000">
            <w:pPr>
              <w:rPr>
                <w:rFonts w:ascii="Meiryo UI" w:eastAsia="Meiryo UI" w:hAnsi="Meiryo UI" w:cs="Meiryo UI"/>
                <w:sz w:val="24"/>
                <w:szCs w:val="24"/>
              </w:rPr>
              <w:spacing w:before="0" w:after="120" w:line="360" w:lineRule="auto"/>
            </w:pPr>
            <w:r w:rsidRPr="006E1B70">
              <w:rPr>
                <w:rFonts w:ascii="Meiryo UI" w:eastAsia="Meiryo UI" w:hAnsi="Meiryo UI" w:cs="Meiryo UI"/>
                <w:color w:val="F8F5F0"/>
                <w:sz w:val="24"/>
                <w:szCs w:val="24"/>
              </w:rPr>
              <w:t>本来すべきだった対応</w:t>
            </w:r>
          </w:p>
        </w:tc>
        <w:tc>
          <w:tcPr>
            <w:tcW w:w="3686" w:type="dxa"/>
            <w:tcBorders>
              <w:top w:val="single" w:sz="1" w:space="0" w:color="D4C9BC"/>
              <w:left w:val="single" w:sz="1" w:space="0" w:color="D4C9BC"/>
              <w:bottom w:val="single" w:sz="1" w:space="0" w:color="D4C9BC"/>
              <w:right w:val="single" w:sz="1" w:space="0" w:color="D4C9BC"/>
            </w:tcBorders>
            <w:shd w:val="clear" w:color="auto" w:fill="1A1410"/>
            <w:tcMar>
              <w:top w:w="80" w:type="dxa"/>
              <w:left w:w="120" w:type="dxa"/>
              <w:bottom w:w="80" w:type="dxa"/>
              <w:right w:w="120" w:type="dxa"/>
            </w:tcMar>
          </w:tcPr>
          <w:p w14:paraId="388CB8D5" w14:textId="77777777" w:rsidR="00E41A65" w:rsidRPr="006E1B70" w:rsidRDefault="00000000">
            <w:pPr>
              <w:rPr>
                <w:rFonts w:ascii="Meiryo UI" w:eastAsia="Meiryo UI" w:hAnsi="Meiryo UI" w:cs="Meiryo UI"/>
                <w:sz w:val="24"/>
                <w:szCs w:val="24"/>
              </w:rPr>
              <w:spacing w:before="0" w:after="120" w:line="360" w:lineRule="auto"/>
            </w:pPr>
            <w:r w:rsidRPr="006E1B70">
              <w:rPr>
                <w:rFonts w:ascii="Meiryo UI" w:eastAsia="Meiryo UI" w:hAnsi="Meiryo UI" w:cs="Meiryo UI"/>
                <w:color w:val="F8F5F0"/>
                <w:sz w:val="24"/>
                <w:szCs w:val="24"/>
              </w:rPr>
              <w:t>実際に行われたこと</w:t>
            </w:r>
          </w:p>
        </w:tc>
      </w:tr>
      <w:tr w:rsidR="00E41A65" w:rsidRPr="006E1B70" w14:paraId="2181AA65" w14:textId="77777777" w:rsidTr="006E1B70">
        <w:tblPrEx>
          <w:tblCellMar>
            <w:top w:w="0" w:type="dxa"/>
            <w:bottom w:w="0" w:type="dxa"/>
          </w:tblCellMar>
        </w:tblPrEx>
        <w:tc>
          <w:tcPr>
            <w:tcW w:w="3685" w:type="dxa"/>
            <w:tcBorders>
              <w:top w:val="single" w:sz="1" w:space="0" w:color="D4C9BC"/>
              <w:left w:val="single" w:sz="1" w:space="0" w:color="D4C9BC"/>
              <w:bottom w:val="single" w:sz="1" w:space="0" w:color="D4C9BC"/>
              <w:right w:val="single" w:sz="1" w:space="0" w:color="D4C9BC"/>
            </w:tcBorders>
            <w:shd w:val="clear" w:color="auto" w:fill="FFFFFF"/>
            <w:tcMar>
              <w:top w:w="80" w:type="dxa"/>
              <w:left w:w="120" w:type="dxa"/>
              <w:bottom w:w="80" w:type="dxa"/>
              <w:right w:w="120" w:type="dxa"/>
            </w:tcMar>
          </w:tcPr>
          <w:p w14:paraId="32B19618"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1973年頃 （制度創設13年後）</w:t>
            </w:r>
          </w:p>
        </w:tc>
        <w:tc>
          <w:tcPr>
            <w:tcW w:w="3685" w:type="dxa"/>
            <w:tcBorders>
              <w:top w:val="single" w:sz="1" w:space="0" w:color="D4C9BC"/>
              <w:left w:val="single" w:sz="1" w:space="0" w:color="D4C9BC"/>
              <w:bottom w:val="single" w:sz="1" w:space="0" w:color="D4C9BC"/>
              <w:right w:val="single" w:sz="1" w:space="0" w:color="D4C9BC"/>
            </w:tcBorders>
            <w:shd w:val="clear" w:color="auto" w:fill="FFFFFF"/>
            <w:tcMar>
              <w:top w:w="80" w:type="dxa"/>
              <w:left w:w="120" w:type="dxa"/>
              <w:bottom w:w="80" w:type="dxa"/>
              <w:right w:w="120" w:type="dxa"/>
            </w:tcMar>
          </w:tcPr>
          <w:p w14:paraId="61D7E04C"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オイルショック後、企業余力が縮小。形式的雇用が広がり始める</w:t>
            </w:r>
          </w:p>
        </w:tc>
        <w:tc>
          <w:tcPr>
            <w:tcW w:w="3685" w:type="dxa"/>
            <w:tcBorders>
              <w:top w:val="single" w:sz="1" w:space="0" w:color="D4C9BC"/>
              <w:left w:val="single" w:sz="1" w:space="0" w:color="D4C9BC"/>
              <w:bottom w:val="single" w:sz="1" w:space="0" w:color="D4C9BC"/>
              <w:right w:val="single" w:sz="1" w:space="0" w:color="D4C9BC"/>
            </w:tcBorders>
            <w:shd w:val="clear" w:color="auto" w:fill="FFFFFF"/>
            <w:tcMar>
              <w:top w:w="80" w:type="dxa"/>
              <w:left w:w="120" w:type="dxa"/>
              <w:bottom w:w="80" w:type="dxa"/>
              <w:right w:w="120" w:type="dxa"/>
            </w:tcMar>
          </w:tcPr>
          <w:p w14:paraId="31C4ABB0"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制度の設計思想を問い直す</w:t>
            </w:r>
          </w:p>
        </w:tc>
        <w:tc>
          <w:tcPr>
            <w:tcW w:w="3686" w:type="dxa"/>
            <w:tcBorders>
              <w:top w:val="single" w:sz="1" w:space="0" w:color="D4C9BC"/>
              <w:left w:val="single" w:sz="1" w:space="0" w:color="D4C9BC"/>
              <w:bottom w:val="single" w:sz="1" w:space="0" w:color="D4C9BC"/>
              <w:right w:val="single" w:sz="1" w:space="0" w:color="D4C9BC"/>
            </w:tcBorders>
            <w:shd w:val="clear" w:color="auto" w:fill="FFFFFF"/>
            <w:tcMar>
              <w:top w:w="80" w:type="dxa"/>
              <w:left w:w="120" w:type="dxa"/>
              <w:bottom w:w="80" w:type="dxa"/>
              <w:right w:w="120" w:type="dxa"/>
            </w:tcMar>
          </w:tcPr>
          <w:p w14:paraId="60FB3DE0"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放置</w:t>
            </w:r>
          </w:p>
        </w:tc>
      </w:tr>
      <w:tr w:rsidR="00E41A65" w:rsidRPr="006E1B70" w14:paraId="75C9EC3A" w14:textId="77777777" w:rsidTr="006E1B70">
        <w:tblPrEx>
          <w:tblCellMar>
            <w:top w:w="0" w:type="dxa"/>
            <w:bottom w:w="0" w:type="dxa"/>
          </w:tblCellMar>
        </w:tblPrEx>
        <w:tc>
          <w:tcPr>
            <w:tcW w:w="3685" w:type="dxa"/>
            <w:tcBorders>
              <w:top w:val="single" w:sz="1" w:space="0" w:color="D4C9BC"/>
              <w:left w:val="single" w:sz="1" w:space="0" w:color="D4C9BC"/>
              <w:bottom w:val="single" w:sz="1" w:space="0" w:color="D4C9BC"/>
              <w:right w:val="single" w:sz="1" w:space="0" w:color="D4C9BC"/>
            </w:tcBorders>
            <w:shd w:val="clear" w:color="auto" w:fill="F0EBE3"/>
            <w:tcMar>
              <w:top w:w="80" w:type="dxa"/>
              <w:left w:w="120" w:type="dxa"/>
              <w:bottom w:w="80" w:type="dxa"/>
              <w:right w:w="120" w:type="dxa"/>
            </w:tcMar>
          </w:tcPr>
          <w:p w14:paraId="0672AD60"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1987年 （27年後）</w:t>
            </w:r>
          </w:p>
        </w:tc>
        <w:tc>
          <w:tcPr>
            <w:tcW w:w="3685" w:type="dxa"/>
            <w:tcBorders>
              <w:top w:val="single" w:sz="1" w:space="0" w:color="D4C9BC"/>
              <w:left w:val="single" w:sz="1" w:space="0" w:color="D4C9BC"/>
              <w:bottom w:val="single" w:sz="1" w:space="0" w:color="D4C9BC"/>
              <w:right w:val="single" w:sz="1" w:space="0" w:color="D4C9BC"/>
            </w:tcBorders>
            <w:shd w:val="clear" w:color="auto" w:fill="F0EBE3"/>
            <w:tcMar>
              <w:top w:w="80" w:type="dxa"/>
              <w:left w:w="120" w:type="dxa"/>
              <w:bottom w:w="80" w:type="dxa"/>
              <w:right w:w="120" w:type="dxa"/>
            </w:tcMar>
          </w:tcPr>
          <w:p w14:paraId="7871F6B1"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知的障害者へ対象拡大。「人数カウント」という枠組みのまま多様な障害に対応不能</w:t>
            </w:r>
          </w:p>
        </w:tc>
        <w:tc>
          <w:tcPr>
            <w:tcW w:w="3685" w:type="dxa"/>
            <w:tcBorders>
              <w:top w:val="single" w:sz="1" w:space="0" w:color="D4C9BC"/>
              <w:left w:val="single" w:sz="1" w:space="0" w:color="D4C9BC"/>
              <w:bottom w:val="single" w:sz="1" w:space="0" w:color="D4C9BC"/>
              <w:right w:val="single" w:sz="1" w:space="0" w:color="D4C9BC"/>
            </w:tcBorders>
            <w:shd w:val="clear" w:color="auto" w:fill="F0EBE3"/>
            <w:tcMar>
              <w:top w:w="80" w:type="dxa"/>
              <w:left w:w="120" w:type="dxa"/>
              <w:bottom w:w="80" w:type="dxa"/>
              <w:right w:w="120" w:type="dxa"/>
            </w:tcMar>
          </w:tcPr>
          <w:p w14:paraId="4711D4B1"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枠組み自体の再設計</w:t>
            </w:r>
          </w:p>
        </w:tc>
        <w:tc>
          <w:tcPr>
            <w:tcW w:w="3686" w:type="dxa"/>
            <w:tcBorders>
              <w:top w:val="single" w:sz="1" w:space="0" w:color="D4C9BC"/>
              <w:left w:val="single" w:sz="1" w:space="0" w:color="D4C9BC"/>
              <w:bottom w:val="single" w:sz="1" w:space="0" w:color="D4C9BC"/>
              <w:right w:val="single" w:sz="1" w:space="0" w:color="D4C9BC"/>
            </w:tcBorders>
            <w:shd w:val="clear" w:color="auto" w:fill="F0EBE3"/>
            <w:tcMar>
              <w:top w:w="80" w:type="dxa"/>
              <w:left w:w="120" w:type="dxa"/>
              <w:bottom w:w="80" w:type="dxa"/>
              <w:right w:w="120" w:type="dxa"/>
            </w:tcMar>
          </w:tcPr>
          <w:p w14:paraId="121975D3"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対象だけ拡大し設計思想は温存</w:t>
            </w:r>
          </w:p>
        </w:tc>
      </w:tr>
      <w:tr w:rsidR="00E41A65" w:rsidRPr="006E1B70" w14:paraId="42CC846A" w14:textId="77777777" w:rsidTr="006E1B70">
        <w:tblPrEx>
          <w:tblCellMar>
            <w:top w:w="0" w:type="dxa"/>
            <w:bottom w:w="0" w:type="dxa"/>
          </w:tblCellMar>
        </w:tblPrEx>
        <w:tc>
          <w:tcPr>
            <w:tcW w:w="3685" w:type="dxa"/>
            <w:tcBorders>
              <w:top w:val="single" w:sz="1" w:space="0" w:color="D4C9BC"/>
              <w:left w:val="single" w:sz="1" w:space="0" w:color="D4C9BC"/>
              <w:bottom w:val="single" w:sz="1" w:space="0" w:color="D4C9BC"/>
              <w:right w:val="single" w:sz="1" w:space="0" w:color="D4C9BC"/>
            </w:tcBorders>
            <w:shd w:val="clear" w:color="auto" w:fill="FFFFFF"/>
            <w:tcMar>
              <w:top w:w="80" w:type="dxa"/>
              <w:left w:w="120" w:type="dxa"/>
              <w:bottom w:w="80" w:type="dxa"/>
              <w:right w:w="120" w:type="dxa"/>
            </w:tcMar>
          </w:tcPr>
          <w:p w14:paraId="5E785F56"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1990年代 （30年後）</w:t>
            </w:r>
          </w:p>
        </w:tc>
        <w:tc>
          <w:tcPr>
            <w:tcW w:w="3685" w:type="dxa"/>
            <w:tcBorders>
              <w:top w:val="single" w:sz="1" w:space="0" w:color="D4C9BC"/>
              <w:left w:val="single" w:sz="1" w:space="0" w:color="D4C9BC"/>
              <w:bottom w:val="single" w:sz="1" w:space="0" w:color="D4C9BC"/>
              <w:right w:val="single" w:sz="1" w:space="0" w:color="D4C9BC"/>
            </w:tcBorders>
            <w:shd w:val="clear" w:color="auto" w:fill="FFFFFF"/>
            <w:tcMar>
              <w:top w:w="80" w:type="dxa"/>
              <w:left w:w="120" w:type="dxa"/>
              <w:bottom w:w="80" w:type="dxa"/>
              <w:right w:w="120" w:type="dxa"/>
            </w:tcMar>
          </w:tcPr>
          <w:p w14:paraId="4AEE403B"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バブル崩壊後のリストラで障害者雇用が真っ先に形骸化。特例子会社という「達成装置」が急増</w:t>
            </w:r>
          </w:p>
        </w:tc>
        <w:tc>
          <w:tcPr>
            <w:tcW w:w="3685" w:type="dxa"/>
            <w:tcBorders>
              <w:top w:val="single" w:sz="1" w:space="0" w:color="D4C9BC"/>
              <w:left w:val="single" w:sz="1" w:space="0" w:color="D4C9BC"/>
              <w:bottom w:val="single" w:sz="1" w:space="0" w:color="D4C9BC"/>
              <w:right w:val="single" w:sz="1" w:space="0" w:color="D4C9BC"/>
            </w:tcBorders>
            <w:shd w:val="clear" w:color="auto" w:fill="FFFFFF"/>
            <w:tcMar>
              <w:top w:w="80" w:type="dxa"/>
              <w:left w:w="120" w:type="dxa"/>
              <w:bottom w:w="80" w:type="dxa"/>
              <w:right w:w="120" w:type="dxa"/>
            </w:tcMar>
          </w:tcPr>
          <w:p w14:paraId="3122F70B"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制度の抜本的な見直し</w:t>
            </w:r>
          </w:p>
        </w:tc>
        <w:tc>
          <w:tcPr>
            <w:tcW w:w="3686" w:type="dxa"/>
            <w:tcBorders>
              <w:top w:val="single" w:sz="1" w:space="0" w:color="D4C9BC"/>
              <w:left w:val="single" w:sz="1" w:space="0" w:color="D4C9BC"/>
              <w:bottom w:val="single" w:sz="1" w:space="0" w:color="D4C9BC"/>
              <w:right w:val="single" w:sz="1" w:space="0" w:color="D4C9BC"/>
            </w:tcBorders>
            <w:shd w:val="clear" w:color="auto" w:fill="FFFFFF"/>
            <w:tcMar>
              <w:top w:w="80" w:type="dxa"/>
              <w:left w:w="120" w:type="dxa"/>
              <w:bottom w:w="80" w:type="dxa"/>
              <w:right w:w="120" w:type="dxa"/>
            </w:tcMar>
          </w:tcPr>
          <w:p w14:paraId="256C3225"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特例子会社を黙認し数字だけ維持</w:t>
            </w:r>
          </w:p>
        </w:tc>
      </w:tr>
      <w:tr w:rsidR="00E41A65" w:rsidRPr="006E1B70" w14:paraId="16F9953B" w14:textId="77777777" w:rsidTr="006E1B70">
        <w:tblPrEx>
          <w:tblCellMar>
            <w:top w:w="0" w:type="dxa"/>
            <w:bottom w:w="0" w:type="dxa"/>
          </w:tblCellMar>
        </w:tblPrEx>
        <w:tc>
          <w:tcPr>
            <w:tcW w:w="3685" w:type="dxa"/>
            <w:tcBorders>
              <w:top w:val="single" w:sz="1" w:space="0" w:color="D4C9BC"/>
              <w:left w:val="single" w:sz="1" w:space="0" w:color="D4C9BC"/>
              <w:bottom w:val="single" w:sz="1" w:space="0" w:color="D4C9BC"/>
              <w:right w:val="single" w:sz="1" w:space="0" w:color="D4C9BC"/>
            </w:tcBorders>
            <w:shd w:val="clear" w:color="auto" w:fill="F0EBE3"/>
            <w:tcMar>
              <w:top w:w="80" w:type="dxa"/>
              <w:left w:w="120" w:type="dxa"/>
              <w:bottom w:w="80" w:type="dxa"/>
              <w:right w:w="120" w:type="dxa"/>
            </w:tcMar>
          </w:tcPr>
          <w:p w14:paraId="3B00C195"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2006年 （46年後）</w:t>
            </w:r>
          </w:p>
        </w:tc>
        <w:tc>
          <w:tcPr>
            <w:tcW w:w="3685" w:type="dxa"/>
            <w:tcBorders>
              <w:top w:val="single" w:sz="1" w:space="0" w:color="D4C9BC"/>
              <w:left w:val="single" w:sz="1" w:space="0" w:color="D4C9BC"/>
              <w:bottom w:val="single" w:sz="1" w:space="0" w:color="D4C9BC"/>
              <w:right w:val="single" w:sz="1" w:space="0" w:color="D4C9BC"/>
            </w:tcBorders>
            <w:shd w:val="clear" w:color="auto" w:fill="F0EBE3"/>
            <w:tcMar>
              <w:top w:w="80" w:type="dxa"/>
              <w:left w:w="120" w:type="dxa"/>
              <w:bottom w:w="80" w:type="dxa"/>
              <w:right w:w="120" w:type="dxa"/>
            </w:tcMar>
          </w:tcPr>
          <w:p w14:paraId="270F3A43"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制度の限界が明白になる。就労の場が絶対的に不足</w:t>
            </w:r>
          </w:p>
        </w:tc>
        <w:tc>
          <w:tcPr>
            <w:tcW w:w="3685" w:type="dxa"/>
            <w:tcBorders>
              <w:top w:val="single" w:sz="1" w:space="0" w:color="D4C9BC"/>
              <w:left w:val="single" w:sz="1" w:space="0" w:color="D4C9BC"/>
              <w:bottom w:val="single" w:sz="1" w:space="0" w:color="D4C9BC"/>
              <w:right w:val="single" w:sz="1" w:space="0" w:color="D4C9BC"/>
            </w:tcBorders>
            <w:shd w:val="clear" w:color="auto" w:fill="F0EBE3"/>
            <w:tcMar>
              <w:top w:w="80" w:type="dxa"/>
              <w:left w:w="120" w:type="dxa"/>
              <w:bottom w:w="80" w:type="dxa"/>
              <w:right w:w="120" w:type="dxa"/>
            </w:tcMar>
          </w:tcPr>
          <w:p w14:paraId="0E3ADA9C"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制度の再設計</w:t>
            </w:r>
          </w:p>
        </w:tc>
        <w:tc>
          <w:tcPr>
            <w:tcW w:w="3686" w:type="dxa"/>
            <w:tcBorders>
              <w:top w:val="single" w:sz="1" w:space="0" w:color="D4C9BC"/>
              <w:left w:val="single" w:sz="1" w:space="0" w:color="D4C9BC"/>
              <w:bottom w:val="single" w:sz="1" w:space="0" w:color="D4C9BC"/>
              <w:right w:val="single" w:sz="1" w:space="0" w:color="D4C9BC"/>
            </w:tcBorders>
            <w:shd w:val="clear" w:color="auto" w:fill="F0EBE3"/>
            <w:tcMar>
              <w:top w:w="80" w:type="dxa"/>
              <w:left w:w="120" w:type="dxa"/>
              <w:bottom w:w="80" w:type="dxa"/>
              <w:right w:w="120" w:type="dxa"/>
            </w:tcMar>
          </w:tcPr>
          <w:p w14:paraId="02E143FB"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A型・B型という別制度で「穴埋め」</w:t>
            </w:r>
          </w:p>
        </w:tc>
      </w:tr>
      <w:tr w:rsidR="00E41A65" w:rsidRPr="006E1B70" w14:paraId="1646FF83" w14:textId="77777777" w:rsidTr="006E1B70">
        <w:tblPrEx>
          <w:tblCellMar>
            <w:top w:w="0" w:type="dxa"/>
            <w:bottom w:w="0" w:type="dxa"/>
          </w:tblCellMar>
        </w:tblPrEx>
        <w:tc>
          <w:tcPr>
            <w:tcW w:w="3685" w:type="dxa"/>
            <w:tcBorders>
              <w:top w:val="single" w:sz="1" w:space="0" w:color="D4C9BC"/>
              <w:left w:val="single" w:sz="1" w:space="0" w:color="D4C9BC"/>
              <w:bottom w:val="single" w:sz="1" w:space="0" w:color="D4C9BC"/>
              <w:right w:val="single" w:sz="1" w:space="0" w:color="D4C9BC"/>
            </w:tcBorders>
            <w:shd w:val="clear" w:color="auto" w:fill="FFFFFF"/>
            <w:tcMar>
              <w:top w:w="80" w:type="dxa"/>
              <w:left w:w="120" w:type="dxa"/>
              <w:bottom w:w="80" w:type="dxa"/>
              <w:right w:w="120" w:type="dxa"/>
            </w:tcMar>
          </w:tcPr>
          <w:p w14:paraId="7FDEAFE1"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2018年 （58年後）</w:t>
            </w:r>
          </w:p>
        </w:tc>
        <w:tc>
          <w:tcPr>
            <w:tcW w:w="3685" w:type="dxa"/>
            <w:tcBorders>
              <w:top w:val="single" w:sz="1" w:space="0" w:color="D4C9BC"/>
              <w:left w:val="single" w:sz="1" w:space="0" w:color="D4C9BC"/>
              <w:bottom w:val="single" w:sz="1" w:space="0" w:color="D4C9BC"/>
              <w:right w:val="single" w:sz="1" w:space="0" w:color="D4C9BC"/>
            </w:tcBorders>
            <w:shd w:val="clear" w:color="auto" w:fill="FFFFFF"/>
            <w:tcMar>
              <w:top w:w="80" w:type="dxa"/>
              <w:left w:w="120" w:type="dxa"/>
              <w:bottom w:w="80" w:type="dxa"/>
              <w:right w:w="120" w:type="dxa"/>
            </w:tcMar>
          </w:tcPr>
          <w:p w14:paraId="1D0E4B78"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精神障害者へ対象拡大。また対象だけ広げ設計思想は変えない</w:t>
            </w:r>
          </w:p>
        </w:tc>
        <w:tc>
          <w:tcPr>
            <w:tcW w:w="3685" w:type="dxa"/>
            <w:tcBorders>
              <w:top w:val="single" w:sz="1" w:space="0" w:color="D4C9BC"/>
              <w:left w:val="single" w:sz="1" w:space="0" w:color="D4C9BC"/>
              <w:bottom w:val="single" w:sz="1" w:space="0" w:color="D4C9BC"/>
              <w:right w:val="single" w:sz="1" w:space="0" w:color="D4C9BC"/>
            </w:tcBorders>
            <w:shd w:val="clear" w:color="auto" w:fill="FFFFFF"/>
            <w:tcMar>
              <w:top w:w="80" w:type="dxa"/>
              <w:left w:w="120" w:type="dxa"/>
              <w:bottom w:w="80" w:type="dxa"/>
              <w:right w:w="120" w:type="dxa"/>
            </w:tcMar>
          </w:tcPr>
          <w:p w14:paraId="4871F078"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普遍的な就労支援への統合</w:t>
            </w:r>
          </w:p>
        </w:tc>
        <w:tc>
          <w:tcPr>
            <w:tcW w:w="3686" w:type="dxa"/>
            <w:tcBorders>
              <w:top w:val="single" w:sz="1" w:space="0" w:color="D4C9BC"/>
              <w:left w:val="single" w:sz="1" w:space="0" w:color="D4C9BC"/>
              <w:bottom w:val="single" w:sz="1" w:space="0" w:color="D4C9BC"/>
              <w:right w:val="single" w:sz="1" w:space="0" w:color="D4C9BC"/>
            </w:tcBorders>
            <w:shd w:val="clear" w:color="auto" w:fill="FFFFFF"/>
            <w:tcMar>
              <w:top w:w="80" w:type="dxa"/>
              <w:left w:w="120" w:type="dxa"/>
              <w:bottom w:w="80" w:type="dxa"/>
              <w:right w:w="120" w:type="dxa"/>
            </w:tcMar>
          </w:tcPr>
          <w:p w14:paraId="5622F612"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対象拡大という同じ手法を繰り返す</w:t>
            </w:r>
          </w:p>
        </w:tc>
      </w:tr>
    </w:tbl>
    <w:p w14:paraId="3CC4F871" w14:textId="77777777" w:rsidR="00E41A65" w:rsidRPr="006E1B70" w:rsidRDefault="00E41A65">
      <w:pPr>
        <w:spacing w:after="120" w:before="0" w:line="360" w:lineRule="auto"/>
        <w:rPr>
          <w:rFonts w:ascii="Meiryo UI" w:eastAsia="Meiryo UI" w:hAnsi="Meiryo UI" w:cs="Meiryo UI"/>
          <w:sz w:val="24"/>
          <w:szCs w:val="24"/>
        </w:rPr>
      </w:pPr>
    </w:p>
    <w:p w14:paraId="6B7BD533" w14:textId="5D8F21B4" w:rsidR="00E41A65" w:rsidRPr="006E1B70" w:rsidRDefault="00000000">
      <w:pPr>
        <w:pBdr>
          <w:top w:val="single" w:sz="4" w:space="0" w:color="B8974A"/>
          <w:left w:val="single" w:sz="8" w:space="0" w:color="B8974A"/>
          <w:bottom w:val="single" w:sz="4" w:space="0" w:color="B8974A"/>
          <w:right w:val="single" w:sz="4" w:space="0" w:color="B8974A"/>
        </w:pBdr>
        <w:shd w:val="clear" w:color="auto" w:fill="1A1410"/>
        <w:spacing w:before="0" w:after="120" w:line="360" w:lineRule="auto"/>
        <w:rPr>
          <w:rFonts w:ascii="Meiryo UI" w:eastAsia="Meiryo UI" w:hAnsi="Meiryo UI" w:cs="Meiryo UI"/>
          <w:color w:val="FFFFFF" w:themeColor="background1"/>
          <w:sz w:val="24"/>
          <w:szCs w:val="24"/>
        </w:rPr>
      </w:pPr>
      <w:r w:rsidRPr="006E1B70">
        <w:rPr>
          <w:rFonts w:ascii="Meiryo UI" w:eastAsia="Meiryo UI" w:hAnsi="Meiryo UI" w:cs="Meiryo UI"/>
          <w:b/>
          <w:bCs/>
          <w:color w:val="FFFFFF" w:themeColor="background1"/>
          <w:sz w:val="24"/>
          <w:szCs w:val="24"/>
        </w:rPr>
        <w:t xml:space="preserve">【歴史の教訓】　</w:t>
      </w:r>
      <w:r w:rsidRPr="006E1B70">
        <w:rPr>
          <w:rFonts w:ascii="Meiryo UI" w:eastAsia="Meiryo UI" w:hAnsi="Meiryo UI" w:cs="Meiryo UI"/>
          <w:color w:val="FFFFFF" w:themeColor="background1"/>
          <w:sz w:val="24"/>
          <w:szCs w:val="24"/>
        </w:rPr>
        <w:t>現行制度もまた、創設から13〜15年で最初の壁が来ていた。本提言が想定する「15〜20年後の技術変容による見直し時期」は、現行制度とほぼ同じスパンである。違いはただ一つ</w:t>
      </w:r>
      <w:r w:rsidR="006E1B70">
        <w:rPr>
          <w:rFonts w:ascii="Meiryo UI" w:eastAsia="Meiryo UI" w:hAnsi="Meiryo UI" w:cs="Meiryo UI"/>
          <w:color w:val="FFFFFF" w:themeColor="background1"/>
          <w:sz w:val="24"/>
          <w:szCs w:val="24"/>
        </w:rPr>
        <w:t>。</w:t>
      </w:r>
      <w:r w:rsidRPr="006E1B70">
        <w:rPr>
          <w:rFonts w:ascii="Meiryo UI" w:eastAsia="Meiryo UI" w:hAnsi="Meiryo UI" w:cs="Meiryo UI"/>
          <w:color w:val="FFFFFF" w:themeColor="background1"/>
          <w:sz w:val="24"/>
          <w:szCs w:val="24"/>
        </w:rPr>
        <w:t>現行制度には壁が来たときに「終わらせる仕組み」がなかった。だから66年間、継ぎ接ぎの対策を重ね続けた。</w:t>
      </w:r>
    </w:p>
    <w:p w14:paraId="08AEF0AE" w14:textId="77777777" w:rsidR="00E41A65" w:rsidRPr="006E1B70" w:rsidRDefault="00E41A65">
      <w:pPr>
        <w:spacing w:after="120" w:before="0" w:line="360" w:lineRule="auto"/>
        <w:rPr>
          <w:rFonts w:ascii="Meiryo UI" w:eastAsia="Meiryo UI" w:hAnsi="Meiryo UI" w:cs="Meiryo UI"/>
        </w:rPr>
      </w:pPr>
    </w:p>
    <w:p w14:paraId="3A53ED19" w14:textId="77777777" w:rsidR="00E41A65" w:rsidRPr="0004251E" w:rsidRDefault="00000000">
      <w:pPr>
        <w:spacing w:after="120" w:before="0" w:line="360" w:lineRule="auto"/>
        <w:rPr>
          <w:rFonts w:ascii="Meiryo UI" w:eastAsia="Meiryo UI" w:hAnsi="Meiryo UI" w:cs="Meiryo UI"/>
          <w:color w:val="000000" w:themeColor="text1"/>
          <w:sz w:val="24"/>
          <w:szCs w:val="24"/>
        </w:rPr>
      </w:pPr>
      <w:r w:rsidRPr="0004251E">
        <w:rPr>
          <w:rFonts w:ascii="Meiryo UI" w:eastAsia="Meiryo UI" w:hAnsi="Meiryo UI" w:cs="Meiryo UI"/>
          <w:color w:val="000000" w:themeColor="text1"/>
          <w:sz w:val="24"/>
          <w:szCs w:val="24"/>
        </w:rPr>
        <w:t>本提言が提案する次世代型障害者雇用モデルもまた、いつか限界を迎える。それは制度の欠陥ではなく、社会が変化する以上、すべての制度が避けられない宿命である。問題は限界が来ることではなく、限界が来たときに「終わらせられるかどうか」である。</w:t>
      </w:r>
    </w:p>
    <w:p w14:paraId="40BBA02A" w14:textId="77777777" w:rsidR="00E41A65" w:rsidRPr="0004251E" w:rsidRDefault="00000000">
      <w:pPr>
        <w:spacing w:after="120" w:before="0" w:line="360" w:lineRule="auto"/>
        <w:rPr>
          <w:rFonts w:ascii="Meiryo UI" w:eastAsia="Meiryo UI" w:hAnsi="Meiryo UI" w:cs="Meiryo UI"/>
          <w:color w:val="000000" w:themeColor="text1"/>
          <w:sz w:val="24"/>
          <w:szCs w:val="24"/>
        </w:rPr>
      </w:pPr>
      <w:r w:rsidRPr="0004251E">
        <w:rPr>
          <w:rFonts w:ascii="Meiryo UI" w:eastAsia="Meiryo UI" w:hAnsi="Meiryo UI" w:cs="Meiryo UI"/>
          <w:color w:val="000000" w:themeColor="text1"/>
          <w:sz w:val="24"/>
          <w:szCs w:val="24"/>
        </w:rPr>
        <w:t>本章では以下の二つを設計する。</w:t>
      </w:r>
    </w:p>
    <w:p w14:paraId="78FC3B0E" w14:textId="77777777" w:rsidR="00E41A65" w:rsidRPr="0004251E" w:rsidRDefault="00000000">
      <w:pPr>
        <w:pStyle w:val="a4"/>
        <w:numPr>
          <w:ilvl w:val="0"/>
          <w:numId w:val="2"/>
        </w:numPr>
        <w:spacing w:after="60" w:before="60" w:line="360" w:lineRule="auto"/>
        <w:rPr>
          <w:rFonts w:ascii="Meiryo UI" w:eastAsia="Meiryo UI" w:hAnsi="Meiryo UI" w:cs="Meiryo UI"/>
          <w:color w:val="000000" w:themeColor="text1"/>
          <w:sz w:val="24"/>
          <w:szCs w:val="24"/>
        </w:rPr>
        <w:ind w:left="480" w:hanging="240"/>
      </w:pPr>
      <w:r w:rsidRPr="0004251E">
        <w:rPr>
          <w:rFonts w:ascii="Meiryo UI" w:eastAsia="Meiryo UI" w:hAnsi="Meiryo UI" w:cs="Meiryo UI"/>
          <w:color w:val="000000" w:themeColor="text1"/>
          <w:sz w:val="24"/>
          <w:szCs w:val="24"/>
        </w:rPr>
        <w:t>終わりのサイン（Exit Indicators）── どのような変化が起きたとき、この制度の限界を察知すべきか</w:t>
      </w:r>
    </w:p>
    <w:p w14:paraId="7F727314" w14:textId="77777777" w:rsidR="00E41A65" w:rsidRPr="0004251E" w:rsidRDefault="00000000">
      <w:pPr>
        <w:pStyle w:val="a4"/>
        <w:numPr>
          <w:ilvl w:val="0"/>
          <w:numId w:val="2"/>
        </w:numPr>
        <w:spacing w:after="60" w:before="60" w:line="360" w:lineRule="auto"/>
        <w:rPr>
          <w:rFonts w:ascii="Meiryo UI" w:eastAsia="Meiryo UI" w:hAnsi="Meiryo UI" w:cs="Meiryo UI"/>
          <w:color w:val="000000" w:themeColor="text1"/>
          <w:sz w:val="24"/>
          <w:szCs w:val="24"/>
        </w:rPr>
        <w:ind w:left="480" w:hanging="240"/>
      </w:pPr>
      <w:r w:rsidRPr="0004251E">
        <w:rPr>
          <w:rFonts w:ascii="Meiryo UI" w:eastAsia="Meiryo UI" w:hAnsi="Meiryo UI" w:cs="Meiryo UI"/>
          <w:color w:val="000000" w:themeColor="text1"/>
          <w:sz w:val="24"/>
          <w:szCs w:val="24"/>
        </w:rPr>
        <w:t>移行設計（Transition Design）── 限界を察知した後、次の制度へどのように移行するか</w:t>
      </w:r>
    </w:p>
    <w:p w14:paraId="64B5D527" w14:textId="77777777" w:rsidR="00E41A65" w:rsidRPr="0004251E" w:rsidRDefault="00000000">
      <w:pPr>
        <w:spacing w:after="120" w:before="0" w:line="360" w:lineRule="auto"/>
        <w:rPr>
          <w:rFonts w:ascii="Meiryo UI" w:eastAsia="Meiryo UI" w:hAnsi="Meiryo UI" w:cs="Meiryo UI"/>
          <w:color w:val="000000" w:themeColor="text1"/>
          <w:sz w:val="24"/>
          <w:szCs w:val="24"/>
        </w:rPr>
      </w:pPr>
      <w:r w:rsidRPr="0004251E">
        <w:rPr>
          <w:rFonts w:ascii="Meiryo UI" w:eastAsia="Meiryo UI" w:hAnsi="Meiryo UI" w:cs="Meiryo UI"/>
          <w:color w:val="000000" w:themeColor="text1"/>
          <w:sz w:val="24"/>
          <w:szCs w:val="24"/>
        </w:rPr>
        <w:t>これは制度の「廃止」を想定したものではない。制度が役割を果たし終えたとき、あるいは役割の前提が崩れたとき、次の形へと「深化」するための設計である。</w:t>
      </w:r>
    </w:p>
    <w:p w14:paraId="2EBF21FE" w14:textId="77777777" w:rsidR="00E41A65" w:rsidRPr="006E1B70" w:rsidRDefault="00E41A65">
      <w:pPr>
        <w:pBdr>
          <w:bottom w:val="single" w:sz="2" w:space="1" w:color="B8974A"/>
        </w:pBdr>
        <w:spacing w:before="0" w:after="120" w:line="360" w:lineRule="auto"/>
        <w:rPr>
          <w:rFonts w:ascii="Meiryo UI" w:eastAsia="Meiryo UI" w:hAnsi="Meiryo UI" w:cs="Meiryo UI"/>
        </w:rPr>
      </w:pPr>
    </w:p>
    <w:p w14:paraId="7587EB88" w14:textId="64E980F8" w:rsidR="00E41A65" w:rsidRPr="006E1B70" w:rsidRDefault="00000000">
      <w:pPr>
        <w:pStyle w:val="1"/>
        <w:pBdr>
          <w:bottom w:val="single" w:sz="3" w:space="6" w:color="B8974A"/>
        </w:pBdr>
        <w:rPr>
          <w:rFonts w:ascii="Meiryo UI" w:eastAsia="Meiryo UI" w:hAnsi="Meiryo UI" w:cs="Meiryo UI"/>
        </w:rPr>
        <w:spacing w:before="360" w:after="120" w:line="360" w:lineRule="auto"/>
      </w:pPr>
      <w:r w:rsidRPr="006E1B70">
        <w:rPr>
          <w:rFonts w:ascii="Meiryo UI" w:eastAsia="Meiryo UI" w:hAnsi="Meiryo UI" w:cs="Meiryo UI"/>
          <w:color w:val="1A1410"/>
        </w:rPr>
        <w:t>第1節　制度が終わ</w:t>
      </w:r>
      <w:r w:rsidR="006E1B70">
        <w:rPr>
          <w:rFonts w:ascii="Meiryo UI" w:eastAsia="Meiryo UI" w:hAnsi="Meiryo UI" w:cs="Meiryo UI"/>
          <w:color w:val="1A1410"/>
        </w:rPr>
        <w:t>らせる</w:t>
      </w:r>
      <w:r w:rsidRPr="006E1B70">
        <w:rPr>
          <w:rFonts w:ascii="Meiryo UI" w:eastAsia="Meiryo UI" w:hAnsi="Meiryo UI" w:cs="Meiryo UI"/>
          <w:color w:val="1A1410"/>
        </w:rPr>
        <w:t>べき4つのパターン</w:t>
      </w:r>
    </w:p>
    <w:p w14:paraId="7A63AD93" w14:textId="77777777" w:rsidR="00E41A65" w:rsidRPr="006E1B70" w:rsidRDefault="00000000">
      <w:pPr>
        <w:pStyle w:val="2"/>
        <w:rPr>
          <w:rFonts w:ascii="Meiryo UI" w:eastAsia="Meiryo UI" w:hAnsi="Meiryo UI" w:cs="Meiryo UI"/>
        </w:rPr>
        <w:spacing w:before="240" w:after="80" w:line="360" w:lineRule="auto"/>
      </w:pPr>
      <w:r w:rsidRPr="006E1B70">
        <w:rPr>
          <w:rFonts w:ascii="Meiryo UI" w:eastAsia="Meiryo UI" w:hAnsi="Meiryo UI" w:cs="Meiryo UI"/>
          <w:color w:val="1A1410"/>
        </w:rPr>
        <w:t>パターンA　成功による終焉　── 最も望ましい終わり方</w:t>
      </w:r>
    </w:p>
    <w:p w14:paraId="5D06D344" w14:textId="77777777" w:rsidR="00E41A65" w:rsidRPr="0004251E" w:rsidRDefault="00000000">
      <w:pPr>
        <w:spacing w:after="120" w:before="0" w:line="360" w:lineRule="auto"/>
        <w:rPr>
          <w:rFonts w:ascii="Meiryo UI" w:eastAsia="Meiryo UI" w:hAnsi="Meiryo UI" w:cs="Meiryo UI"/>
          <w:color w:val="000000" w:themeColor="text1"/>
          <w:sz w:val="24"/>
          <w:szCs w:val="24"/>
        </w:rPr>
      </w:pPr>
      <w:r w:rsidRPr="0004251E">
        <w:rPr>
          <w:rFonts w:ascii="Meiryo UI" w:eastAsia="Meiryo UI" w:hAnsi="Meiryo UI" w:cs="Meiryo UI"/>
          <w:color w:val="000000" w:themeColor="text1"/>
          <w:sz w:val="24"/>
          <w:szCs w:val="24"/>
        </w:rPr>
        <w:t>本制度が理想通りに機能し続けた先に、どのような社会が訪れるか。障害者が普通に働き、普通に生活し、その存在が「特別な配慮」を必要としない社会である。そのとき、「障害者雇用」という特別な枠組み自体が不要になる。</w:t>
      </w:r>
    </w:p>
    <w:p w14:paraId="69E3C313" w14:textId="77777777" w:rsidR="00E41A65" w:rsidRPr="0004251E" w:rsidRDefault="00000000">
      <w:pPr>
        <w:spacing w:after="120" w:before="0" w:line="360" w:lineRule="auto"/>
        <w:rPr>
          <w:rFonts w:ascii="Meiryo UI" w:eastAsia="Meiryo UI" w:hAnsi="Meiryo UI" w:cs="Meiryo UI"/>
          <w:color w:val="000000" w:themeColor="text1"/>
          <w:sz w:val="24"/>
          <w:szCs w:val="24"/>
        </w:rPr>
      </w:pPr>
      <w:r w:rsidRPr="0004251E">
        <w:rPr>
          <w:rFonts w:ascii="Meiryo UI" w:eastAsia="Meiryo UI" w:hAnsi="Meiryo UI" w:cs="Meiryo UI"/>
          <w:color w:val="000000" w:themeColor="text1"/>
          <w:sz w:val="24"/>
          <w:szCs w:val="24"/>
        </w:rPr>
        <w:t>これは制度の失敗ではなく、制度の完全な成功である。骨折した腕が完治したとき、ギプスを外すことは「ギプスへの裏切り」ではない。ギプスの目的が達成されたということである。</w:t>
      </w:r>
    </w:p>
    <w:p w14:paraId="61BF94E7" w14:textId="77777777" w:rsidR="00E41A65" w:rsidRPr="006E1B70" w:rsidRDefault="00000000">
      <w:pPr>
        <w:pBdr>
          <w:top w:val="single" w:sz="4" w:space="0" w:color="B8974A"/>
          <w:left w:val="single" w:sz="8" w:space="0" w:color="B8974A"/>
          <w:bottom w:val="single" w:sz="4" w:space="0" w:color="B8974A"/>
          <w:right w:val="single" w:sz="4" w:space="0" w:color="B8974A"/>
        </w:pBdr>
        <w:shd w:val="clear" w:color="auto" w:fill="1A1410"/>
        <w:spacing w:before="0" w:after="120" w:line="360" w:lineRule="auto"/>
        <w:rPr>
          <w:rFonts w:ascii="Meiryo UI" w:eastAsia="Meiryo UI" w:hAnsi="Meiryo UI" w:cs="Meiryo UI"/>
          <w:sz w:val="24"/>
          <w:szCs w:val="24"/>
        </w:rPr>
      </w:pPr>
      <w:r w:rsidRPr="006E1B70">
        <w:rPr>
          <w:rFonts w:ascii="Meiryo UI" w:eastAsia="Meiryo UI" w:hAnsi="Meiryo UI" w:cs="Meiryo UI"/>
          <w:b/>
          <w:bCs/>
          <w:color w:val="FFFFFF" w:themeColor="background1"/>
          <w:sz w:val="24"/>
          <w:szCs w:val="24"/>
        </w:rPr>
        <w:t xml:space="preserve">【終わりの形】　</w:t>
      </w:r>
      <w:r w:rsidRPr="006E1B70">
        <w:rPr>
          <w:rFonts w:ascii="Meiryo UI" w:eastAsia="Meiryo UI" w:hAnsi="Meiryo UI" w:cs="Meiryo UI"/>
          <w:color w:val="FFFFFF" w:themeColor="background1"/>
          <w:sz w:val="24"/>
          <w:szCs w:val="24"/>
        </w:rPr>
        <w:t>制度を「一般的な就労支援・社会参加支援」へと統合する。「障害者雇用」という独立した制度カテゴリを解消し、すべての人が必要に応じた支援を受けながら働く普遍的な社会参加モデルへ移行する。</w:t>
      </w:r>
    </w:p>
    <w:p w14:paraId="0DC05C6E" w14:textId="77777777" w:rsidR="00E41A65" w:rsidRPr="006E1B70" w:rsidRDefault="00000000">
      <w:pPr>
        <w:pStyle w:val="2"/>
        <w:rPr>
          <w:rFonts w:ascii="Meiryo UI" w:eastAsia="Meiryo UI" w:hAnsi="Meiryo UI" w:cs="Meiryo UI"/>
        </w:rPr>
        <w:spacing w:before="240" w:after="80" w:line="360" w:lineRule="auto"/>
      </w:pPr>
      <w:r w:rsidRPr="006E1B70">
        <w:rPr>
          <w:rFonts w:ascii="Meiryo UI" w:eastAsia="Meiryo UI" w:hAnsi="Meiryo UI" w:cs="Meiryo UI"/>
          <w:color w:val="1A1410"/>
        </w:rPr>
        <w:t>パターンB　技術変容による陳腐化　── 制度の成否に関わらず訪れる変化</w:t>
      </w:r>
    </w:p>
    <w:p w14:paraId="27A69AC4" w14:textId="77777777" w:rsidR="00E41A65" w:rsidRPr="006E1B70" w:rsidRDefault="00000000">
      <w:pPr>
        <w:pBdr>
          <w:top w:val="single" w:sz="4" w:space="0" w:color="B8974A"/>
          <w:left w:val="single" w:sz="8" w:space="0" w:color="B8974A"/>
          <w:bottom w:val="single" w:sz="4" w:space="0" w:color="B8974A"/>
          <w:right w:val="single" w:sz="4" w:space="0" w:color="B8974A"/>
        </w:pBdr>
        <w:shd w:val="clear" w:color="auto" w:fill="F0EBE3"/>
        <w:spacing w:before="0" w:after="120" w:line="360" w:lineRule="auto"/>
        <w:rPr>
          <w:rFonts w:ascii="Meiryo UI" w:eastAsia="Meiryo UI" w:hAnsi="Meiryo UI" w:cs="Meiryo UI"/>
          <w:sz w:val="24"/>
          <w:szCs w:val="24"/>
        </w:rPr>
      </w:pPr>
      <w:r w:rsidRPr="006E1B70">
        <w:rPr>
          <w:rFonts w:ascii="Meiryo UI" w:eastAsia="Meiryo UI" w:hAnsi="Meiryo UI" w:cs="Meiryo UI"/>
          <w:b/>
          <w:bCs/>
          <w:color w:val="B8974A"/>
          <w:sz w:val="24"/>
          <w:szCs w:val="24"/>
        </w:rPr>
        <w:t xml:space="preserve">【費用対効果批判への回答】　</w:t>
      </w:r>
      <w:r w:rsidRPr="006E1B70">
        <w:rPr>
          <w:rFonts w:ascii="Meiryo UI" w:eastAsia="Meiryo UI" w:hAnsi="Meiryo UI" w:cs="Meiryo UI"/>
          <w:color w:val="3A3028"/>
          <w:sz w:val="24"/>
          <w:szCs w:val="24"/>
        </w:rPr>
        <w:t>「技術変容によって制度の前提が崩れるなら、費用対効果が低すぎる」という批判は、比較対象を間違えている。現行制度を維持した場合の不作為コストは毎年2.6〜3.2兆円。仮に本制度が15〜20年で見直しを迎えるとしても、その間に解消される不作為コストの総額は40〜64兆円に上る。本制度の費用の大半は既存予算の組み替えであり、純粋な追加コストは限定的である。費用対効果が低いのは本制度ではなく、何もしないことの方である。</w:t>
      </w:r>
    </w:p>
    <w:p w14:paraId="3D8C0A86" w14:textId="77777777" w:rsidR="00E41A65" w:rsidRPr="006E1B70" w:rsidRDefault="00E41A65">
      <w:pPr>
        <w:spacing w:after="120" w:before="0" w:line="360" w:lineRule="auto"/>
        <w:rPr>
          <w:rFonts w:ascii="Meiryo UI" w:eastAsia="Meiryo UI" w:hAnsi="Meiryo UI" w:cs="Meiryo UI"/>
        </w:rPr>
      </w:pPr>
    </w:p>
    <w:p w14:paraId="407C8ECC" w14:textId="77777777" w:rsidR="00E41A65" w:rsidRPr="0004251E" w:rsidRDefault="00000000">
      <w:pPr>
        <w:spacing w:after="120" w:before="0" w:line="360" w:lineRule="auto"/>
        <w:rPr>
          <w:rFonts w:ascii="Meiryo UI" w:eastAsia="Meiryo UI" w:hAnsi="Meiryo UI" w:cs="Meiryo UI"/>
          <w:color w:val="000000" w:themeColor="text1"/>
          <w:sz w:val="24"/>
          <w:szCs w:val="24"/>
        </w:rPr>
      </w:pPr>
      <w:r w:rsidRPr="0004251E">
        <w:rPr>
          <w:rFonts w:ascii="Meiryo UI" w:eastAsia="Meiryo UI" w:hAnsi="Meiryo UI" w:cs="Meiryo UI"/>
          <w:color w:val="000000" w:themeColor="text1"/>
          <w:sz w:val="24"/>
          <w:szCs w:val="24"/>
        </w:rPr>
        <w:t>本制度の根幹は「人手不足で放置されている公共業務を、障害者がタスクベースで担う」という設計にある。AIと自動化の進展がこの前提を変化させる可能性がある。公園巡回はドローンが担い、安否確認はセンサーとAIが担い、データ入力はRPAが担う——そのような社会では、本制度が「切り出してきたタスク」の一部が機械に代替される。</w:t>
      </w:r>
    </w:p>
    <w:p w14:paraId="057EF2F7" w14:textId="77777777" w:rsidR="00E41A65" w:rsidRPr="0004251E" w:rsidRDefault="00000000">
      <w:pPr>
        <w:spacing w:after="120" w:before="0" w:line="360" w:lineRule="auto"/>
        <w:rPr>
          <w:rFonts w:ascii="Meiryo UI" w:eastAsia="Meiryo UI" w:hAnsi="Meiryo UI" w:cs="Meiryo UI"/>
          <w:color w:val="000000" w:themeColor="text1"/>
          <w:sz w:val="24"/>
          <w:szCs w:val="24"/>
        </w:rPr>
      </w:pPr>
      <w:r w:rsidRPr="0004251E">
        <w:rPr>
          <w:rFonts w:ascii="Meiryo UI" w:eastAsia="Meiryo UI" w:hAnsi="Meiryo UI" w:cs="Meiryo UI"/>
          <w:color w:val="000000" w:themeColor="text1"/>
          <w:sz w:val="24"/>
          <w:szCs w:val="24"/>
        </w:rPr>
        <w:t>これは制度の欠陥ではなく、社会の進歩である。しかしそれに気づかず、「タスクを人工的に創出して障害者に割り当て続ける」という現行制度と同じ轍を踏むことは許されない。本制度が「高速道路」であるとすれば、技術変容は「交通手段そのものの変化」である。橋が不要になったとき、橋を守ることではなく、新しい移動手段に合わせた設計への移行こそが求められる。</w:t>
      </w:r>
    </w:p>
    <w:p w14:paraId="723BB2D0" w14:textId="77777777" w:rsidR="00E41A65" w:rsidRPr="006E1B70" w:rsidRDefault="00000000">
      <w:pPr>
        <w:pBdr>
          <w:top w:val="single" w:sz="4" w:space="0" w:color="B8974A"/>
          <w:left w:val="single" w:sz="8" w:space="0" w:color="B8974A"/>
          <w:bottom w:val="single" w:sz="4" w:space="0" w:color="B8974A"/>
          <w:right w:val="single" w:sz="4" w:space="0" w:color="B8974A"/>
        </w:pBdr>
        <w:shd w:val="clear" w:color="auto" w:fill="1A1410"/>
        <w:spacing w:before="0" w:after="120" w:line="360" w:lineRule="auto"/>
        <w:rPr>
          <w:rFonts w:ascii="Meiryo UI" w:eastAsia="Meiryo UI" w:hAnsi="Meiryo UI" w:cs="Meiryo UI"/>
          <w:color w:val="FFFFFF" w:themeColor="background1"/>
          <w:sz w:val="24"/>
          <w:szCs w:val="24"/>
        </w:rPr>
      </w:pPr>
      <w:r w:rsidRPr="006E1B70">
        <w:rPr>
          <w:rFonts w:ascii="Meiryo UI" w:eastAsia="Meiryo UI" w:hAnsi="Meiryo UI" w:cs="Meiryo UI"/>
          <w:b/>
          <w:bCs/>
          <w:color w:val="FFFFFF" w:themeColor="background1"/>
          <w:sz w:val="24"/>
          <w:szCs w:val="24"/>
        </w:rPr>
        <w:t xml:space="preserve">【終わりの形】　</w:t>
      </w:r>
      <w:r w:rsidRPr="006E1B70">
        <w:rPr>
          <w:rFonts w:ascii="Meiryo UI" w:eastAsia="Meiryo UI" w:hAnsi="Meiryo UI" w:cs="Meiryo UI"/>
          <w:color w:val="FFFFFF" w:themeColor="background1"/>
          <w:sz w:val="24"/>
          <w:szCs w:val="24"/>
        </w:rPr>
        <w:t>タスク型就労への依存を減らし、「所得保障の一層の強化」と「社会参加の意味の再定義」へ軸を移す。就労の意義を「経済的自立」から「社会との接点・役割の確保」へと再設定する。</w:t>
      </w:r>
    </w:p>
    <w:p w14:paraId="7747C188" w14:textId="77777777" w:rsidR="00E41A65" w:rsidRPr="006E1B70" w:rsidRDefault="00000000">
      <w:pPr>
        <w:pStyle w:val="2"/>
        <w:rPr>
          <w:rFonts w:ascii="Meiryo UI" w:eastAsia="Meiryo UI" w:hAnsi="Meiryo UI" w:cs="Meiryo UI"/>
        </w:rPr>
        <w:spacing w:before="240" w:after="80" w:line="360" w:lineRule="auto"/>
      </w:pPr>
      <w:r w:rsidRPr="006E1B70">
        <w:rPr>
          <w:rFonts w:ascii="Meiryo UI" w:eastAsia="Meiryo UI" w:hAnsi="Meiryo UI" w:cs="Meiryo UI"/>
          <w:color w:val="1A1410"/>
        </w:rPr>
        <w:t>パターンC　社会構造変化による概念の溶解　── 「障害者」という区分が意味を失う</w:t>
      </w:r>
    </w:p>
    <w:p w14:paraId="16D874DF" w14:textId="77777777" w:rsidR="00E41A65" w:rsidRPr="0004251E" w:rsidRDefault="00000000">
      <w:pPr>
        <w:spacing w:after="120" w:before="0" w:line="360" w:lineRule="auto"/>
        <w:rPr>
          <w:rFonts w:ascii="Meiryo UI" w:eastAsia="Meiryo UI" w:hAnsi="Meiryo UI" w:cs="Meiryo UI"/>
          <w:color w:val="000000" w:themeColor="text1"/>
          <w:sz w:val="24"/>
          <w:szCs w:val="24"/>
        </w:rPr>
      </w:pPr>
      <w:r w:rsidRPr="0004251E">
        <w:rPr>
          <w:rFonts w:ascii="Meiryo UI" w:eastAsia="Meiryo UI" w:hAnsi="Meiryo UI" w:cs="Meiryo UI"/>
          <w:color w:val="000000" w:themeColor="text1"/>
          <w:sz w:val="24"/>
          <w:szCs w:val="24"/>
        </w:rPr>
        <w:t>現在の制度は「障害者」と「健常者」という区分を前提としている。しかし社会の変化はこの区分を徐々に溶かしつつある。発達障害の認知が広がり、グレーゾーンの人々が増え、精神的な困難を抱える人が増加し、高齢化により「障害」に近い状態にある人が急増する。「健常者」という概念が多数派でなくなるとき、「障害者のための特別制度」という発想自体が時代遅れになる。</w:t>
      </w:r>
    </w:p>
    <w:p w14:paraId="0908493C" w14:textId="77777777" w:rsidR="00E41A65" w:rsidRPr="006E1B70" w:rsidRDefault="00000000">
      <w:pPr>
        <w:pBdr>
          <w:top w:val="single" w:sz="4" w:space="0" w:color="B8974A"/>
          <w:left w:val="single" w:sz="8" w:space="0" w:color="B8974A"/>
          <w:bottom w:val="single" w:sz="4" w:space="0" w:color="B8974A"/>
          <w:right w:val="single" w:sz="4" w:space="0" w:color="B8974A"/>
        </w:pBdr>
        <w:shd w:val="clear" w:color="auto" w:fill="1A1410"/>
        <w:spacing w:before="0" w:after="120" w:line="360" w:lineRule="auto"/>
        <w:rPr>
          <w:rFonts w:ascii="Meiryo UI" w:eastAsia="Meiryo UI" w:hAnsi="Meiryo UI" w:cs="Meiryo UI"/>
          <w:color w:val="FFFFFF" w:themeColor="background1"/>
          <w:sz w:val="24"/>
          <w:szCs w:val="24"/>
        </w:rPr>
      </w:pPr>
      <w:r w:rsidRPr="006E1B70">
        <w:rPr>
          <w:rFonts w:ascii="Meiryo UI" w:eastAsia="Meiryo UI" w:hAnsi="Meiryo UI" w:cs="Meiryo UI"/>
          <w:b/>
          <w:bCs/>
          <w:color w:val="FFFFFF" w:themeColor="background1"/>
          <w:sz w:val="24"/>
          <w:szCs w:val="24"/>
        </w:rPr>
        <w:t xml:space="preserve">【終わりの形】　</w:t>
      </w:r>
      <w:r w:rsidRPr="006E1B70">
        <w:rPr>
          <w:rFonts w:ascii="Meiryo UI" w:eastAsia="Meiryo UI" w:hAnsi="Meiryo UI" w:cs="Meiryo UI"/>
          <w:color w:val="FFFFFF" w:themeColor="background1"/>
          <w:sz w:val="24"/>
          <w:szCs w:val="24"/>
        </w:rPr>
        <w:t>「障害者雇用」という枠組みを「多様な特性を持つすべての人が参加できる就労・社会参加の設計」へと普遍化する。SCPポイント制度は「障害者との接点」を評価するものから「多様性への配慮全般」を評価する制度へと発展させる。</w:t>
      </w:r>
    </w:p>
    <w:p w14:paraId="1DEE3B72" w14:textId="77777777" w:rsidR="00E41A65" w:rsidRPr="006E1B70" w:rsidRDefault="00000000">
      <w:pPr>
        <w:pStyle w:val="2"/>
        <w:rPr>
          <w:rFonts w:ascii="Meiryo UI" w:eastAsia="Meiryo UI" w:hAnsi="Meiryo UI" w:cs="Meiryo UI"/>
        </w:rPr>
        <w:spacing w:before="240" w:after="80" w:line="360" w:lineRule="auto"/>
      </w:pPr>
      <w:r w:rsidRPr="006E1B70">
        <w:rPr>
          <w:rFonts w:ascii="Meiryo UI" w:eastAsia="Meiryo UI" w:hAnsi="Meiryo UI" w:cs="Meiryo UI"/>
          <w:color w:val="1A1410"/>
        </w:rPr>
        <w:t>パターンD　制度の硬直化　── 本制度が「新しい既得権」になるとき</w:t>
      </w:r>
    </w:p>
    <w:p w14:paraId="576B442D" w14:textId="77777777" w:rsidR="00E41A65" w:rsidRPr="006E1B70" w:rsidRDefault="00000000">
      <w:pPr>
        <w:pBdr>
          <w:top w:val="single" w:sz="4" w:space="0" w:color="8B2635"/>
          <w:left w:val="single" w:sz="12" w:space="0" w:color="5A0A15"/>
          <w:bottom w:val="single" w:sz="4" w:space="0" w:color="8B2635"/>
          <w:right w:val="single" w:sz="4" w:space="0" w:color="8B2635"/>
        </w:pBdr>
        <w:shd w:val="clear" w:color="auto" w:fill="8B2635"/>
        <w:spacing w:before="0" w:after="120" w:line="360" w:lineRule="auto"/>
        <w:rPr>
          <w:rFonts w:ascii="Meiryo UI" w:eastAsia="Meiryo UI" w:hAnsi="Meiryo UI" w:cs="Meiryo UI"/>
          <w:sz w:val="24"/>
          <w:szCs w:val="24"/>
        </w:rPr>
      </w:pPr>
      <w:r w:rsidRPr="006E1B70">
        <w:rPr>
          <w:rFonts w:ascii="Meiryo UI" w:eastAsia="Meiryo UI" w:hAnsi="Meiryo UI" w:cs="Meiryo UI"/>
          <w:b/>
          <w:bCs/>
          <w:color w:val="F8F5F0"/>
          <w:sz w:val="24"/>
          <w:szCs w:val="24"/>
        </w:rPr>
        <w:t>本制度は、既得権益の形成を察知した時点で終わらせる。</w:t>
      </w:r>
    </w:p>
    <w:p w14:paraId="4923624A" w14:textId="77777777" w:rsidR="00E41A65" w:rsidRPr="006E1B70" w:rsidRDefault="00E41A65">
      <w:pPr>
        <w:spacing w:after="120" w:before="0" w:line="360" w:lineRule="auto"/>
        <w:rPr>
          <w:rFonts w:ascii="Meiryo UI" w:eastAsia="Meiryo UI" w:hAnsi="Meiryo UI" w:cs="Meiryo UI"/>
        </w:rPr>
      </w:pPr>
    </w:p>
    <w:p w14:paraId="6D7E98F5" w14:textId="77777777" w:rsidR="00E41A65" w:rsidRPr="0004251E" w:rsidRDefault="00000000">
      <w:pPr>
        <w:spacing w:after="120" w:before="0" w:line="360" w:lineRule="auto"/>
        <w:rPr>
          <w:rFonts w:ascii="Meiryo UI" w:eastAsia="Meiryo UI" w:hAnsi="Meiryo UI" w:cs="Meiryo UI"/>
          <w:color w:val="000000" w:themeColor="text1"/>
          <w:sz w:val="24"/>
          <w:szCs w:val="24"/>
        </w:rPr>
      </w:pPr>
      <w:r w:rsidRPr="0004251E">
        <w:rPr>
          <w:rFonts w:ascii="Meiryo UI" w:eastAsia="Meiryo UI" w:hAnsi="Meiryo UI" w:cs="Meiryo UI"/>
          <w:color w:val="000000" w:themeColor="text1"/>
          <w:sz w:val="24"/>
          <w:szCs w:val="24"/>
        </w:rPr>
        <w:t>本制度に関わるすべての者は、この条件をあらかじめ知った上で参加している。「知らなかった」は通用しない。</w:t>
      </w:r>
    </w:p>
    <w:p w14:paraId="2CBED44F" w14:textId="77777777" w:rsidR="00E41A65" w:rsidRPr="0004251E" w:rsidRDefault="00E41A65">
      <w:pPr>
        <w:spacing w:after="120" w:before="0" w:line="360" w:lineRule="auto"/>
        <w:rPr>
          <w:rFonts w:ascii="Meiryo UI" w:eastAsia="Meiryo UI" w:hAnsi="Meiryo UI" w:cs="Meiryo UI"/>
          <w:color w:val="000000" w:themeColor="text1"/>
          <w:sz w:val="24"/>
          <w:szCs w:val="24"/>
        </w:rPr>
      </w:pPr>
    </w:p>
    <w:p w14:paraId="2FE3A45B" w14:textId="77777777" w:rsidR="00E41A65" w:rsidRPr="0004251E" w:rsidRDefault="00000000">
      <w:pPr>
        <w:spacing w:after="120" w:before="0" w:line="360" w:lineRule="auto"/>
        <w:rPr>
          <w:rFonts w:ascii="Meiryo UI" w:eastAsia="Meiryo UI" w:hAnsi="Meiryo UI" w:cs="Meiryo UI"/>
          <w:color w:val="000000" w:themeColor="text1"/>
          <w:sz w:val="24"/>
          <w:szCs w:val="24"/>
        </w:rPr>
      </w:pPr>
      <w:r w:rsidRPr="0004251E">
        <w:rPr>
          <w:rFonts w:ascii="Meiryo UI" w:eastAsia="Meiryo UI" w:hAnsi="Meiryo UI" w:cs="Meiryo UI"/>
          <w:color w:val="000000" w:themeColor="text1"/>
          <w:sz w:val="24"/>
          <w:szCs w:val="24"/>
        </w:rPr>
        <w:t>推進局・SCPコーディネーター・関連事業者が「制度の自己保存」を当事者の自立より優先し始めた瞬間、それは本制度が解消しようとした現行制度の構造的疲弊の再生産にほかならない。具体的には以下のような兆候として現れる。</w:t>
      </w:r>
    </w:p>
    <w:p w14:paraId="4B24FFBD" w14:textId="77777777" w:rsidR="00E41A65" w:rsidRPr="0004251E" w:rsidRDefault="00000000">
      <w:pPr>
        <w:pStyle w:val="a4"/>
        <w:numPr>
          <w:ilvl w:val="0"/>
          <w:numId w:val="2"/>
        </w:numPr>
        <w:spacing w:after="60" w:before="60" w:line="360" w:lineRule="auto"/>
        <w:rPr>
          <w:rFonts w:ascii="Meiryo UI" w:eastAsia="Meiryo UI" w:hAnsi="Meiryo UI" w:cs="Meiryo UI"/>
          <w:color w:val="000000" w:themeColor="text1"/>
          <w:sz w:val="24"/>
          <w:szCs w:val="24"/>
        </w:rPr>
        <w:ind w:left="480" w:hanging="240"/>
      </w:pPr>
      <w:r w:rsidRPr="0004251E">
        <w:rPr>
          <w:rFonts w:ascii="Meiryo UI" w:eastAsia="Meiryo UI" w:hAnsi="Meiryo UI" w:cs="Meiryo UI"/>
          <w:color w:val="000000" w:themeColor="text1"/>
          <w:sz w:val="24"/>
          <w:szCs w:val="24"/>
        </w:rPr>
        <w:t>準公務職員制度が実質的な「新しいB型事業所」になる</w:t>
      </w:r>
    </w:p>
    <w:p w14:paraId="6573D6D7" w14:textId="77777777" w:rsidR="00E41A65" w:rsidRPr="0004251E" w:rsidRDefault="00000000">
      <w:pPr>
        <w:pStyle w:val="a4"/>
        <w:numPr>
          <w:ilvl w:val="0"/>
          <w:numId w:val="2"/>
        </w:numPr>
        <w:spacing w:after="60" w:before="60" w:line="360" w:lineRule="auto"/>
        <w:rPr>
          <w:rFonts w:ascii="Meiryo UI" w:eastAsia="Meiryo UI" w:hAnsi="Meiryo UI" w:cs="Meiryo UI"/>
          <w:color w:val="000000" w:themeColor="text1"/>
          <w:sz w:val="24"/>
          <w:szCs w:val="24"/>
        </w:rPr>
        <w:ind w:left="480" w:hanging="240"/>
      </w:pPr>
      <w:r w:rsidRPr="0004251E">
        <w:rPr>
          <w:rFonts w:ascii="Meiryo UI" w:eastAsia="Meiryo UI" w:hAnsi="Meiryo UI" w:cs="Meiryo UI"/>
          <w:color w:val="000000" w:themeColor="text1"/>
          <w:sz w:val="24"/>
          <w:szCs w:val="24"/>
        </w:rPr>
        <w:t>タスクの実態よりも「ポイントの数字」を重視する形式主義が蔓延する</w:t>
      </w:r>
    </w:p>
    <w:p w14:paraId="2805E680" w14:textId="77777777" w:rsidR="00E41A65" w:rsidRPr="0004251E" w:rsidRDefault="00000000">
      <w:pPr>
        <w:pStyle w:val="a4"/>
        <w:numPr>
          <w:ilvl w:val="0"/>
          <w:numId w:val="2"/>
        </w:numPr>
        <w:spacing w:after="60" w:before="60" w:line="360" w:lineRule="auto"/>
        <w:rPr>
          <w:rFonts w:ascii="Meiryo UI" w:eastAsia="Meiryo UI" w:hAnsi="Meiryo UI" w:cs="Meiryo UI"/>
          <w:color w:val="000000" w:themeColor="text1"/>
          <w:sz w:val="24"/>
          <w:szCs w:val="24"/>
        </w:rPr>
        <w:ind w:left="480" w:hanging="240"/>
      </w:pPr>
      <w:r w:rsidRPr="0004251E">
        <w:rPr>
          <w:rFonts w:ascii="Meiryo UI" w:eastAsia="Meiryo UI" w:hAnsi="Meiryo UI" w:cs="Meiryo UI"/>
          <w:color w:val="000000" w:themeColor="text1"/>
          <w:sz w:val="24"/>
          <w:szCs w:val="24"/>
        </w:rPr>
        <w:t>推進局が既得権益の守り手となり、外部からの改善提案を組織的に阻む</w:t>
      </w:r>
    </w:p>
    <w:p w14:paraId="056881AA" w14:textId="77777777" w:rsidR="00E41A65" w:rsidRPr="0004251E" w:rsidRDefault="00000000">
      <w:pPr>
        <w:pStyle w:val="a4"/>
        <w:numPr>
          <w:ilvl w:val="0"/>
          <w:numId w:val="2"/>
        </w:numPr>
        <w:spacing w:after="60" w:before="60" w:line="360" w:lineRule="auto"/>
        <w:rPr>
          <w:rFonts w:ascii="Meiryo UI" w:eastAsia="Meiryo UI" w:hAnsi="Meiryo UI" w:cs="Meiryo UI"/>
          <w:color w:val="000000" w:themeColor="text1"/>
          <w:sz w:val="24"/>
          <w:szCs w:val="24"/>
        </w:rPr>
        <w:ind w:left="480" w:hanging="240"/>
      </w:pPr>
      <w:r w:rsidRPr="0004251E">
        <w:rPr>
          <w:rFonts w:ascii="Meiryo UI" w:eastAsia="Meiryo UI" w:hAnsi="Meiryo UI" w:cs="Meiryo UI"/>
          <w:color w:val="000000" w:themeColor="text1"/>
          <w:sz w:val="24"/>
          <w:szCs w:val="24"/>
        </w:rPr>
        <w:t>SCPコーディネーターが当事者より組織の論理を優先する</w:t>
      </w:r>
    </w:p>
    <w:p w14:paraId="1542FCF9" w14:textId="77777777" w:rsidR="00E41A65" w:rsidRPr="0004251E" w:rsidRDefault="00000000">
      <w:pPr>
        <w:pStyle w:val="a4"/>
        <w:numPr>
          <w:ilvl w:val="0"/>
          <w:numId w:val="2"/>
        </w:numPr>
        <w:spacing w:after="60" w:before="60" w:line="360" w:lineRule="auto"/>
        <w:rPr>
          <w:rFonts w:ascii="Meiryo UI" w:eastAsia="Meiryo UI" w:hAnsi="Meiryo UI" w:cs="Meiryo UI"/>
          <w:color w:val="000000" w:themeColor="text1"/>
          <w:sz w:val="24"/>
          <w:szCs w:val="24"/>
        </w:rPr>
        <w:ind w:left="480" w:hanging="240"/>
      </w:pPr>
      <w:r w:rsidRPr="0004251E">
        <w:rPr>
          <w:rFonts w:ascii="Meiryo UI" w:eastAsia="Meiryo UI" w:hAnsi="Meiryo UI" w:cs="Meiryo UI"/>
          <w:color w:val="000000" w:themeColor="text1"/>
          <w:sz w:val="24"/>
          <w:szCs w:val="24"/>
        </w:rPr>
        <w:t>関連団体が「制度の廃止・縮小＝悪」という言説を広め、正当な見直し議論を封じる</w:t>
      </w:r>
    </w:p>
    <w:p w14:paraId="45EFA85C" w14:textId="77777777" w:rsidR="00E41A65" w:rsidRPr="0004251E" w:rsidRDefault="00E41A65">
      <w:pPr>
        <w:spacing w:after="120" w:before="0" w:line="360" w:lineRule="auto"/>
        <w:rPr>
          <w:rFonts w:ascii="Meiryo UI" w:eastAsia="Meiryo UI" w:hAnsi="Meiryo UI" w:cs="Meiryo UI"/>
          <w:color w:val="000000" w:themeColor="text1"/>
          <w:sz w:val="24"/>
          <w:szCs w:val="24"/>
        </w:rPr>
      </w:pPr>
    </w:p>
    <w:p w14:paraId="161AAB57" w14:textId="77777777" w:rsidR="00E41A65" w:rsidRPr="0004251E" w:rsidRDefault="00000000">
      <w:pPr>
        <w:spacing w:after="120" w:before="0" w:line="360" w:lineRule="auto"/>
        <w:rPr>
          <w:rFonts w:ascii="Meiryo UI" w:eastAsia="Meiryo UI" w:hAnsi="Meiryo UI" w:cs="Meiryo UI"/>
          <w:color w:val="000000" w:themeColor="text1"/>
          <w:sz w:val="24"/>
          <w:szCs w:val="24"/>
        </w:rPr>
      </w:pPr>
      <w:r w:rsidRPr="0004251E">
        <w:rPr>
          <w:rFonts w:ascii="Meiryo UI" w:eastAsia="Meiryo UI" w:hAnsi="Meiryo UI" w:cs="Meiryo UI"/>
          <w:color w:val="000000" w:themeColor="text1"/>
          <w:sz w:val="24"/>
          <w:szCs w:val="24"/>
        </w:rPr>
        <w:t>これらの兆候は第2節の指標として定量的に測定される。数字が示すとき、日没条項は発動される。数字が示す前であっても、質的な兆候が複数重なれば独立評価委員会は調査を開始できる。</w:t>
      </w:r>
    </w:p>
    <w:p w14:paraId="182BDAE3" w14:textId="77777777" w:rsidR="00E41A65" w:rsidRPr="008E297B" w:rsidRDefault="00000000">
      <w:pPr>
        <w:pBdr>
          <w:top w:val="single" w:sz="4" w:space="0" w:color="B8974A"/>
          <w:left w:val="single" w:sz="8" w:space="0" w:color="B8974A"/>
          <w:bottom w:val="single" w:sz="4" w:space="0" w:color="B8974A"/>
          <w:right w:val="single" w:sz="4" w:space="0" w:color="B8974A"/>
        </w:pBdr>
        <w:shd w:val="clear" w:color="auto" w:fill="1A1410"/>
        <w:spacing w:before="0" w:after="120" w:line="360" w:lineRule="auto"/>
        <w:rPr>
          <w:rFonts w:ascii="Meiryo UI" w:eastAsia="Meiryo UI" w:hAnsi="Meiryo UI" w:cs="Meiryo UI"/>
          <w:color w:val="FFFFFF" w:themeColor="background1"/>
          <w:sz w:val="24"/>
          <w:szCs w:val="24"/>
        </w:rPr>
      </w:pPr>
      <w:r w:rsidRPr="008E297B">
        <w:rPr>
          <w:rFonts w:ascii="Meiryo UI" w:eastAsia="Meiryo UI" w:hAnsi="Meiryo UI" w:cs="Meiryo UI"/>
          <w:b/>
          <w:bCs/>
          <w:color w:val="FFFFFF" w:themeColor="background1"/>
          <w:sz w:val="24"/>
          <w:szCs w:val="24"/>
        </w:rPr>
        <w:t xml:space="preserve">【終わりの形】　</w:t>
      </w:r>
      <w:r w:rsidRPr="008E297B">
        <w:rPr>
          <w:rFonts w:ascii="Meiryo UI" w:eastAsia="Meiryo UI" w:hAnsi="Meiryo UI" w:cs="Meiryo UI"/>
          <w:color w:val="FFFFFF" w:themeColor="background1"/>
          <w:sz w:val="24"/>
          <w:szCs w:val="24"/>
        </w:rPr>
        <w:t>「制度の硬直化」を早期に検知し、段階的な縮小・再設計を強制的に発動する。これを「日没条項（Sunset Clause）」として法制化する。制度に関わる者の誠実さに期待するのではなく、誠実でなければ終わる構造を設計する。</w:t>
      </w:r>
    </w:p>
    <w:p w14:paraId="6578E55E" w14:textId="77777777" w:rsidR="00E41A65" w:rsidRPr="006E1B70" w:rsidRDefault="00E41A65">
      <w:pPr>
        <w:pBdr>
          <w:bottom w:val="single" w:sz="2" w:space="1" w:color="B8974A"/>
        </w:pBdr>
        <w:spacing w:before="0" w:after="120" w:line="360" w:lineRule="auto"/>
        <w:rPr>
          <w:rFonts w:ascii="Meiryo UI" w:eastAsia="Meiryo UI" w:hAnsi="Meiryo UI" w:cs="Meiryo UI"/>
        </w:rPr>
      </w:pPr>
    </w:p>
    <w:p w14:paraId="6A043C1C" w14:textId="77777777" w:rsidR="00E41A65" w:rsidRPr="006E1B70" w:rsidRDefault="00000000">
      <w:pPr>
        <w:pStyle w:val="1"/>
        <w:pBdr>
          <w:bottom w:val="single" w:sz="3" w:space="6" w:color="B8974A"/>
        </w:pBdr>
        <w:rPr>
          <w:rFonts w:ascii="Meiryo UI" w:eastAsia="Meiryo UI" w:hAnsi="Meiryo UI" w:cs="Meiryo UI"/>
        </w:rPr>
        <w:spacing w:before="360" w:after="120" w:line="360" w:lineRule="auto"/>
      </w:pPr>
      <w:r w:rsidRPr="006E1B70">
        <w:rPr>
          <w:rFonts w:ascii="Meiryo UI" w:eastAsia="Meiryo UI" w:hAnsi="Meiryo UI" w:cs="Meiryo UI"/>
          <w:color w:val="1A1410"/>
        </w:rPr>
        <w:t>第2節　終わりのサイン（Exit Indicators）── 17の早期警戒指標</w:t>
      </w:r>
    </w:p>
    <w:p w14:paraId="3F82ECC4" w14:textId="77777777" w:rsidR="00E41A65" w:rsidRPr="0004251E" w:rsidRDefault="00000000">
      <w:pPr>
        <w:spacing w:after="120" w:before="0" w:line="360" w:lineRule="auto"/>
        <w:rPr>
          <w:rFonts w:ascii="Meiryo UI" w:eastAsia="Meiryo UI" w:hAnsi="Meiryo UI" w:cs="Meiryo UI"/>
          <w:color w:val="000000" w:themeColor="text1"/>
          <w:sz w:val="24"/>
          <w:szCs w:val="24"/>
        </w:rPr>
      </w:pPr>
      <w:r w:rsidRPr="0004251E">
        <w:rPr>
          <w:rFonts w:ascii="Meiryo UI" w:eastAsia="Meiryo UI" w:hAnsi="Meiryo UI" w:cs="Meiryo UI"/>
          <w:color w:val="000000" w:themeColor="text1"/>
          <w:sz w:val="24"/>
          <w:szCs w:val="24"/>
        </w:rPr>
        <w:t>制度の限界は突然訪れるのではなく、必ず予兆がある。以下の指標を定期的にモニタリングし、同一グループから3つ以上が閾値を超えた状態が2年以上継続したとき、制度の根本的な見直しを発動する。</w:t>
      </w:r>
    </w:p>
    <w:p w14:paraId="1CC1F8F1" w14:textId="77777777" w:rsidR="00E41A65" w:rsidRPr="006E1B70" w:rsidRDefault="00000000">
      <w:pPr>
        <w:pStyle w:val="2"/>
        <w:rPr>
          <w:rFonts w:ascii="Meiryo UI" w:eastAsia="Meiryo UI" w:hAnsi="Meiryo UI" w:cs="Meiryo UI"/>
        </w:rPr>
        <w:spacing w:before="240" w:after="80" w:line="360" w:lineRule="auto"/>
      </w:pPr>
      <w:r w:rsidRPr="006E1B70">
        <w:rPr>
          <w:rFonts w:ascii="Meiryo UI" w:eastAsia="Meiryo UI" w:hAnsi="Meiryo UI" w:cs="Meiryo UI"/>
          <w:color w:val="1A1410"/>
        </w:rPr>
        <w:t>グループ①　成功の指標（パターンA）</w:t>
      </w:r>
    </w:p>
    <w:tbl>
      <w:tblPr>
        <w:tblW w:w="92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600"/>
        <w:gridCol w:w="3000"/>
      </w:tblGrid>
      <w:tr w:rsidR="00E41A65" w:rsidRPr="008E297B" w14:paraId="2BD088DE" w14:textId="77777777">
        <w:tblPrEx>
          <w:tblCellMar>
            <w:top w:w="0" w:type="dxa"/>
            <w:bottom w:w="0" w:type="dxa"/>
          </w:tblCellMar>
        </w:tblPrEx>
        <w:trPr>
          <w:tblHeader/>
        </w:trPr>
        <w:tc>
          <w:tcPr>
            <w:tcW w:w="2600" w:type="dxa"/>
            <w:tcBorders>
              <w:top w:val="single" w:sz="1" w:space="0" w:color="D4C9BC"/>
              <w:left w:val="single" w:sz="1" w:space="0" w:color="D4C9BC"/>
              <w:bottom w:val="single" w:sz="1" w:space="0" w:color="D4C9BC"/>
              <w:right w:val="single" w:sz="1" w:space="0" w:color="D4C9BC"/>
            </w:tcBorders>
            <w:shd w:val="clear" w:color="auto" w:fill="1A1410"/>
            <w:tcMar>
              <w:top w:w="80" w:type="dxa"/>
              <w:left w:w="120" w:type="dxa"/>
              <w:bottom w:w="80" w:type="dxa"/>
              <w:right w:w="120" w:type="dxa"/>
            </w:tcMar>
          </w:tcPr>
          <w:p w14:paraId="5877F1F1" w14:textId="77777777" w:rsidR="00E41A65" w:rsidRPr="008E297B" w:rsidRDefault="00000000">
            <w:pPr>
              <w:rPr>
                <w:rFonts w:ascii="Meiryo UI" w:eastAsia="Meiryo UI" w:hAnsi="Meiryo UI" w:cs="Meiryo UI"/>
                <w:sz w:val="24"/>
                <w:szCs w:val="24"/>
              </w:rPr>
              <w:spacing w:before="0" w:after="120" w:line="360" w:lineRule="auto"/>
            </w:pPr>
            <w:r w:rsidRPr="008E297B">
              <w:rPr>
                <w:rFonts w:ascii="Meiryo UI" w:eastAsia="Meiryo UI" w:hAnsi="Meiryo UI" w:cs="Meiryo UI"/>
                <w:color w:val="F8F5F0"/>
                <w:sz w:val="24"/>
                <w:szCs w:val="24"/>
              </w:rPr>
              <w:t>指標</w:t>
            </w:r>
          </w:p>
        </w:tc>
        <w:tc>
          <w:tcPr>
            <w:tcW w:w="3600" w:type="dxa"/>
            <w:tcBorders>
              <w:top w:val="single" w:sz="1" w:space="0" w:color="D4C9BC"/>
              <w:left w:val="single" w:sz="1" w:space="0" w:color="D4C9BC"/>
              <w:bottom w:val="single" w:sz="1" w:space="0" w:color="D4C9BC"/>
              <w:right w:val="single" w:sz="1" w:space="0" w:color="D4C9BC"/>
            </w:tcBorders>
            <w:shd w:val="clear" w:color="auto" w:fill="1A1410"/>
            <w:tcMar>
              <w:top w:w="80" w:type="dxa"/>
              <w:left w:w="120" w:type="dxa"/>
              <w:bottom w:w="80" w:type="dxa"/>
              <w:right w:w="120" w:type="dxa"/>
            </w:tcMar>
          </w:tcPr>
          <w:p w14:paraId="0C8993D4" w14:textId="77777777" w:rsidR="00E41A65" w:rsidRPr="008E297B" w:rsidRDefault="00000000">
            <w:pPr>
              <w:rPr>
                <w:rFonts w:ascii="Meiryo UI" w:eastAsia="Meiryo UI" w:hAnsi="Meiryo UI" w:cs="Meiryo UI"/>
                <w:sz w:val="24"/>
                <w:szCs w:val="24"/>
              </w:rPr>
              <w:spacing w:before="0" w:after="120" w:line="360" w:lineRule="auto"/>
            </w:pPr>
            <w:r w:rsidRPr="008E297B">
              <w:rPr>
                <w:rFonts w:ascii="Meiryo UI" w:eastAsia="Meiryo UI" w:hAnsi="Meiryo UI" w:cs="Meiryo UI"/>
                <w:color w:val="F8F5F0"/>
                <w:sz w:val="24"/>
                <w:szCs w:val="24"/>
              </w:rPr>
              <w:t>閾値</w:t>
            </w:r>
          </w:p>
        </w:tc>
        <w:tc>
          <w:tcPr>
            <w:tcW w:w="3000" w:type="dxa"/>
            <w:tcBorders>
              <w:top w:val="single" w:sz="1" w:space="0" w:color="D4C9BC"/>
              <w:left w:val="single" w:sz="1" w:space="0" w:color="D4C9BC"/>
              <w:bottom w:val="single" w:sz="1" w:space="0" w:color="D4C9BC"/>
              <w:right w:val="single" w:sz="1" w:space="0" w:color="D4C9BC"/>
            </w:tcBorders>
            <w:shd w:val="clear" w:color="auto" w:fill="1A1410"/>
            <w:tcMar>
              <w:top w:w="80" w:type="dxa"/>
              <w:left w:w="120" w:type="dxa"/>
              <w:bottom w:w="80" w:type="dxa"/>
              <w:right w:w="120" w:type="dxa"/>
            </w:tcMar>
          </w:tcPr>
          <w:p w14:paraId="14F8E75D" w14:textId="77777777" w:rsidR="00E41A65" w:rsidRPr="008E297B" w:rsidRDefault="00000000">
            <w:pPr>
              <w:rPr>
                <w:rFonts w:ascii="Meiryo UI" w:eastAsia="Meiryo UI" w:hAnsi="Meiryo UI" w:cs="Meiryo UI"/>
                <w:sz w:val="24"/>
                <w:szCs w:val="24"/>
              </w:rPr>
              <w:spacing w:before="0" w:after="120" w:line="360" w:lineRule="auto"/>
            </w:pPr>
            <w:r w:rsidRPr="008E297B">
              <w:rPr>
                <w:rFonts w:ascii="Meiryo UI" w:eastAsia="Meiryo UI" w:hAnsi="Meiryo UI" w:cs="Meiryo UI"/>
                <w:color w:val="F8F5F0"/>
                <w:sz w:val="24"/>
                <w:szCs w:val="24"/>
              </w:rPr>
              <w:t>意味</w:t>
            </w:r>
          </w:p>
        </w:tc>
      </w:tr>
      <w:tr w:rsidR="00E41A65" w:rsidRPr="008E297B" w14:paraId="237BB5B4" w14:textId="77777777">
        <w:tblPrEx>
          <w:tblCellMar>
            <w:top w:w="0" w:type="dxa"/>
            <w:bottom w:w="0" w:type="dxa"/>
          </w:tblCellMar>
        </w:tblPrEx>
        <w:tc>
          <w:tcPr>
            <w:tcW w:w="2600" w:type="dxa"/>
            <w:tcBorders>
              <w:top w:val="single" w:sz="1" w:space="0" w:color="D4C9BC"/>
              <w:left w:val="single" w:sz="1" w:space="0" w:color="D4C9BC"/>
              <w:bottom w:val="single" w:sz="1" w:space="0" w:color="D4C9BC"/>
              <w:right w:val="single" w:sz="1" w:space="0" w:color="D4C9BC"/>
            </w:tcBorders>
            <w:shd w:val="clear" w:color="auto" w:fill="FFFFFF"/>
            <w:tcMar>
              <w:top w:w="80" w:type="dxa"/>
              <w:left w:w="120" w:type="dxa"/>
              <w:bottom w:w="80" w:type="dxa"/>
              <w:right w:w="120" w:type="dxa"/>
            </w:tcMar>
          </w:tcPr>
          <w:p w14:paraId="7A1F7B52"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障害者の一般就労率</w:t>
            </w:r>
          </w:p>
        </w:tc>
        <w:tc>
          <w:tcPr>
            <w:tcW w:w="3600" w:type="dxa"/>
            <w:tcBorders>
              <w:top w:val="single" w:sz="1" w:space="0" w:color="D4C9BC"/>
              <w:left w:val="single" w:sz="1" w:space="0" w:color="D4C9BC"/>
              <w:bottom w:val="single" w:sz="1" w:space="0" w:color="D4C9BC"/>
              <w:right w:val="single" w:sz="1" w:space="0" w:color="D4C9BC"/>
            </w:tcBorders>
            <w:shd w:val="clear" w:color="auto" w:fill="FFFFFF"/>
            <w:tcMar>
              <w:top w:w="80" w:type="dxa"/>
              <w:left w:w="120" w:type="dxa"/>
              <w:bottom w:w="80" w:type="dxa"/>
              <w:right w:w="120" w:type="dxa"/>
            </w:tcMar>
          </w:tcPr>
          <w:p w14:paraId="24CAEE5B"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40%超（現在約18%）が10年間継続</w:t>
            </w:r>
          </w:p>
        </w:tc>
        <w:tc>
          <w:tcPr>
            <w:tcW w:w="3000" w:type="dxa"/>
            <w:tcBorders>
              <w:top w:val="single" w:sz="1" w:space="0" w:color="D4C9BC"/>
              <w:left w:val="single" w:sz="1" w:space="0" w:color="D4C9BC"/>
              <w:bottom w:val="single" w:sz="1" w:space="0" w:color="D4C9BC"/>
              <w:right w:val="single" w:sz="1" w:space="0" w:color="D4C9BC"/>
            </w:tcBorders>
            <w:shd w:val="clear" w:color="auto" w:fill="FFFFFF"/>
            <w:tcMar>
              <w:top w:w="80" w:type="dxa"/>
              <w:left w:w="120" w:type="dxa"/>
              <w:bottom w:w="80" w:type="dxa"/>
              <w:right w:w="120" w:type="dxa"/>
            </w:tcMar>
          </w:tcPr>
          <w:p w14:paraId="1826CC63"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特別制度の必要性が低下している</w:t>
            </w:r>
          </w:p>
        </w:tc>
      </w:tr>
      <w:tr w:rsidR="00E41A65" w:rsidRPr="008E297B" w14:paraId="74CD6605" w14:textId="77777777">
        <w:tblPrEx>
          <w:tblCellMar>
            <w:top w:w="0" w:type="dxa"/>
            <w:bottom w:w="0" w:type="dxa"/>
          </w:tblCellMar>
        </w:tblPrEx>
        <w:tc>
          <w:tcPr>
            <w:tcW w:w="2600" w:type="dxa"/>
            <w:tcBorders>
              <w:top w:val="single" w:sz="1" w:space="0" w:color="D4C9BC"/>
              <w:left w:val="single" w:sz="1" w:space="0" w:color="D4C9BC"/>
              <w:bottom w:val="single" w:sz="1" w:space="0" w:color="D4C9BC"/>
              <w:right w:val="single" w:sz="1" w:space="0" w:color="D4C9BC"/>
            </w:tcBorders>
            <w:shd w:val="clear" w:color="auto" w:fill="F0EBE3"/>
            <w:tcMar>
              <w:top w:w="80" w:type="dxa"/>
              <w:left w:w="120" w:type="dxa"/>
              <w:bottom w:w="80" w:type="dxa"/>
              <w:right w:w="120" w:type="dxa"/>
            </w:tcMar>
          </w:tcPr>
          <w:p w14:paraId="5BF675A8"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障害者の平均所得</w:t>
            </w:r>
          </w:p>
        </w:tc>
        <w:tc>
          <w:tcPr>
            <w:tcW w:w="3600" w:type="dxa"/>
            <w:tcBorders>
              <w:top w:val="single" w:sz="1" w:space="0" w:color="D4C9BC"/>
              <w:left w:val="single" w:sz="1" w:space="0" w:color="D4C9BC"/>
              <w:bottom w:val="single" w:sz="1" w:space="0" w:color="D4C9BC"/>
              <w:right w:val="single" w:sz="1" w:space="0" w:color="D4C9BC"/>
            </w:tcBorders>
            <w:shd w:val="clear" w:color="auto" w:fill="F0EBE3"/>
            <w:tcMar>
              <w:top w:w="80" w:type="dxa"/>
              <w:left w:w="120" w:type="dxa"/>
              <w:bottom w:w="80" w:type="dxa"/>
              <w:right w:w="120" w:type="dxa"/>
            </w:tcMar>
          </w:tcPr>
          <w:p w14:paraId="190CA1E0"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全労働者平均の80%超が5年間継続</w:t>
            </w:r>
          </w:p>
        </w:tc>
        <w:tc>
          <w:tcPr>
            <w:tcW w:w="3000" w:type="dxa"/>
            <w:tcBorders>
              <w:top w:val="single" w:sz="1" w:space="0" w:color="D4C9BC"/>
              <w:left w:val="single" w:sz="1" w:space="0" w:color="D4C9BC"/>
              <w:bottom w:val="single" w:sz="1" w:space="0" w:color="D4C9BC"/>
              <w:right w:val="single" w:sz="1" w:space="0" w:color="D4C9BC"/>
            </w:tcBorders>
            <w:shd w:val="clear" w:color="auto" w:fill="F0EBE3"/>
            <w:tcMar>
              <w:top w:w="80" w:type="dxa"/>
              <w:left w:w="120" w:type="dxa"/>
              <w:bottom w:w="80" w:type="dxa"/>
              <w:right w:w="120" w:type="dxa"/>
            </w:tcMar>
          </w:tcPr>
          <w:p w14:paraId="14AABACF"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所得格差が実質的に解消された</w:t>
            </w:r>
          </w:p>
        </w:tc>
      </w:tr>
      <w:tr w:rsidR="00E41A65" w:rsidRPr="008E297B" w14:paraId="5AB35CA9" w14:textId="77777777">
        <w:tblPrEx>
          <w:tblCellMar>
            <w:top w:w="0" w:type="dxa"/>
            <w:bottom w:w="0" w:type="dxa"/>
          </w:tblCellMar>
        </w:tblPrEx>
        <w:tc>
          <w:tcPr>
            <w:tcW w:w="2600" w:type="dxa"/>
            <w:tcBorders>
              <w:top w:val="single" w:sz="1" w:space="0" w:color="D4C9BC"/>
              <w:left w:val="single" w:sz="1" w:space="0" w:color="D4C9BC"/>
              <w:bottom w:val="single" w:sz="1" w:space="0" w:color="D4C9BC"/>
              <w:right w:val="single" w:sz="1" w:space="0" w:color="D4C9BC"/>
            </w:tcBorders>
            <w:shd w:val="clear" w:color="auto" w:fill="FFFFFF"/>
            <w:tcMar>
              <w:top w:w="80" w:type="dxa"/>
              <w:left w:w="120" w:type="dxa"/>
              <w:bottom w:w="80" w:type="dxa"/>
              <w:right w:w="120" w:type="dxa"/>
            </w:tcMar>
          </w:tcPr>
          <w:p w14:paraId="06CFD152"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SCPポイントAレーン活用率</w:t>
            </w:r>
          </w:p>
        </w:tc>
        <w:tc>
          <w:tcPr>
            <w:tcW w:w="3600" w:type="dxa"/>
            <w:tcBorders>
              <w:top w:val="single" w:sz="1" w:space="0" w:color="D4C9BC"/>
              <w:left w:val="single" w:sz="1" w:space="0" w:color="D4C9BC"/>
              <w:bottom w:val="single" w:sz="1" w:space="0" w:color="D4C9BC"/>
              <w:right w:val="single" w:sz="1" w:space="0" w:color="D4C9BC"/>
            </w:tcBorders>
            <w:shd w:val="clear" w:color="auto" w:fill="FFFFFF"/>
            <w:tcMar>
              <w:top w:w="80" w:type="dxa"/>
              <w:left w:w="120" w:type="dxa"/>
              <w:bottom w:w="80" w:type="dxa"/>
              <w:right w:w="120" w:type="dxa"/>
            </w:tcMar>
          </w:tcPr>
          <w:p w14:paraId="6D9DE1DF"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Aレーン（直接雇用）が義務の90%超を占める</w:t>
            </w:r>
          </w:p>
        </w:tc>
        <w:tc>
          <w:tcPr>
            <w:tcW w:w="3000" w:type="dxa"/>
            <w:tcBorders>
              <w:top w:val="single" w:sz="1" w:space="0" w:color="D4C9BC"/>
              <w:left w:val="single" w:sz="1" w:space="0" w:color="D4C9BC"/>
              <w:bottom w:val="single" w:sz="1" w:space="0" w:color="D4C9BC"/>
              <w:right w:val="single" w:sz="1" w:space="0" w:color="D4C9BC"/>
            </w:tcBorders>
            <w:shd w:val="clear" w:color="auto" w:fill="FFFFFF"/>
            <w:tcMar>
              <w:top w:w="80" w:type="dxa"/>
              <w:left w:w="120" w:type="dxa"/>
              <w:bottom w:w="80" w:type="dxa"/>
              <w:right w:w="120" w:type="dxa"/>
            </w:tcMar>
          </w:tcPr>
          <w:p w14:paraId="5CEF12DC"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タスク型の「橋渡し」機能が不要になっている</w:t>
            </w:r>
          </w:p>
        </w:tc>
      </w:tr>
      <w:tr w:rsidR="00E41A65" w:rsidRPr="008E297B" w14:paraId="4817C653" w14:textId="77777777">
        <w:tblPrEx>
          <w:tblCellMar>
            <w:top w:w="0" w:type="dxa"/>
            <w:bottom w:w="0" w:type="dxa"/>
          </w:tblCellMar>
        </w:tblPrEx>
        <w:tc>
          <w:tcPr>
            <w:tcW w:w="2600" w:type="dxa"/>
            <w:tcBorders>
              <w:top w:val="single" w:sz="1" w:space="0" w:color="D4C9BC"/>
              <w:left w:val="single" w:sz="1" w:space="0" w:color="D4C9BC"/>
              <w:bottom w:val="single" w:sz="1" w:space="0" w:color="D4C9BC"/>
              <w:right w:val="single" w:sz="1" w:space="0" w:color="D4C9BC"/>
            </w:tcBorders>
            <w:shd w:val="clear" w:color="auto" w:fill="F0EBE3"/>
            <w:tcMar>
              <w:top w:w="80" w:type="dxa"/>
              <w:left w:w="120" w:type="dxa"/>
              <w:bottom w:w="80" w:type="dxa"/>
              <w:right w:w="120" w:type="dxa"/>
            </w:tcMar>
          </w:tcPr>
          <w:p w14:paraId="2DF697F6"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障害者の「孤立スコア」</w:t>
            </w:r>
          </w:p>
        </w:tc>
        <w:tc>
          <w:tcPr>
            <w:tcW w:w="3600" w:type="dxa"/>
            <w:tcBorders>
              <w:top w:val="single" w:sz="1" w:space="0" w:color="D4C9BC"/>
              <w:left w:val="single" w:sz="1" w:space="0" w:color="D4C9BC"/>
              <w:bottom w:val="single" w:sz="1" w:space="0" w:color="D4C9BC"/>
              <w:right w:val="single" w:sz="1" w:space="0" w:color="D4C9BC"/>
            </w:tcBorders>
            <w:shd w:val="clear" w:color="auto" w:fill="F0EBE3"/>
            <w:tcMar>
              <w:top w:w="80" w:type="dxa"/>
              <w:left w:w="120" w:type="dxa"/>
              <w:bottom w:w="80" w:type="dxa"/>
              <w:right w:w="120" w:type="dxa"/>
            </w:tcMar>
          </w:tcPr>
          <w:p w14:paraId="683086AA"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一般市民との孤立度差が統計的有意でなくなる</w:t>
            </w:r>
          </w:p>
        </w:tc>
        <w:tc>
          <w:tcPr>
            <w:tcW w:w="3000" w:type="dxa"/>
            <w:tcBorders>
              <w:top w:val="single" w:sz="1" w:space="0" w:color="D4C9BC"/>
              <w:left w:val="single" w:sz="1" w:space="0" w:color="D4C9BC"/>
              <w:bottom w:val="single" w:sz="1" w:space="0" w:color="D4C9BC"/>
              <w:right w:val="single" w:sz="1" w:space="0" w:color="D4C9BC"/>
            </w:tcBorders>
            <w:shd w:val="clear" w:color="auto" w:fill="F0EBE3"/>
            <w:tcMar>
              <w:top w:w="80" w:type="dxa"/>
              <w:left w:w="120" w:type="dxa"/>
              <w:bottom w:w="80" w:type="dxa"/>
              <w:right w:w="120" w:type="dxa"/>
            </w:tcMar>
          </w:tcPr>
          <w:p w14:paraId="28AB20D8"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社会統合が達成されつつある</w:t>
            </w:r>
          </w:p>
        </w:tc>
      </w:tr>
    </w:tbl>
    <w:p w14:paraId="53203F69" w14:textId="77777777" w:rsidR="00E41A65" w:rsidRPr="008E297B" w:rsidRDefault="00E41A65">
      <w:pPr>
        <w:spacing w:after="120" w:before="0" w:line="360" w:lineRule="auto"/>
        <w:rPr>
          <w:rFonts w:ascii="Meiryo UI" w:eastAsia="Meiryo UI" w:hAnsi="Meiryo UI" w:cs="Meiryo UI"/>
          <w:sz w:val="24"/>
          <w:szCs w:val="24"/>
        </w:rPr>
      </w:pPr>
    </w:p>
    <w:p w14:paraId="172D7025" w14:textId="77777777" w:rsidR="00E41A65" w:rsidRPr="0004251E" w:rsidRDefault="00000000">
      <w:pPr>
        <w:spacing w:after="120" w:before="0" w:line="360" w:lineRule="auto"/>
        <w:rPr>
          <w:rFonts w:ascii="Meiryo UI" w:eastAsia="Meiryo UI" w:hAnsi="Meiryo UI" w:cs="Meiryo UI"/>
          <w:color w:val="000000" w:themeColor="text1"/>
          <w:sz w:val="24"/>
          <w:szCs w:val="24"/>
        </w:rPr>
      </w:pPr>
      <w:r w:rsidRPr="0004251E">
        <w:rPr>
          <w:rFonts w:ascii="Meiryo UI" w:eastAsia="Meiryo UI" w:hAnsi="Meiryo UI" w:cs="Meiryo UI"/>
          <w:color w:val="000000" w:themeColor="text1"/>
          <w:sz w:val="24"/>
          <w:szCs w:val="24"/>
        </w:rPr>
        <w:t>これらの指標が揃ったとき、それは制度が「使命を果たした」というサインである。次のステップは縮小ではなく、普遍的な就労支援制度への統合である。</w:t>
      </w:r>
    </w:p>
    <w:p w14:paraId="4533FC7B" w14:textId="77777777" w:rsidR="00E41A65" w:rsidRPr="006E1B70" w:rsidRDefault="00000000">
      <w:pPr>
        <w:pStyle w:val="2"/>
        <w:rPr>
          <w:rFonts w:ascii="Meiryo UI" w:eastAsia="Meiryo UI" w:hAnsi="Meiryo UI" w:cs="Meiryo UI"/>
        </w:rPr>
        <w:spacing w:before="240" w:after="80" w:line="360" w:lineRule="auto"/>
      </w:pPr>
      <w:r w:rsidRPr="006E1B70">
        <w:rPr>
          <w:rFonts w:ascii="Meiryo UI" w:eastAsia="Meiryo UI" w:hAnsi="Meiryo UI" w:cs="Meiryo UI"/>
          <w:color w:val="1A1410"/>
        </w:rPr>
        <w:t>グループ②　技術変容の指標（パターンB）</w:t>
      </w:r>
    </w:p>
    <w:tbl>
      <w:tblPr>
        <w:tblW w:w="92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600"/>
        <w:gridCol w:w="3000"/>
      </w:tblGrid>
      <w:tr w:rsidR="00E41A65" w:rsidRPr="006E1B70" w14:paraId="0F78EF16" w14:textId="77777777">
        <w:tblPrEx>
          <w:tblCellMar>
            <w:top w:w="0" w:type="dxa"/>
            <w:bottom w:w="0" w:type="dxa"/>
          </w:tblCellMar>
        </w:tblPrEx>
        <w:trPr>
          <w:tblHeader/>
        </w:trPr>
        <w:tc>
          <w:tcPr>
            <w:tcW w:w="2600" w:type="dxa"/>
            <w:tcBorders>
              <w:top w:val="single" w:sz="1" w:space="0" w:color="D4C9BC"/>
              <w:left w:val="single" w:sz="1" w:space="0" w:color="D4C9BC"/>
              <w:bottom w:val="single" w:sz="1" w:space="0" w:color="D4C9BC"/>
              <w:right w:val="single" w:sz="1" w:space="0" w:color="D4C9BC"/>
            </w:tcBorders>
            <w:shd w:val="clear" w:color="auto" w:fill="1A1410"/>
            <w:tcMar>
              <w:top w:w="80" w:type="dxa"/>
              <w:left w:w="120" w:type="dxa"/>
              <w:bottom w:w="80" w:type="dxa"/>
              <w:right w:w="120" w:type="dxa"/>
            </w:tcMar>
          </w:tcPr>
          <w:p w14:paraId="7669C7A2" w14:textId="77777777" w:rsidR="00E41A65" w:rsidRPr="008E297B" w:rsidRDefault="00000000">
            <w:pPr>
              <w:rPr>
                <w:rFonts w:ascii="Meiryo UI" w:eastAsia="Meiryo UI" w:hAnsi="Meiryo UI" w:cs="Meiryo UI"/>
                <w:sz w:val="24"/>
                <w:szCs w:val="24"/>
              </w:rPr>
              <w:spacing w:before="0" w:after="120" w:line="360" w:lineRule="auto"/>
            </w:pPr>
            <w:r w:rsidRPr="008E297B">
              <w:rPr>
                <w:rFonts w:ascii="Meiryo UI" w:eastAsia="Meiryo UI" w:hAnsi="Meiryo UI" w:cs="Meiryo UI"/>
                <w:color w:val="F8F5F0"/>
                <w:sz w:val="24"/>
                <w:szCs w:val="24"/>
              </w:rPr>
              <w:t>指標</w:t>
            </w:r>
          </w:p>
        </w:tc>
        <w:tc>
          <w:tcPr>
            <w:tcW w:w="3600" w:type="dxa"/>
            <w:tcBorders>
              <w:top w:val="single" w:sz="1" w:space="0" w:color="D4C9BC"/>
              <w:left w:val="single" w:sz="1" w:space="0" w:color="D4C9BC"/>
              <w:bottom w:val="single" w:sz="1" w:space="0" w:color="D4C9BC"/>
              <w:right w:val="single" w:sz="1" w:space="0" w:color="D4C9BC"/>
            </w:tcBorders>
            <w:shd w:val="clear" w:color="auto" w:fill="1A1410"/>
            <w:tcMar>
              <w:top w:w="80" w:type="dxa"/>
              <w:left w:w="120" w:type="dxa"/>
              <w:bottom w:w="80" w:type="dxa"/>
              <w:right w:w="120" w:type="dxa"/>
            </w:tcMar>
          </w:tcPr>
          <w:p w14:paraId="531C8098" w14:textId="77777777" w:rsidR="00E41A65" w:rsidRPr="008E297B" w:rsidRDefault="00000000">
            <w:pPr>
              <w:rPr>
                <w:rFonts w:ascii="Meiryo UI" w:eastAsia="Meiryo UI" w:hAnsi="Meiryo UI" w:cs="Meiryo UI"/>
                <w:sz w:val="24"/>
                <w:szCs w:val="24"/>
              </w:rPr>
              <w:spacing w:before="0" w:after="120" w:line="360" w:lineRule="auto"/>
            </w:pPr>
            <w:r w:rsidRPr="008E297B">
              <w:rPr>
                <w:rFonts w:ascii="Meiryo UI" w:eastAsia="Meiryo UI" w:hAnsi="Meiryo UI" w:cs="Meiryo UI"/>
                <w:color w:val="F8F5F0"/>
                <w:sz w:val="24"/>
                <w:szCs w:val="24"/>
              </w:rPr>
              <w:t>閾値</w:t>
            </w:r>
          </w:p>
        </w:tc>
        <w:tc>
          <w:tcPr>
            <w:tcW w:w="3000" w:type="dxa"/>
            <w:tcBorders>
              <w:top w:val="single" w:sz="1" w:space="0" w:color="D4C9BC"/>
              <w:left w:val="single" w:sz="1" w:space="0" w:color="D4C9BC"/>
              <w:bottom w:val="single" w:sz="1" w:space="0" w:color="D4C9BC"/>
              <w:right w:val="single" w:sz="1" w:space="0" w:color="D4C9BC"/>
            </w:tcBorders>
            <w:shd w:val="clear" w:color="auto" w:fill="1A1410"/>
            <w:tcMar>
              <w:top w:w="80" w:type="dxa"/>
              <w:left w:w="120" w:type="dxa"/>
              <w:bottom w:w="80" w:type="dxa"/>
              <w:right w:w="120" w:type="dxa"/>
            </w:tcMar>
          </w:tcPr>
          <w:p w14:paraId="077E330B" w14:textId="77777777" w:rsidR="00E41A65" w:rsidRPr="008E297B" w:rsidRDefault="00000000">
            <w:pPr>
              <w:rPr>
                <w:rFonts w:ascii="Meiryo UI" w:eastAsia="Meiryo UI" w:hAnsi="Meiryo UI" w:cs="Meiryo UI"/>
                <w:sz w:val="24"/>
                <w:szCs w:val="24"/>
              </w:rPr>
              <w:spacing w:before="0" w:after="120" w:line="360" w:lineRule="auto"/>
            </w:pPr>
            <w:r w:rsidRPr="008E297B">
              <w:rPr>
                <w:rFonts w:ascii="Meiryo UI" w:eastAsia="Meiryo UI" w:hAnsi="Meiryo UI" w:cs="Meiryo UI"/>
                <w:color w:val="F8F5F0"/>
                <w:sz w:val="24"/>
                <w:szCs w:val="24"/>
              </w:rPr>
              <w:t>意味</w:t>
            </w:r>
          </w:p>
        </w:tc>
      </w:tr>
      <w:tr w:rsidR="00E41A65" w:rsidRPr="006E1B70" w14:paraId="14784D71" w14:textId="77777777">
        <w:tblPrEx>
          <w:tblCellMar>
            <w:top w:w="0" w:type="dxa"/>
            <w:bottom w:w="0" w:type="dxa"/>
          </w:tblCellMar>
        </w:tblPrEx>
        <w:tc>
          <w:tcPr>
            <w:tcW w:w="2600" w:type="dxa"/>
            <w:tcBorders>
              <w:top w:val="single" w:sz="1" w:space="0" w:color="D4C9BC"/>
              <w:left w:val="single" w:sz="1" w:space="0" w:color="D4C9BC"/>
              <w:bottom w:val="single" w:sz="1" w:space="0" w:color="D4C9BC"/>
              <w:right w:val="single" w:sz="1" w:space="0" w:color="D4C9BC"/>
            </w:tcBorders>
            <w:shd w:val="clear" w:color="auto" w:fill="FFFFFF"/>
            <w:tcMar>
              <w:top w:w="80" w:type="dxa"/>
              <w:left w:w="120" w:type="dxa"/>
              <w:bottom w:w="80" w:type="dxa"/>
              <w:right w:w="120" w:type="dxa"/>
            </w:tcMar>
          </w:tcPr>
          <w:p w14:paraId="2D78DA69"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タスクのAI・自動化代替率</w:t>
            </w:r>
          </w:p>
        </w:tc>
        <w:tc>
          <w:tcPr>
            <w:tcW w:w="3600" w:type="dxa"/>
            <w:tcBorders>
              <w:top w:val="single" w:sz="1" w:space="0" w:color="D4C9BC"/>
              <w:left w:val="single" w:sz="1" w:space="0" w:color="D4C9BC"/>
              <w:bottom w:val="single" w:sz="1" w:space="0" w:color="D4C9BC"/>
              <w:right w:val="single" w:sz="1" w:space="0" w:color="D4C9BC"/>
            </w:tcBorders>
            <w:shd w:val="clear" w:color="auto" w:fill="FFFFFF"/>
            <w:tcMar>
              <w:top w:w="80" w:type="dxa"/>
              <w:left w:w="120" w:type="dxa"/>
              <w:bottom w:w="80" w:type="dxa"/>
              <w:right w:w="120" w:type="dxa"/>
            </w:tcMar>
          </w:tcPr>
          <w:p w14:paraId="105FC98F"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年間10%超のタスクが機械に代替され始める</w:t>
            </w:r>
          </w:p>
        </w:tc>
        <w:tc>
          <w:tcPr>
            <w:tcW w:w="3000" w:type="dxa"/>
            <w:tcBorders>
              <w:top w:val="single" w:sz="1" w:space="0" w:color="D4C9BC"/>
              <w:left w:val="single" w:sz="1" w:space="0" w:color="D4C9BC"/>
              <w:bottom w:val="single" w:sz="1" w:space="0" w:color="D4C9BC"/>
              <w:right w:val="single" w:sz="1" w:space="0" w:color="D4C9BC"/>
            </w:tcBorders>
            <w:shd w:val="clear" w:color="auto" w:fill="FFFFFF"/>
            <w:tcMar>
              <w:top w:w="80" w:type="dxa"/>
              <w:left w:w="120" w:type="dxa"/>
              <w:bottom w:w="80" w:type="dxa"/>
              <w:right w:w="120" w:type="dxa"/>
            </w:tcMar>
          </w:tcPr>
          <w:p w14:paraId="45C43D81"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制度の「仕事の土台」が崩れている</w:t>
            </w:r>
          </w:p>
        </w:tc>
      </w:tr>
      <w:tr w:rsidR="00E41A65" w:rsidRPr="006E1B70" w14:paraId="664A1319" w14:textId="77777777">
        <w:tblPrEx>
          <w:tblCellMar>
            <w:top w:w="0" w:type="dxa"/>
            <w:bottom w:w="0" w:type="dxa"/>
          </w:tblCellMar>
        </w:tblPrEx>
        <w:tc>
          <w:tcPr>
            <w:tcW w:w="2600" w:type="dxa"/>
            <w:tcBorders>
              <w:top w:val="single" w:sz="1" w:space="0" w:color="D4C9BC"/>
              <w:left w:val="single" w:sz="1" w:space="0" w:color="D4C9BC"/>
              <w:bottom w:val="single" w:sz="1" w:space="0" w:color="D4C9BC"/>
              <w:right w:val="single" w:sz="1" w:space="0" w:color="D4C9BC"/>
            </w:tcBorders>
            <w:shd w:val="clear" w:color="auto" w:fill="F0EBE3"/>
            <w:tcMar>
              <w:top w:w="80" w:type="dxa"/>
              <w:left w:w="120" w:type="dxa"/>
              <w:bottom w:w="80" w:type="dxa"/>
              <w:right w:w="120" w:type="dxa"/>
            </w:tcMar>
          </w:tcPr>
          <w:p w14:paraId="663F97C7"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タスク創出困難度スコア</w:t>
            </w:r>
          </w:p>
        </w:tc>
        <w:tc>
          <w:tcPr>
            <w:tcW w:w="3600" w:type="dxa"/>
            <w:tcBorders>
              <w:top w:val="single" w:sz="1" w:space="0" w:color="D4C9BC"/>
              <w:left w:val="single" w:sz="1" w:space="0" w:color="D4C9BC"/>
              <w:bottom w:val="single" w:sz="1" w:space="0" w:color="D4C9BC"/>
              <w:right w:val="single" w:sz="1" w:space="0" w:color="D4C9BC"/>
            </w:tcBorders>
            <w:shd w:val="clear" w:color="auto" w:fill="F0EBE3"/>
            <w:tcMar>
              <w:top w:w="80" w:type="dxa"/>
              <w:left w:w="120" w:type="dxa"/>
              <w:bottom w:w="80" w:type="dxa"/>
              <w:right w:w="120" w:type="dxa"/>
            </w:tcMar>
          </w:tcPr>
          <w:p w14:paraId="30AEA22F"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「新規タスクの発掘困難」を報告する自治体が30%超</w:t>
            </w:r>
          </w:p>
        </w:tc>
        <w:tc>
          <w:tcPr>
            <w:tcW w:w="3000" w:type="dxa"/>
            <w:tcBorders>
              <w:top w:val="single" w:sz="1" w:space="0" w:color="D4C9BC"/>
              <w:left w:val="single" w:sz="1" w:space="0" w:color="D4C9BC"/>
              <w:bottom w:val="single" w:sz="1" w:space="0" w:color="D4C9BC"/>
              <w:right w:val="single" w:sz="1" w:space="0" w:color="D4C9BC"/>
            </w:tcBorders>
            <w:shd w:val="clear" w:color="auto" w:fill="F0EBE3"/>
            <w:tcMar>
              <w:top w:w="80" w:type="dxa"/>
              <w:left w:w="120" w:type="dxa"/>
              <w:bottom w:w="80" w:type="dxa"/>
              <w:right w:w="120" w:type="dxa"/>
            </w:tcMar>
          </w:tcPr>
          <w:p w14:paraId="3690A656"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人間が担う意義のある業務が枯渇しつつある</w:t>
            </w:r>
          </w:p>
        </w:tc>
      </w:tr>
      <w:tr w:rsidR="00E41A65" w:rsidRPr="006E1B70" w14:paraId="1796D254" w14:textId="77777777">
        <w:tblPrEx>
          <w:tblCellMar>
            <w:top w:w="0" w:type="dxa"/>
            <w:bottom w:w="0" w:type="dxa"/>
          </w:tblCellMar>
        </w:tblPrEx>
        <w:tc>
          <w:tcPr>
            <w:tcW w:w="2600" w:type="dxa"/>
            <w:tcBorders>
              <w:top w:val="single" w:sz="1" w:space="0" w:color="D4C9BC"/>
              <w:left w:val="single" w:sz="1" w:space="0" w:color="D4C9BC"/>
              <w:bottom w:val="single" w:sz="1" w:space="0" w:color="D4C9BC"/>
              <w:right w:val="single" w:sz="1" w:space="0" w:color="D4C9BC"/>
            </w:tcBorders>
            <w:shd w:val="clear" w:color="auto" w:fill="FFFFFF"/>
            <w:tcMar>
              <w:top w:w="80" w:type="dxa"/>
              <w:left w:w="120" w:type="dxa"/>
              <w:bottom w:w="80" w:type="dxa"/>
              <w:right w:w="120" w:type="dxa"/>
            </w:tcMar>
          </w:tcPr>
          <w:p w14:paraId="42CB8877"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準公務職員の平均稼働時間</w:t>
            </w:r>
          </w:p>
        </w:tc>
        <w:tc>
          <w:tcPr>
            <w:tcW w:w="3600" w:type="dxa"/>
            <w:tcBorders>
              <w:top w:val="single" w:sz="1" w:space="0" w:color="D4C9BC"/>
              <w:left w:val="single" w:sz="1" w:space="0" w:color="D4C9BC"/>
              <w:bottom w:val="single" w:sz="1" w:space="0" w:color="D4C9BC"/>
              <w:right w:val="single" w:sz="1" w:space="0" w:color="D4C9BC"/>
            </w:tcBorders>
            <w:shd w:val="clear" w:color="auto" w:fill="FFFFFF"/>
            <w:tcMar>
              <w:top w:w="80" w:type="dxa"/>
              <w:left w:w="120" w:type="dxa"/>
              <w:bottom w:w="80" w:type="dxa"/>
              <w:right w:w="120" w:type="dxa"/>
            </w:tcMar>
          </w:tcPr>
          <w:p w14:paraId="153F03AA"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登録者の平均稼働時間が週10時間未満に低下</w:t>
            </w:r>
          </w:p>
        </w:tc>
        <w:tc>
          <w:tcPr>
            <w:tcW w:w="3000" w:type="dxa"/>
            <w:tcBorders>
              <w:top w:val="single" w:sz="1" w:space="0" w:color="D4C9BC"/>
              <w:left w:val="single" w:sz="1" w:space="0" w:color="D4C9BC"/>
              <w:bottom w:val="single" w:sz="1" w:space="0" w:color="D4C9BC"/>
              <w:right w:val="single" w:sz="1" w:space="0" w:color="D4C9BC"/>
            </w:tcBorders>
            <w:shd w:val="clear" w:color="auto" w:fill="FFFFFF"/>
            <w:tcMar>
              <w:top w:w="80" w:type="dxa"/>
              <w:left w:w="120" w:type="dxa"/>
              <w:bottom w:w="80" w:type="dxa"/>
              <w:right w:w="120" w:type="dxa"/>
            </w:tcMar>
          </w:tcPr>
          <w:p w14:paraId="2D7C60B5"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業務量が構造的に不足している</w:t>
            </w:r>
          </w:p>
        </w:tc>
      </w:tr>
      <w:tr w:rsidR="00E41A65" w:rsidRPr="006E1B70" w14:paraId="50168100" w14:textId="77777777">
        <w:tblPrEx>
          <w:tblCellMar>
            <w:top w:w="0" w:type="dxa"/>
            <w:bottom w:w="0" w:type="dxa"/>
          </w:tblCellMar>
        </w:tblPrEx>
        <w:tc>
          <w:tcPr>
            <w:tcW w:w="2600" w:type="dxa"/>
            <w:tcBorders>
              <w:top w:val="single" w:sz="1" w:space="0" w:color="D4C9BC"/>
              <w:left w:val="single" w:sz="1" w:space="0" w:color="D4C9BC"/>
              <w:bottom w:val="single" w:sz="1" w:space="0" w:color="D4C9BC"/>
              <w:right w:val="single" w:sz="1" w:space="0" w:color="D4C9BC"/>
            </w:tcBorders>
            <w:shd w:val="clear" w:color="auto" w:fill="F0EBE3"/>
            <w:tcMar>
              <w:top w:w="80" w:type="dxa"/>
              <w:left w:w="120" w:type="dxa"/>
              <w:bottom w:w="80" w:type="dxa"/>
              <w:right w:w="120" w:type="dxa"/>
            </w:tcMar>
          </w:tcPr>
          <w:p w14:paraId="100F9A70"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AIによる障害認定補助率</w:t>
            </w:r>
          </w:p>
        </w:tc>
        <w:tc>
          <w:tcPr>
            <w:tcW w:w="3600" w:type="dxa"/>
            <w:tcBorders>
              <w:top w:val="single" w:sz="1" w:space="0" w:color="D4C9BC"/>
              <w:left w:val="single" w:sz="1" w:space="0" w:color="D4C9BC"/>
              <w:bottom w:val="single" w:sz="1" w:space="0" w:color="D4C9BC"/>
              <w:right w:val="single" w:sz="1" w:space="0" w:color="D4C9BC"/>
            </w:tcBorders>
            <w:shd w:val="clear" w:color="auto" w:fill="F0EBE3"/>
            <w:tcMar>
              <w:top w:w="80" w:type="dxa"/>
              <w:left w:w="120" w:type="dxa"/>
              <w:bottom w:w="80" w:type="dxa"/>
              <w:right w:w="120" w:type="dxa"/>
            </w:tcMar>
          </w:tcPr>
          <w:p w14:paraId="41A47DD3"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等級審査の90%超をAIが補助する状態が定着</w:t>
            </w:r>
          </w:p>
        </w:tc>
        <w:tc>
          <w:tcPr>
            <w:tcW w:w="3000" w:type="dxa"/>
            <w:tcBorders>
              <w:top w:val="single" w:sz="1" w:space="0" w:color="D4C9BC"/>
              <w:left w:val="single" w:sz="1" w:space="0" w:color="D4C9BC"/>
              <w:bottom w:val="single" w:sz="1" w:space="0" w:color="D4C9BC"/>
              <w:right w:val="single" w:sz="1" w:space="0" w:color="D4C9BC"/>
            </w:tcBorders>
            <w:shd w:val="clear" w:color="auto" w:fill="F0EBE3"/>
            <w:tcMar>
              <w:top w:w="80" w:type="dxa"/>
              <w:left w:w="120" w:type="dxa"/>
              <w:bottom w:w="80" w:type="dxa"/>
              <w:right w:w="120" w:type="dxa"/>
            </w:tcMar>
          </w:tcPr>
          <w:p w14:paraId="5E7BD7E6"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行政コストが大幅に変化し制度の前提が変わる</w:t>
            </w:r>
          </w:p>
        </w:tc>
      </w:tr>
    </w:tbl>
    <w:p w14:paraId="0A5FACCD" w14:textId="77777777" w:rsidR="00E41A65" w:rsidRPr="006E1B70" w:rsidRDefault="00000000">
      <w:pPr>
        <w:pStyle w:val="2"/>
        <w:rPr>
          <w:rFonts w:ascii="Meiryo UI" w:eastAsia="Meiryo UI" w:hAnsi="Meiryo UI" w:cs="Meiryo UI"/>
        </w:rPr>
        <w:spacing w:before="240" w:after="80" w:line="360" w:lineRule="auto"/>
      </w:pPr>
      <w:r w:rsidRPr="006E1B70">
        <w:rPr>
          <w:rFonts w:ascii="Meiryo UI" w:eastAsia="Meiryo UI" w:hAnsi="Meiryo UI" w:cs="Meiryo UI"/>
          <w:color w:val="1A1410"/>
        </w:rPr>
        <w:t>グループ③　社会概念変化の指標（パターンC）</w:t>
      </w:r>
    </w:p>
    <w:tbl>
      <w:tblPr>
        <w:tblW w:w="92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600"/>
        <w:gridCol w:w="3000"/>
      </w:tblGrid>
      <w:tr w:rsidR="00E41A65" w:rsidRPr="006E1B70" w14:paraId="113859C8" w14:textId="77777777">
        <w:tblPrEx>
          <w:tblCellMar>
            <w:top w:w="0" w:type="dxa"/>
            <w:bottom w:w="0" w:type="dxa"/>
          </w:tblCellMar>
        </w:tblPrEx>
        <w:trPr>
          <w:tblHeader/>
        </w:trPr>
        <w:tc>
          <w:tcPr>
            <w:tcW w:w="2600" w:type="dxa"/>
            <w:tcBorders>
              <w:top w:val="single" w:sz="1" w:space="0" w:color="D4C9BC"/>
              <w:left w:val="single" w:sz="1" w:space="0" w:color="D4C9BC"/>
              <w:bottom w:val="single" w:sz="1" w:space="0" w:color="D4C9BC"/>
              <w:right w:val="single" w:sz="1" w:space="0" w:color="D4C9BC"/>
            </w:tcBorders>
            <w:shd w:val="clear" w:color="auto" w:fill="1A1410"/>
            <w:tcMar>
              <w:top w:w="80" w:type="dxa"/>
              <w:left w:w="120" w:type="dxa"/>
              <w:bottom w:w="80" w:type="dxa"/>
              <w:right w:w="120" w:type="dxa"/>
            </w:tcMar>
          </w:tcPr>
          <w:p w14:paraId="1374F91C" w14:textId="77777777" w:rsidR="00E41A65" w:rsidRPr="008E297B" w:rsidRDefault="00000000">
            <w:pPr>
              <w:rPr>
                <w:rFonts w:ascii="Meiryo UI" w:eastAsia="Meiryo UI" w:hAnsi="Meiryo UI" w:cs="Meiryo UI"/>
                <w:sz w:val="24"/>
                <w:szCs w:val="24"/>
              </w:rPr>
              <w:spacing w:before="0" w:after="120" w:line="360" w:lineRule="auto"/>
            </w:pPr>
            <w:r w:rsidRPr="008E297B">
              <w:rPr>
                <w:rFonts w:ascii="Meiryo UI" w:eastAsia="Meiryo UI" w:hAnsi="Meiryo UI" w:cs="Meiryo UI"/>
                <w:color w:val="F8F5F0"/>
                <w:sz w:val="24"/>
                <w:szCs w:val="24"/>
              </w:rPr>
              <w:t>指標</w:t>
            </w:r>
          </w:p>
        </w:tc>
        <w:tc>
          <w:tcPr>
            <w:tcW w:w="3600" w:type="dxa"/>
            <w:tcBorders>
              <w:top w:val="single" w:sz="1" w:space="0" w:color="D4C9BC"/>
              <w:left w:val="single" w:sz="1" w:space="0" w:color="D4C9BC"/>
              <w:bottom w:val="single" w:sz="1" w:space="0" w:color="D4C9BC"/>
              <w:right w:val="single" w:sz="1" w:space="0" w:color="D4C9BC"/>
            </w:tcBorders>
            <w:shd w:val="clear" w:color="auto" w:fill="1A1410"/>
            <w:tcMar>
              <w:top w:w="80" w:type="dxa"/>
              <w:left w:w="120" w:type="dxa"/>
              <w:bottom w:w="80" w:type="dxa"/>
              <w:right w:w="120" w:type="dxa"/>
            </w:tcMar>
          </w:tcPr>
          <w:p w14:paraId="09856956" w14:textId="77777777" w:rsidR="00E41A65" w:rsidRPr="008E297B" w:rsidRDefault="00000000">
            <w:pPr>
              <w:rPr>
                <w:rFonts w:ascii="Meiryo UI" w:eastAsia="Meiryo UI" w:hAnsi="Meiryo UI" w:cs="Meiryo UI"/>
                <w:sz w:val="24"/>
                <w:szCs w:val="24"/>
              </w:rPr>
              <w:spacing w:before="0" w:after="120" w:line="360" w:lineRule="auto"/>
            </w:pPr>
            <w:r w:rsidRPr="008E297B">
              <w:rPr>
                <w:rFonts w:ascii="Meiryo UI" w:eastAsia="Meiryo UI" w:hAnsi="Meiryo UI" w:cs="Meiryo UI"/>
                <w:color w:val="F8F5F0"/>
                <w:sz w:val="24"/>
                <w:szCs w:val="24"/>
              </w:rPr>
              <w:t>閾値</w:t>
            </w:r>
          </w:p>
        </w:tc>
        <w:tc>
          <w:tcPr>
            <w:tcW w:w="3000" w:type="dxa"/>
            <w:tcBorders>
              <w:top w:val="single" w:sz="1" w:space="0" w:color="D4C9BC"/>
              <w:left w:val="single" w:sz="1" w:space="0" w:color="D4C9BC"/>
              <w:bottom w:val="single" w:sz="1" w:space="0" w:color="D4C9BC"/>
              <w:right w:val="single" w:sz="1" w:space="0" w:color="D4C9BC"/>
            </w:tcBorders>
            <w:shd w:val="clear" w:color="auto" w:fill="1A1410"/>
            <w:tcMar>
              <w:top w:w="80" w:type="dxa"/>
              <w:left w:w="120" w:type="dxa"/>
              <w:bottom w:w="80" w:type="dxa"/>
              <w:right w:w="120" w:type="dxa"/>
            </w:tcMar>
          </w:tcPr>
          <w:p w14:paraId="5E26CAA1" w14:textId="77777777" w:rsidR="00E41A65" w:rsidRPr="008E297B" w:rsidRDefault="00000000">
            <w:pPr>
              <w:rPr>
                <w:rFonts w:ascii="Meiryo UI" w:eastAsia="Meiryo UI" w:hAnsi="Meiryo UI" w:cs="Meiryo UI"/>
                <w:sz w:val="24"/>
                <w:szCs w:val="24"/>
              </w:rPr>
              <w:spacing w:before="0" w:after="120" w:line="360" w:lineRule="auto"/>
            </w:pPr>
            <w:r w:rsidRPr="008E297B">
              <w:rPr>
                <w:rFonts w:ascii="Meiryo UI" w:eastAsia="Meiryo UI" w:hAnsi="Meiryo UI" w:cs="Meiryo UI"/>
                <w:color w:val="F8F5F0"/>
                <w:sz w:val="24"/>
                <w:szCs w:val="24"/>
              </w:rPr>
              <w:t>意味</w:t>
            </w:r>
          </w:p>
        </w:tc>
      </w:tr>
      <w:tr w:rsidR="00E41A65" w:rsidRPr="006E1B70" w14:paraId="0FA0E0BC" w14:textId="77777777">
        <w:tblPrEx>
          <w:tblCellMar>
            <w:top w:w="0" w:type="dxa"/>
            <w:bottom w:w="0" w:type="dxa"/>
          </w:tblCellMar>
        </w:tblPrEx>
        <w:tc>
          <w:tcPr>
            <w:tcW w:w="2600" w:type="dxa"/>
            <w:tcBorders>
              <w:top w:val="single" w:sz="1" w:space="0" w:color="D4C9BC"/>
              <w:left w:val="single" w:sz="1" w:space="0" w:color="D4C9BC"/>
              <w:bottom w:val="single" w:sz="1" w:space="0" w:color="D4C9BC"/>
              <w:right w:val="single" w:sz="1" w:space="0" w:color="D4C9BC"/>
            </w:tcBorders>
            <w:shd w:val="clear" w:color="auto" w:fill="FFFFFF"/>
            <w:tcMar>
              <w:top w:w="80" w:type="dxa"/>
              <w:left w:w="120" w:type="dxa"/>
              <w:bottom w:w="80" w:type="dxa"/>
              <w:right w:w="120" w:type="dxa"/>
            </w:tcMar>
          </w:tcPr>
          <w:p w14:paraId="39D91896"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障害者手帳保有者の人口比</w:t>
            </w:r>
          </w:p>
        </w:tc>
        <w:tc>
          <w:tcPr>
            <w:tcW w:w="3600" w:type="dxa"/>
            <w:tcBorders>
              <w:top w:val="single" w:sz="1" w:space="0" w:color="D4C9BC"/>
              <w:left w:val="single" w:sz="1" w:space="0" w:color="D4C9BC"/>
              <w:bottom w:val="single" w:sz="1" w:space="0" w:color="D4C9BC"/>
              <w:right w:val="single" w:sz="1" w:space="0" w:color="D4C9BC"/>
            </w:tcBorders>
            <w:shd w:val="clear" w:color="auto" w:fill="FFFFFF"/>
            <w:tcMar>
              <w:top w:w="80" w:type="dxa"/>
              <w:left w:w="120" w:type="dxa"/>
              <w:bottom w:w="80" w:type="dxa"/>
              <w:right w:w="120" w:type="dxa"/>
            </w:tcMar>
          </w:tcPr>
          <w:p w14:paraId="5890FE8B"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20%超（現在約8%）が継続</w:t>
            </w:r>
          </w:p>
        </w:tc>
        <w:tc>
          <w:tcPr>
            <w:tcW w:w="3000" w:type="dxa"/>
            <w:tcBorders>
              <w:top w:val="single" w:sz="1" w:space="0" w:color="D4C9BC"/>
              <w:left w:val="single" w:sz="1" w:space="0" w:color="D4C9BC"/>
              <w:bottom w:val="single" w:sz="1" w:space="0" w:color="D4C9BC"/>
              <w:right w:val="single" w:sz="1" w:space="0" w:color="D4C9BC"/>
            </w:tcBorders>
            <w:shd w:val="clear" w:color="auto" w:fill="FFFFFF"/>
            <w:tcMar>
              <w:top w:w="80" w:type="dxa"/>
              <w:left w:w="120" w:type="dxa"/>
              <w:bottom w:w="80" w:type="dxa"/>
              <w:right w:w="120" w:type="dxa"/>
            </w:tcMar>
          </w:tcPr>
          <w:p w14:paraId="4D820259"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「障害者」が社会的少数派でなくなりつつある</w:t>
            </w:r>
          </w:p>
        </w:tc>
      </w:tr>
      <w:tr w:rsidR="00E41A65" w:rsidRPr="006E1B70" w14:paraId="59413020" w14:textId="77777777">
        <w:tblPrEx>
          <w:tblCellMar>
            <w:top w:w="0" w:type="dxa"/>
            <w:bottom w:w="0" w:type="dxa"/>
          </w:tblCellMar>
        </w:tblPrEx>
        <w:tc>
          <w:tcPr>
            <w:tcW w:w="2600" w:type="dxa"/>
            <w:tcBorders>
              <w:top w:val="single" w:sz="1" w:space="0" w:color="D4C9BC"/>
              <w:left w:val="single" w:sz="1" w:space="0" w:color="D4C9BC"/>
              <w:bottom w:val="single" w:sz="1" w:space="0" w:color="D4C9BC"/>
              <w:right w:val="single" w:sz="1" w:space="0" w:color="D4C9BC"/>
            </w:tcBorders>
            <w:shd w:val="clear" w:color="auto" w:fill="F0EBE3"/>
            <w:tcMar>
              <w:top w:w="80" w:type="dxa"/>
              <w:left w:w="120" w:type="dxa"/>
              <w:bottom w:w="80" w:type="dxa"/>
              <w:right w:w="120" w:type="dxa"/>
            </w:tcMar>
          </w:tcPr>
          <w:p w14:paraId="29DA3BF4"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グレーゾーン就労困難者の比率</w:t>
            </w:r>
          </w:p>
        </w:tc>
        <w:tc>
          <w:tcPr>
            <w:tcW w:w="3600" w:type="dxa"/>
            <w:tcBorders>
              <w:top w:val="single" w:sz="1" w:space="0" w:color="D4C9BC"/>
              <w:left w:val="single" w:sz="1" w:space="0" w:color="D4C9BC"/>
              <w:bottom w:val="single" w:sz="1" w:space="0" w:color="D4C9BC"/>
              <w:right w:val="single" w:sz="1" w:space="0" w:color="D4C9BC"/>
            </w:tcBorders>
            <w:shd w:val="clear" w:color="auto" w:fill="F0EBE3"/>
            <w:tcMar>
              <w:top w:w="80" w:type="dxa"/>
              <w:left w:w="120" w:type="dxa"/>
              <w:bottom w:w="80" w:type="dxa"/>
              <w:right w:w="120" w:type="dxa"/>
            </w:tcMar>
          </w:tcPr>
          <w:p w14:paraId="343AC733"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手帳非保有の就労困難者が手帳保有者を上回る</w:t>
            </w:r>
          </w:p>
        </w:tc>
        <w:tc>
          <w:tcPr>
            <w:tcW w:w="3000" w:type="dxa"/>
            <w:tcBorders>
              <w:top w:val="single" w:sz="1" w:space="0" w:color="D4C9BC"/>
              <w:left w:val="single" w:sz="1" w:space="0" w:color="D4C9BC"/>
              <w:bottom w:val="single" w:sz="1" w:space="0" w:color="D4C9BC"/>
              <w:right w:val="single" w:sz="1" w:space="0" w:color="D4C9BC"/>
            </w:tcBorders>
            <w:shd w:val="clear" w:color="auto" w:fill="F0EBE3"/>
            <w:tcMar>
              <w:top w:w="80" w:type="dxa"/>
              <w:left w:w="120" w:type="dxa"/>
              <w:bottom w:w="80" w:type="dxa"/>
              <w:right w:w="120" w:type="dxa"/>
            </w:tcMar>
          </w:tcPr>
          <w:p w14:paraId="4DF8B4E9"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現行の「障害者」定義が実態と乖離している</w:t>
            </w:r>
          </w:p>
        </w:tc>
      </w:tr>
      <w:tr w:rsidR="00E41A65" w:rsidRPr="006E1B70" w14:paraId="47660F92" w14:textId="77777777">
        <w:tblPrEx>
          <w:tblCellMar>
            <w:top w:w="0" w:type="dxa"/>
            <w:bottom w:w="0" w:type="dxa"/>
          </w:tblCellMar>
        </w:tblPrEx>
        <w:tc>
          <w:tcPr>
            <w:tcW w:w="2600" w:type="dxa"/>
            <w:tcBorders>
              <w:top w:val="single" w:sz="1" w:space="0" w:color="D4C9BC"/>
              <w:left w:val="single" w:sz="1" w:space="0" w:color="D4C9BC"/>
              <w:bottom w:val="single" w:sz="1" w:space="0" w:color="D4C9BC"/>
              <w:right w:val="single" w:sz="1" w:space="0" w:color="D4C9BC"/>
            </w:tcBorders>
            <w:shd w:val="clear" w:color="auto" w:fill="FFFFFF"/>
            <w:tcMar>
              <w:top w:w="80" w:type="dxa"/>
              <w:left w:w="120" w:type="dxa"/>
              <w:bottom w:w="80" w:type="dxa"/>
              <w:right w:w="120" w:type="dxa"/>
            </w:tcMar>
          </w:tcPr>
          <w:p w14:paraId="34E02187"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障害カテゴリへの自己同一化率</w:t>
            </w:r>
          </w:p>
        </w:tc>
        <w:tc>
          <w:tcPr>
            <w:tcW w:w="3600" w:type="dxa"/>
            <w:tcBorders>
              <w:top w:val="single" w:sz="1" w:space="0" w:color="D4C9BC"/>
              <w:left w:val="single" w:sz="1" w:space="0" w:color="D4C9BC"/>
              <w:bottom w:val="single" w:sz="1" w:space="0" w:color="D4C9BC"/>
              <w:right w:val="single" w:sz="1" w:space="0" w:color="D4C9BC"/>
            </w:tcBorders>
            <w:shd w:val="clear" w:color="auto" w:fill="FFFFFF"/>
            <w:tcMar>
              <w:top w:w="80" w:type="dxa"/>
              <w:left w:w="120" w:type="dxa"/>
              <w:bottom w:w="80" w:type="dxa"/>
              <w:right w:w="120" w:type="dxa"/>
            </w:tcMar>
          </w:tcPr>
          <w:p w14:paraId="15731315"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手帳保有者の50%未満しか「障害者」と自認しない</w:t>
            </w:r>
          </w:p>
        </w:tc>
        <w:tc>
          <w:tcPr>
            <w:tcW w:w="3000" w:type="dxa"/>
            <w:tcBorders>
              <w:top w:val="single" w:sz="1" w:space="0" w:color="D4C9BC"/>
              <w:left w:val="single" w:sz="1" w:space="0" w:color="D4C9BC"/>
              <w:bottom w:val="single" w:sz="1" w:space="0" w:color="D4C9BC"/>
              <w:right w:val="single" w:sz="1" w:space="0" w:color="D4C9BC"/>
            </w:tcBorders>
            <w:shd w:val="clear" w:color="auto" w:fill="FFFFFF"/>
            <w:tcMar>
              <w:top w:w="80" w:type="dxa"/>
              <w:left w:w="120" w:type="dxa"/>
              <w:bottom w:w="80" w:type="dxa"/>
              <w:right w:w="120" w:type="dxa"/>
            </w:tcMar>
          </w:tcPr>
          <w:p w14:paraId="7AAFDAB3"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制度の前提となる概念が崩れている</w:t>
            </w:r>
          </w:p>
        </w:tc>
      </w:tr>
      <w:tr w:rsidR="00E41A65" w:rsidRPr="006E1B70" w14:paraId="5999B9FD" w14:textId="77777777">
        <w:tblPrEx>
          <w:tblCellMar>
            <w:top w:w="0" w:type="dxa"/>
            <w:bottom w:w="0" w:type="dxa"/>
          </w:tblCellMar>
        </w:tblPrEx>
        <w:tc>
          <w:tcPr>
            <w:tcW w:w="2600" w:type="dxa"/>
            <w:tcBorders>
              <w:top w:val="single" w:sz="1" w:space="0" w:color="D4C9BC"/>
              <w:left w:val="single" w:sz="1" w:space="0" w:color="D4C9BC"/>
              <w:bottom w:val="single" w:sz="1" w:space="0" w:color="D4C9BC"/>
              <w:right w:val="single" w:sz="1" w:space="0" w:color="D4C9BC"/>
            </w:tcBorders>
            <w:shd w:val="clear" w:color="auto" w:fill="F0EBE3"/>
            <w:tcMar>
              <w:top w:w="80" w:type="dxa"/>
              <w:left w:w="120" w:type="dxa"/>
              <w:bottom w:w="80" w:type="dxa"/>
              <w:right w:w="120" w:type="dxa"/>
            </w:tcMar>
          </w:tcPr>
          <w:p w14:paraId="31702856"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インクルーシブ就労の自然達成率</w:t>
            </w:r>
          </w:p>
        </w:tc>
        <w:tc>
          <w:tcPr>
            <w:tcW w:w="3600" w:type="dxa"/>
            <w:tcBorders>
              <w:top w:val="single" w:sz="1" w:space="0" w:color="D4C9BC"/>
              <w:left w:val="single" w:sz="1" w:space="0" w:color="D4C9BC"/>
              <w:bottom w:val="single" w:sz="1" w:space="0" w:color="D4C9BC"/>
              <w:right w:val="single" w:sz="1" w:space="0" w:color="D4C9BC"/>
            </w:tcBorders>
            <w:shd w:val="clear" w:color="auto" w:fill="F0EBE3"/>
            <w:tcMar>
              <w:top w:w="80" w:type="dxa"/>
              <w:left w:w="120" w:type="dxa"/>
              <w:bottom w:w="80" w:type="dxa"/>
              <w:right w:w="120" w:type="dxa"/>
            </w:tcMar>
          </w:tcPr>
          <w:p w14:paraId="36C82BFB"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制度的配慮なしに多様な働き方を実現している企業が70%超</w:t>
            </w:r>
          </w:p>
        </w:tc>
        <w:tc>
          <w:tcPr>
            <w:tcW w:w="3000" w:type="dxa"/>
            <w:tcBorders>
              <w:top w:val="single" w:sz="1" w:space="0" w:color="D4C9BC"/>
              <w:left w:val="single" w:sz="1" w:space="0" w:color="D4C9BC"/>
              <w:bottom w:val="single" w:sz="1" w:space="0" w:color="D4C9BC"/>
              <w:right w:val="single" w:sz="1" w:space="0" w:color="D4C9BC"/>
            </w:tcBorders>
            <w:shd w:val="clear" w:color="auto" w:fill="F0EBE3"/>
            <w:tcMar>
              <w:top w:w="80" w:type="dxa"/>
              <w:left w:w="120" w:type="dxa"/>
              <w:bottom w:w="80" w:type="dxa"/>
              <w:right w:w="120" w:type="dxa"/>
            </w:tcMar>
          </w:tcPr>
          <w:p w14:paraId="384C13A0"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制度なしでも社会が機能するようになっている</w:t>
            </w:r>
          </w:p>
        </w:tc>
      </w:tr>
    </w:tbl>
    <w:p w14:paraId="79810915" w14:textId="77777777" w:rsidR="00E41A65" w:rsidRPr="006E1B70" w:rsidRDefault="00000000">
      <w:pPr>
        <w:pStyle w:val="2"/>
        <w:rPr>
          <w:rFonts w:ascii="Meiryo UI" w:eastAsia="Meiryo UI" w:hAnsi="Meiryo UI" w:cs="Meiryo UI"/>
        </w:rPr>
        <w:spacing w:before="240" w:after="80" w:line="360" w:lineRule="auto"/>
      </w:pPr>
      <w:r w:rsidRPr="006E1B70">
        <w:rPr>
          <w:rFonts w:ascii="Meiryo UI" w:eastAsia="Meiryo UI" w:hAnsi="Meiryo UI" w:cs="Meiryo UI"/>
          <w:color w:val="1A1410"/>
        </w:rPr>
        <w:t>グループ④　制度硬直化の指標（パターンD）</w:t>
      </w:r>
    </w:p>
    <w:tbl>
      <w:tblPr>
        <w:tblW w:w="92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600"/>
        <w:gridCol w:w="3000"/>
      </w:tblGrid>
      <w:tr w:rsidR="00E41A65" w:rsidRPr="006E1B70" w14:paraId="53AC09E3" w14:textId="77777777">
        <w:tblPrEx>
          <w:tblCellMar>
            <w:top w:w="0" w:type="dxa"/>
            <w:bottom w:w="0" w:type="dxa"/>
          </w:tblCellMar>
        </w:tblPrEx>
        <w:trPr>
          <w:tblHeader/>
        </w:trPr>
        <w:tc>
          <w:tcPr>
            <w:tcW w:w="2600" w:type="dxa"/>
            <w:tcBorders>
              <w:top w:val="single" w:sz="1" w:space="0" w:color="D4C9BC"/>
              <w:left w:val="single" w:sz="1" w:space="0" w:color="D4C9BC"/>
              <w:bottom w:val="single" w:sz="1" w:space="0" w:color="D4C9BC"/>
              <w:right w:val="single" w:sz="1" w:space="0" w:color="D4C9BC"/>
            </w:tcBorders>
            <w:shd w:val="clear" w:color="auto" w:fill="1A1410"/>
            <w:tcMar>
              <w:top w:w="80" w:type="dxa"/>
              <w:left w:w="120" w:type="dxa"/>
              <w:bottom w:w="80" w:type="dxa"/>
              <w:right w:w="120" w:type="dxa"/>
            </w:tcMar>
          </w:tcPr>
          <w:p w14:paraId="6646533A" w14:textId="77777777" w:rsidR="00E41A65" w:rsidRPr="008E297B" w:rsidRDefault="00000000">
            <w:pPr>
              <w:rPr>
                <w:rFonts w:ascii="Meiryo UI" w:eastAsia="Meiryo UI" w:hAnsi="Meiryo UI" w:cs="Meiryo UI"/>
                <w:sz w:val="24"/>
                <w:szCs w:val="24"/>
              </w:rPr>
              <w:spacing w:before="0" w:after="120" w:line="360" w:lineRule="auto"/>
            </w:pPr>
            <w:r w:rsidRPr="008E297B">
              <w:rPr>
                <w:rFonts w:ascii="Meiryo UI" w:eastAsia="Meiryo UI" w:hAnsi="Meiryo UI" w:cs="Meiryo UI"/>
                <w:color w:val="F8F5F0"/>
                <w:sz w:val="24"/>
                <w:szCs w:val="24"/>
              </w:rPr>
              <w:t>指標</w:t>
            </w:r>
          </w:p>
        </w:tc>
        <w:tc>
          <w:tcPr>
            <w:tcW w:w="3600" w:type="dxa"/>
            <w:tcBorders>
              <w:top w:val="single" w:sz="1" w:space="0" w:color="D4C9BC"/>
              <w:left w:val="single" w:sz="1" w:space="0" w:color="D4C9BC"/>
              <w:bottom w:val="single" w:sz="1" w:space="0" w:color="D4C9BC"/>
              <w:right w:val="single" w:sz="1" w:space="0" w:color="D4C9BC"/>
            </w:tcBorders>
            <w:shd w:val="clear" w:color="auto" w:fill="1A1410"/>
            <w:tcMar>
              <w:top w:w="80" w:type="dxa"/>
              <w:left w:w="120" w:type="dxa"/>
              <w:bottom w:w="80" w:type="dxa"/>
              <w:right w:w="120" w:type="dxa"/>
            </w:tcMar>
          </w:tcPr>
          <w:p w14:paraId="32F3C7CA" w14:textId="77777777" w:rsidR="00E41A65" w:rsidRPr="008E297B" w:rsidRDefault="00000000">
            <w:pPr>
              <w:rPr>
                <w:rFonts w:ascii="Meiryo UI" w:eastAsia="Meiryo UI" w:hAnsi="Meiryo UI" w:cs="Meiryo UI"/>
                <w:sz w:val="24"/>
                <w:szCs w:val="24"/>
              </w:rPr>
              <w:spacing w:before="0" w:after="120" w:line="360" w:lineRule="auto"/>
            </w:pPr>
            <w:r w:rsidRPr="008E297B">
              <w:rPr>
                <w:rFonts w:ascii="Meiryo UI" w:eastAsia="Meiryo UI" w:hAnsi="Meiryo UI" w:cs="Meiryo UI"/>
                <w:color w:val="F8F5F0"/>
                <w:sz w:val="24"/>
                <w:szCs w:val="24"/>
              </w:rPr>
              <w:t>閾値</w:t>
            </w:r>
          </w:p>
        </w:tc>
        <w:tc>
          <w:tcPr>
            <w:tcW w:w="3000" w:type="dxa"/>
            <w:tcBorders>
              <w:top w:val="single" w:sz="1" w:space="0" w:color="D4C9BC"/>
              <w:left w:val="single" w:sz="1" w:space="0" w:color="D4C9BC"/>
              <w:bottom w:val="single" w:sz="1" w:space="0" w:color="D4C9BC"/>
              <w:right w:val="single" w:sz="1" w:space="0" w:color="D4C9BC"/>
            </w:tcBorders>
            <w:shd w:val="clear" w:color="auto" w:fill="1A1410"/>
            <w:tcMar>
              <w:top w:w="80" w:type="dxa"/>
              <w:left w:w="120" w:type="dxa"/>
              <w:bottom w:w="80" w:type="dxa"/>
              <w:right w:w="120" w:type="dxa"/>
            </w:tcMar>
          </w:tcPr>
          <w:p w14:paraId="4D44638D" w14:textId="77777777" w:rsidR="00E41A65" w:rsidRPr="008E297B" w:rsidRDefault="00000000">
            <w:pPr>
              <w:rPr>
                <w:rFonts w:ascii="Meiryo UI" w:eastAsia="Meiryo UI" w:hAnsi="Meiryo UI" w:cs="Meiryo UI"/>
                <w:sz w:val="24"/>
                <w:szCs w:val="24"/>
              </w:rPr>
              <w:spacing w:before="0" w:after="120" w:line="360" w:lineRule="auto"/>
            </w:pPr>
            <w:r w:rsidRPr="008E297B">
              <w:rPr>
                <w:rFonts w:ascii="Meiryo UI" w:eastAsia="Meiryo UI" w:hAnsi="Meiryo UI" w:cs="Meiryo UI"/>
                <w:color w:val="F8F5F0"/>
                <w:sz w:val="24"/>
                <w:szCs w:val="24"/>
              </w:rPr>
              <w:t>意味</w:t>
            </w:r>
          </w:p>
        </w:tc>
      </w:tr>
      <w:tr w:rsidR="00E41A65" w:rsidRPr="006E1B70" w14:paraId="23E4E51A" w14:textId="77777777">
        <w:tblPrEx>
          <w:tblCellMar>
            <w:top w:w="0" w:type="dxa"/>
            <w:bottom w:w="0" w:type="dxa"/>
          </w:tblCellMar>
        </w:tblPrEx>
        <w:tc>
          <w:tcPr>
            <w:tcW w:w="2600" w:type="dxa"/>
            <w:tcBorders>
              <w:top w:val="single" w:sz="1" w:space="0" w:color="D4C9BC"/>
              <w:left w:val="single" w:sz="1" w:space="0" w:color="D4C9BC"/>
              <w:bottom w:val="single" w:sz="1" w:space="0" w:color="D4C9BC"/>
              <w:right w:val="single" w:sz="1" w:space="0" w:color="D4C9BC"/>
            </w:tcBorders>
            <w:shd w:val="clear" w:color="auto" w:fill="FFFFFF"/>
            <w:tcMar>
              <w:top w:w="80" w:type="dxa"/>
              <w:left w:w="120" w:type="dxa"/>
              <w:bottom w:w="80" w:type="dxa"/>
              <w:right w:w="120" w:type="dxa"/>
            </w:tcMar>
          </w:tcPr>
          <w:p w14:paraId="0A04385D"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準公務職員のタスク実態充足率</w:t>
            </w:r>
          </w:p>
        </w:tc>
        <w:tc>
          <w:tcPr>
            <w:tcW w:w="3600" w:type="dxa"/>
            <w:tcBorders>
              <w:top w:val="single" w:sz="1" w:space="0" w:color="D4C9BC"/>
              <w:left w:val="single" w:sz="1" w:space="0" w:color="D4C9BC"/>
              <w:bottom w:val="single" w:sz="1" w:space="0" w:color="D4C9BC"/>
              <w:right w:val="single" w:sz="1" w:space="0" w:color="D4C9BC"/>
            </w:tcBorders>
            <w:shd w:val="clear" w:color="auto" w:fill="FFFFFF"/>
            <w:tcMar>
              <w:top w:w="80" w:type="dxa"/>
              <w:left w:w="120" w:type="dxa"/>
              <w:bottom w:w="80" w:type="dxa"/>
              <w:right w:w="120" w:type="dxa"/>
            </w:tcMar>
          </w:tcPr>
          <w:p w14:paraId="5EF2F4AA"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登録者の30%超が「実質的な仕事なし」状態</w:t>
            </w:r>
          </w:p>
        </w:tc>
        <w:tc>
          <w:tcPr>
            <w:tcW w:w="3000" w:type="dxa"/>
            <w:tcBorders>
              <w:top w:val="single" w:sz="1" w:space="0" w:color="D4C9BC"/>
              <w:left w:val="single" w:sz="1" w:space="0" w:color="D4C9BC"/>
              <w:bottom w:val="single" w:sz="1" w:space="0" w:color="D4C9BC"/>
              <w:right w:val="single" w:sz="1" w:space="0" w:color="D4C9BC"/>
            </w:tcBorders>
            <w:shd w:val="clear" w:color="auto" w:fill="FFFFFF"/>
            <w:tcMar>
              <w:top w:w="80" w:type="dxa"/>
              <w:left w:w="120" w:type="dxa"/>
              <w:bottom w:w="80" w:type="dxa"/>
              <w:right w:w="120" w:type="dxa"/>
            </w:tcMar>
          </w:tcPr>
          <w:p w14:paraId="29A11665"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旧B型と同じ「居場所化」が始まっている</w:t>
            </w:r>
          </w:p>
        </w:tc>
      </w:tr>
      <w:tr w:rsidR="00E41A65" w:rsidRPr="006E1B70" w14:paraId="7C60F458" w14:textId="77777777">
        <w:tblPrEx>
          <w:tblCellMar>
            <w:top w:w="0" w:type="dxa"/>
            <w:bottom w:w="0" w:type="dxa"/>
          </w:tblCellMar>
        </w:tblPrEx>
        <w:tc>
          <w:tcPr>
            <w:tcW w:w="2600" w:type="dxa"/>
            <w:tcBorders>
              <w:top w:val="single" w:sz="1" w:space="0" w:color="D4C9BC"/>
              <w:left w:val="single" w:sz="1" w:space="0" w:color="D4C9BC"/>
              <w:bottom w:val="single" w:sz="1" w:space="0" w:color="D4C9BC"/>
              <w:right w:val="single" w:sz="1" w:space="0" w:color="D4C9BC"/>
            </w:tcBorders>
            <w:shd w:val="clear" w:color="auto" w:fill="F0EBE3"/>
            <w:tcMar>
              <w:top w:w="80" w:type="dxa"/>
              <w:left w:w="120" w:type="dxa"/>
              <w:bottom w:w="80" w:type="dxa"/>
              <w:right w:w="120" w:type="dxa"/>
            </w:tcMar>
          </w:tcPr>
          <w:p w14:paraId="1F35EA11"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SCPポイントCレーン比率</w:t>
            </w:r>
          </w:p>
        </w:tc>
        <w:tc>
          <w:tcPr>
            <w:tcW w:w="3600" w:type="dxa"/>
            <w:tcBorders>
              <w:top w:val="single" w:sz="1" w:space="0" w:color="D4C9BC"/>
              <w:left w:val="single" w:sz="1" w:space="0" w:color="D4C9BC"/>
              <w:bottom w:val="single" w:sz="1" w:space="0" w:color="D4C9BC"/>
              <w:right w:val="single" w:sz="1" w:space="0" w:color="D4C9BC"/>
            </w:tcBorders>
            <w:shd w:val="clear" w:color="auto" w:fill="F0EBE3"/>
            <w:tcMar>
              <w:top w:w="80" w:type="dxa"/>
              <w:left w:w="120" w:type="dxa"/>
              <w:bottom w:w="80" w:type="dxa"/>
              <w:right w:w="120" w:type="dxa"/>
            </w:tcMar>
          </w:tcPr>
          <w:p w14:paraId="72615CEC"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Cレーン（拠出金）が義務の45%超を恒常的に占める</w:t>
            </w:r>
          </w:p>
        </w:tc>
        <w:tc>
          <w:tcPr>
            <w:tcW w:w="3000" w:type="dxa"/>
            <w:tcBorders>
              <w:top w:val="single" w:sz="1" w:space="0" w:color="D4C9BC"/>
              <w:left w:val="single" w:sz="1" w:space="0" w:color="D4C9BC"/>
              <w:bottom w:val="single" w:sz="1" w:space="0" w:color="D4C9BC"/>
              <w:right w:val="single" w:sz="1" w:space="0" w:color="D4C9BC"/>
            </w:tcBorders>
            <w:shd w:val="clear" w:color="auto" w:fill="F0EBE3"/>
            <w:tcMar>
              <w:top w:w="80" w:type="dxa"/>
              <w:left w:w="120" w:type="dxa"/>
              <w:bottom w:w="80" w:type="dxa"/>
              <w:right w:w="120" w:type="dxa"/>
            </w:tcMar>
          </w:tcPr>
          <w:p w14:paraId="1C36C645"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企業が「払えば済む」構造に逆戻りしている</w:t>
            </w:r>
          </w:p>
        </w:tc>
      </w:tr>
      <w:tr w:rsidR="00E41A65" w:rsidRPr="006E1B70" w14:paraId="77BCDC4B" w14:textId="77777777">
        <w:tblPrEx>
          <w:tblCellMar>
            <w:top w:w="0" w:type="dxa"/>
            <w:bottom w:w="0" w:type="dxa"/>
          </w:tblCellMar>
        </w:tblPrEx>
        <w:tc>
          <w:tcPr>
            <w:tcW w:w="2600" w:type="dxa"/>
            <w:tcBorders>
              <w:top w:val="single" w:sz="1" w:space="0" w:color="D4C9BC"/>
              <w:left w:val="single" w:sz="1" w:space="0" w:color="D4C9BC"/>
              <w:bottom w:val="single" w:sz="1" w:space="0" w:color="D4C9BC"/>
              <w:right w:val="single" w:sz="1" w:space="0" w:color="D4C9BC"/>
            </w:tcBorders>
            <w:shd w:val="clear" w:color="auto" w:fill="FFFFFF"/>
            <w:tcMar>
              <w:top w:w="80" w:type="dxa"/>
              <w:left w:w="120" w:type="dxa"/>
              <w:bottom w:w="80" w:type="dxa"/>
              <w:right w:w="120" w:type="dxa"/>
            </w:tcMar>
          </w:tcPr>
          <w:p w14:paraId="2E8AC569"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推進局スタッフの内部告発件数</w:t>
            </w:r>
          </w:p>
        </w:tc>
        <w:tc>
          <w:tcPr>
            <w:tcW w:w="3600" w:type="dxa"/>
            <w:tcBorders>
              <w:top w:val="single" w:sz="1" w:space="0" w:color="D4C9BC"/>
              <w:left w:val="single" w:sz="1" w:space="0" w:color="D4C9BC"/>
              <w:bottom w:val="single" w:sz="1" w:space="0" w:color="D4C9BC"/>
              <w:right w:val="single" w:sz="1" w:space="0" w:color="D4C9BC"/>
            </w:tcBorders>
            <w:shd w:val="clear" w:color="auto" w:fill="FFFFFF"/>
            <w:tcMar>
              <w:top w:w="80" w:type="dxa"/>
              <w:left w:w="120" w:type="dxa"/>
              <w:bottom w:w="80" w:type="dxa"/>
              <w:right w:w="120" w:type="dxa"/>
            </w:tcMar>
          </w:tcPr>
          <w:p w14:paraId="1CC42749"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年間50件超が3年連続</w:t>
            </w:r>
          </w:p>
        </w:tc>
        <w:tc>
          <w:tcPr>
            <w:tcW w:w="3000" w:type="dxa"/>
            <w:tcBorders>
              <w:top w:val="single" w:sz="1" w:space="0" w:color="D4C9BC"/>
              <w:left w:val="single" w:sz="1" w:space="0" w:color="D4C9BC"/>
              <w:bottom w:val="single" w:sz="1" w:space="0" w:color="D4C9BC"/>
              <w:right w:val="single" w:sz="1" w:space="0" w:color="D4C9BC"/>
            </w:tcBorders>
            <w:shd w:val="clear" w:color="auto" w:fill="FFFFFF"/>
            <w:tcMar>
              <w:top w:w="80" w:type="dxa"/>
              <w:left w:w="120" w:type="dxa"/>
              <w:bottom w:w="80" w:type="dxa"/>
              <w:right w:w="120" w:type="dxa"/>
            </w:tcMar>
          </w:tcPr>
          <w:p w14:paraId="2C23E2B4"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組織内部で問題が隠蔽されている</w:t>
            </w:r>
          </w:p>
        </w:tc>
      </w:tr>
      <w:tr w:rsidR="00E41A65" w:rsidRPr="006E1B70" w14:paraId="57E69779" w14:textId="77777777">
        <w:tblPrEx>
          <w:tblCellMar>
            <w:top w:w="0" w:type="dxa"/>
            <w:bottom w:w="0" w:type="dxa"/>
          </w:tblCellMar>
        </w:tblPrEx>
        <w:tc>
          <w:tcPr>
            <w:tcW w:w="2600" w:type="dxa"/>
            <w:tcBorders>
              <w:top w:val="single" w:sz="1" w:space="0" w:color="D4C9BC"/>
              <w:left w:val="single" w:sz="1" w:space="0" w:color="D4C9BC"/>
              <w:bottom w:val="single" w:sz="1" w:space="0" w:color="D4C9BC"/>
              <w:right w:val="single" w:sz="1" w:space="0" w:color="D4C9BC"/>
            </w:tcBorders>
            <w:shd w:val="clear" w:color="auto" w:fill="F0EBE3"/>
            <w:tcMar>
              <w:top w:w="80" w:type="dxa"/>
              <w:left w:w="120" w:type="dxa"/>
              <w:bottom w:w="80" w:type="dxa"/>
              <w:right w:w="120" w:type="dxa"/>
            </w:tcMar>
          </w:tcPr>
          <w:p w14:paraId="235C1F56"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制度改善提案の採択率</w:t>
            </w:r>
          </w:p>
        </w:tc>
        <w:tc>
          <w:tcPr>
            <w:tcW w:w="3600" w:type="dxa"/>
            <w:tcBorders>
              <w:top w:val="single" w:sz="1" w:space="0" w:color="D4C9BC"/>
              <w:left w:val="single" w:sz="1" w:space="0" w:color="D4C9BC"/>
              <w:bottom w:val="single" w:sz="1" w:space="0" w:color="D4C9BC"/>
              <w:right w:val="single" w:sz="1" w:space="0" w:color="D4C9BC"/>
            </w:tcBorders>
            <w:shd w:val="clear" w:color="auto" w:fill="F0EBE3"/>
            <w:tcMar>
              <w:top w:w="80" w:type="dxa"/>
              <w:left w:w="120" w:type="dxa"/>
              <w:bottom w:w="80" w:type="dxa"/>
              <w:right w:w="120" w:type="dxa"/>
            </w:tcMar>
          </w:tcPr>
          <w:p w14:paraId="202AE3E9"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外部からの改善提案採択率が10%未満が5年継続</w:t>
            </w:r>
          </w:p>
        </w:tc>
        <w:tc>
          <w:tcPr>
            <w:tcW w:w="3000" w:type="dxa"/>
            <w:tcBorders>
              <w:top w:val="single" w:sz="1" w:space="0" w:color="D4C9BC"/>
              <w:left w:val="single" w:sz="1" w:space="0" w:color="D4C9BC"/>
              <w:bottom w:val="single" w:sz="1" w:space="0" w:color="D4C9BC"/>
              <w:right w:val="single" w:sz="1" w:space="0" w:color="D4C9BC"/>
            </w:tcBorders>
            <w:shd w:val="clear" w:color="auto" w:fill="F0EBE3"/>
            <w:tcMar>
              <w:top w:w="80" w:type="dxa"/>
              <w:left w:w="120" w:type="dxa"/>
              <w:bottom w:w="80" w:type="dxa"/>
              <w:right w:w="120" w:type="dxa"/>
            </w:tcMar>
          </w:tcPr>
          <w:p w14:paraId="287627EE"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推進局が「制度の守り手」になっている</w:t>
            </w:r>
          </w:p>
        </w:tc>
      </w:tr>
      <w:tr w:rsidR="00E41A65" w:rsidRPr="006E1B70" w14:paraId="4085E05F" w14:textId="77777777">
        <w:tblPrEx>
          <w:tblCellMar>
            <w:top w:w="0" w:type="dxa"/>
            <w:bottom w:w="0" w:type="dxa"/>
          </w:tblCellMar>
        </w:tblPrEx>
        <w:tc>
          <w:tcPr>
            <w:tcW w:w="2600" w:type="dxa"/>
            <w:tcBorders>
              <w:top w:val="single" w:sz="1" w:space="0" w:color="D4C9BC"/>
              <w:left w:val="single" w:sz="1" w:space="0" w:color="D4C9BC"/>
              <w:bottom w:val="single" w:sz="1" w:space="0" w:color="D4C9BC"/>
              <w:right w:val="single" w:sz="1" w:space="0" w:color="D4C9BC"/>
            </w:tcBorders>
            <w:shd w:val="clear" w:color="auto" w:fill="FFFFFF"/>
            <w:tcMar>
              <w:top w:w="80" w:type="dxa"/>
              <w:left w:w="120" w:type="dxa"/>
              <w:bottom w:w="80" w:type="dxa"/>
              <w:right w:w="120" w:type="dxa"/>
            </w:tcMar>
          </w:tcPr>
          <w:p w14:paraId="444DD7C5"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当事者満足度スコア</w:t>
            </w:r>
          </w:p>
        </w:tc>
        <w:tc>
          <w:tcPr>
            <w:tcW w:w="3600" w:type="dxa"/>
            <w:tcBorders>
              <w:top w:val="single" w:sz="1" w:space="0" w:color="D4C9BC"/>
              <w:left w:val="single" w:sz="1" w:space="0" w:color="D4C9BC"/>
              <w:bottom w:val="single" w:sz="1" w:space="0" w:color="D4C9BC"/>
              <w:right w:val="single" w:sz="1" w:space="0" w:color="D4C9BC"/>
            </w:tcBorders>
            <w:shd w:val="clear" w:color="auto" w:fill="FFFFFF"/>
            <w:tcMar>
              <w:top w:w="80" w:type="dxa"/>
              <w:left w:w="120" w:type="dxa"/>
              <w:bottom w:w="80" w:type="dxa"/>
              <w:right w:w="120" w:type="dxa"/>
            </w:tcMar>
          </w:tcPr>
          <w:p w14:paraId="795B8019"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準公務職員の制度満足度が50点未満で3年継続</w:t>
            </w:r>
          </w:p>
        </w:tc>
        <w:tc>
          <w:tcPr>
            <w:tcW w:w="3000" w:type="dxa"/>
            <w:tcBorders>
              <w:top w:val="single" w:sz="1" w:space="0" w:color="D4C9BC"/>
              <w:left w:val="single" w:sz="1" w:space="0" w:color="D4C9BC"/>
              <w:bottom w:val="single" w:sz="1" w:space="0" w:color="D4C9BC"/>
              <w:right w:val="single" w:sz="1" w:space="0" w:color="D4C9BC"/>
            </w:tcBorders>
            <w:shd w:val="clear" w:color="auto" w:fill="FFFFFF"/>
            <w:tcMar>
              <w:top w:w="80" w:type="dxa"/>
              <w:left w:w="120" w:type="dxa"/>
              <w:bottom w:w="80" w:type="dxa"/>
              <w:right w:w="120" w:type="dxa"/>
            </w:tcMar>
          </w:tcPr>
          <w:p w14:paraId="464E2FA0"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制度が当事者のためでなくなっている</w:t>
            </w:r>
          </w:p>
        </w:tc>
      </w:tr>
    </w:tbl>
    <w:p w14:paraId="6AFD6EC8" w14:textId="77777777" w:rsidR="00E41A65" w:rsidRPr="006E1B70" w:rsidRDefault="00E41A65">
      <w:pPr>
        <w:pBdr>
          <w:bottom w:val="single" w:sz="2" w:space="1" w:color="B8974A"/>
        </w:pBdr>
        <w:spacing w:before="0" w:after="120" w:line="360" w:lineRule="auto"/>
        <w:rPr>
          <w:rFonts w:ascii="Meiryo UI" w:eastAsia="Meiryo UI" w:hAnsi="Meiryo UI" w:cs="Meiryo UI"/>
        </w:rPr>
      </w:pPr>
    </w:p>
    <w:p w14:paraId="178FD96F" w14:textId="77777777" w:rsidR="00E41A65" w:rsidRPr="006E1B70" w:rsidRDefault="00000000">
      <w:pPr>
        <w:pStyle w:val="1"/>
        <w:pBdr>
          <w:bottom w:val="single" w:sz="3" w:space="6" w:color="B8974A"/>
        </w:pBdr>
        <w:rPr>
          <w:rFonts w:ascii="Meiryo UI" w:eastAsia="Meiryo UI" w:hAnsi="Meiryo UI" w:cs="Meiryo UI"/>
        </w:rPr>
        <w:spacing w:before="360" w:after="120" w:line="360" w:lineRule="auto"/>
      </w:pPr>
      <w:r w:rsidRPr="006E1B70">
        <w:rPr>
          <w:rFonts w:ascii="Meiryo UI" w:eastAsia="Meiryo UI" w:hAnsi="Meiryo UI" w:cs="Meiryo UI"/>
          <w:color w:val="1A1410"/>
        </w:rPr>
        <w:t>第3節　日没条項（Sunset Clause）の設計</w:t>
      </w:r>
    </w:p>
    <w:p w14:paraId="049524A9" w14:textId="77777777" w:rsidR="00E41A65" w:rsidRPr="006E1B70" w:rsidRDefault="00000000">
      <w:pPr>
        <w:pStyle w:val="2"/>
        <w:rPr>
          <w:rFonts w:ascii="Meiryo UI" w:eastAsia="Meiryo UI" w:hAnsi="Meiryo UI" w:cs="Meiryo UI"/>
        </w:rPr>
        <w:spacing w:before="240" w:after="80" w:line="360" w:lineRule="auto"/>
      </w:pPr>
      <w:r w:rsidRPr="006E1B70">
        <w:rPr>
          <w:rFonts w:ascii="Meiryo UI" w:eastAsia="Meiryo UI" w:hAnsi="Meiryo UI" w:cs="Meiryo UI"/>
          <w:color w:val="1A1410"/>
        </w:rPr>
        <w:t>日没条項とは何か</w:t>
      </w:r>
    </w:p>
    <w:p w14:paraId="68AC16BF" w14:textId="77777777" w:rsidR="00E41A65" w:rsidRPr="0004251E" w:rsidRDefault="00000000">
      <w:pPr>
        <w:spacing w:after="120" w:before="0" w:line="360" w:lineRule="auto"/>
        <w:rPr>
          <w:rFonts w:ascii="Meiryo UI" w:eastAsia="Meiryo UI" w:hAnsi="Meiryo UI" w:cs="Meiryo UI"/>
          <w:color w:val="000000" w:themeColor="text1"/>
          <w:sz w:val="24"/>
          <w:szCs w:val="24"/>
        </w:rPr>
      </w:pPr>
      <w:r w:rsidRPr="0004251E">
        <w:rPr>
          <w:rFonts w:ascii="Meiryo UI" w:eastAsia="Meiryo UI" w:hAnsi="Meiryo UI" w:cs="Meiryo UI"/>
          <w:color w:val="000000" w:themeColor="text1"/>
          <w:sz w:val="24"/>
          <w:szCs w:val="24"/>
        </w:rPr>
        <w:t>日没条項とは、法律や制度に「有効期限」または「自動的な見直しトリガー」をあらかじめ組み込む立法技術である。欧米では行政規制・福祉制度・税制優遇などに広く採用されており、「放置による制度の老朽化」を構造的に防ぐ効果がある。現行制度が66年間見直されなかった最大の原因は、終わりを設計しなかったことにある。本制度はその教訓を活かし、以下の二層で日没条項を設計する。</w:t>
      </w:r>
    </w:p>
    <w:p w14:paraId="2CF195CC" w14:textId="77777777" w:rsidR="00E41A65" w:rsidRPr="0004251E" w:rsidRDefault="00000000">
      <w:pPr>
        <w:pStyle w:val="2"/>
        <w:rPr>
          <w:rFonts w:ascii="Meiryo UI" w:eastAsia="Meiryo UI" w:hAnsi="Meiryo UI" w:cs="Meiryo UI"/>
          <w:color w:val="000000" w:themeColor="text1"/>
        </w:rPr>
        <w:spacing w:before="240" w:after="80" w:line="360" w:lineRule="auto"/>
      </w:pPr>
      <w:r w:rsidRPr="0004251E">
        <w:rPr>
          <w:rFonts w:ascii="Meiryo UI" w:eastAsia="Meiryo UI" w:hAnsi="Meiryo UI" w:cs="Meiryo UI"/>
          <w:color w:val="000000" w:themeColor="text1"/>
        </w:rPr>
        <w:t>第一層：定期レビュー型（10年ごと）</w:t>
      </w:r>
    </w:p>
    <w:p w14:paraId="4B0C88FA" w14:textId="77777777" w:rsidR="00E41A65" w:rsidRPr="0004251E" w:rsidRDefault="00000000">
      <w:pPr>
        <w:spacing w:after="120" w:before="0" w:line="360" w:lineRule="auto"/>
        <w:rPr>
          <w:rFonts w:ascii="Meiryo UI" w:eastAsia="Meiryo UI" w:hAnsi="Meiryo UI" w:cs="Meiryo UI"/>
          <w:color w:val="000000" w:themeColor="text1"/>
          <w:sz w:val="24"/>
          <w:szCs w:val="24"/>
        </w:rPr>
      </w:pPr>
      <w:r w:rsidRPr="0004251E">
        <w:rPr>
          <w:rFonts w:ascii="Meiryo UI" w:eastAsia="Meiryo UI" w:hAnsi="Meiryo UI" w:cs="Meiryo UI"/>
          <w:color w:val="000000" w:themeColor="text1"/>
          <w:sz w:val="24"/>
          <w:szCs w:val="24"/>
        </w:rPr>
        <w:t>制度開始から10年ごとに「制度存続の正当性審査」を義務化する。審査は推進局ではなく独立した第三者機関（国会が任命）が担う。審査の結果は「継続」「縮小」「改革」「統合・廃止」の4択で勧告する。国会はこの勧告を受け、1年以内に立法的対応を義務付ける。対応しないことは許されない。</w:t>
      </w:r>
    </w:p>
    <w:p w14:paraId="3AEFBECE" w14:textId="77777777" w:rsidR="00E41A65" w:rsidRPr="006E1B70" w:rsidRDefault="00000000">
      <w:pPr>
        <w:pStyle w:val="2"/>
        <w:rPr>
          <w:rFonts w:ascii="Meiryo UI" w:eastAsia="Meiryo UI" w:hAnsi="Meiryo UI" w:cs="Meiryo UI"/>
        </w:rPr>
        <w:spacing w:before="240" w:after="80" w:line="360" w:lineRule="auto"/>
      </w:pPr>
      <w:r w:rsidRPr="006E1B70">
        <w:rPr>
          <w:rFonts w:ascii="Meiryo UI" w:eastAsia="Meiryo UI" w:hAnsi="Meiryo UI" w:cs="Meiryo UI"/>
          <w:color w:val="1A1410"/>
        </w:rPr>
        <w:t>第二層：指標トリガー型（随時）</w:t>
      </w:r>
    </w:p>
    <w:p w14:paraId="1A77B277" w14:textId="77777777" w:rsidR="00E41A65" w:rsidRPr="0004251E" w:rsidRDefault="00000000">
      <w:pPr>
        <w:spacing w:after="120" w:before="0" w:line="360" w:lineRule="auto"/>
        <w:rPr>
          <w:rFonts w:ascii="Meiryo UI" w:eastAsia="Meiryo UI" w:hAnsi="Meiryo UI" w:cs="Meiryo UI"/>
          <w:color w:val="000000" w:themeColor="text1"/>
          <w:sz w:val="24"/>
          <w:szCs w:val="24"/>
        </w:rPr>
      </w:pPr>
      <w:r w:rsidRPr="0004251E">
        <w:rPr>
          <w:rFonts w:ascii="Meiryo UI" w:eastAsia="Meiryo UI" w:hAnsi="Meiryo UI" w:cs="Meiryo UI"/>
          <w:color w:val="000000" w:themeColor="text1"/>
          <w:sz w:val="24"/>
          <w:szCs w:val="24"/>
        </w:rPr>
        <w:t>第2節の17指標のうち、同一グループから3つ以上が閾値を超えた状態が2年以上継続した場合、自動的に「制度緊急見直しプロセス」が発動する。</w:t>
      </w:r>
    </w:p>
    <w:p w14:paraId="7D063999" w14:textId="77777777" w:rsidR="00E41A65" w:rsidRPr="006E1B70" w:rsidRDefault="00E41A65">
      <w:pPr>
        <w:spacing w:after="120" w:before="0" w:line="360" w:lineRule="auto"/>
        <w:rPr>
          <w:rFonts w:ascii="Meiryo UI" w:eastAsia="Meiryo UI" w:hAnsi="Meiryo UI" w:cs="Meiryo UI"/>
        </w:rPr>
      </w:pPr>
    </w:p>
    <w:tbl>
      <w:tblPr>
        <w:tblW w:w="92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6000"/>
      </w:tblGrid>
      <w:tr w:rsidR="00E41A65" w:rsidRPr="006E1B70" w14:paraId="1847A112" w14:textId="77777777">
        <w:tblPrEx>
          <w:tblCellMar>
            <w:top w:w="0" w:type="dxa"/>
            <w:bottom w:w="0" w:type="dxa"/>
          </w:tblCellMar>
        </w:tblPrEx>
        <w:trPr>
          <w:tblHeader/>
        </w:trPr>
        <w:tc>
          <w:tcPr>
            <w:tcW w:w="1400" w:type="dxa"/>
            <w:tcBorders>
              <w:top w:val="single" w:sz="1" w:space="0" w:color="D4C9BC"/>
              <w:left w:val="single" w:sz="1" w:space="0" w:color="D4C9BC"/>
              <w:bottom w:val="single" w:sz="1" w:space="0" w:color="D4C9BC"/>
              <w:right w:val="single" w:sz="1" w:space="0" w:color="D4C9BC"/>
            </w:tcBorders>
            <w:shd w:val="clear" w:color="auto" w:fill="1A1410"/>
            <w:tcMar>
              <w:top w:w="80" w:type="dxa"/>
              <w:left w:w="120" w:type="dxa"/>
              <w:bottom w:w="80" w:type="dxa"/>
              <w:right w:w="120" w:type="dxa"/>
            </w:tcMar>
          </w:tcPr>
          <w:p w14:paraId="72DC8F86" w14:textId="77777777" w:rsidR="00E41A65" w:rsidRPr="008E297B" w:rsidRDefault="00000000">
            <w:pPr>
              <w:rPr>
                <w:rFonts w:ascii="Meiryo UI" w:eastAsia="Meiryo UI" w:hAnsi="Meiryo UI" w:cs="Meiryo UI"/>
                <w:sz w:val="24"/>
                <w:szCs w:val="24"/>
              </w:rPr>
              <w:spacing w:before="0" w:after="120" w:line="360" w:lineRule="auto"/>
            </w:pPr>
            <w:r w:rsidRPr="008E297B">
              <w:rPr>
                <w:rFonts w:ascii="Meiryo UI" w:eastAsia="Meiryo UI" w:hAnsi="Meiryo UI" w:cs="Meiryo UI"/>
                <w:color w:val="F8F5F0"/>
                <w:sz w:val="24"/>
                <w:szCs w:val="24"/>
              </w:rPr>
              <w:t>ステップ</w:t>
            </w:r>
          </w:p>
        </w:tc>
        <w:tc>
          <w:tcPr>
            <w:tcW w:w="1800" w:type="dxa"/>
            <w:tcBorders>
              <w:top w:val="single" w:sz="1" w:space="0" w:color="D4C9BC"/>
              <w:left w:val="single" w:sz="1" w:space="0" w:color="D4C9BC"/>
              <w:bottom w:val="single" w:sz="1" w:space="0" w:color="D4C9BC"/>
              <w:right w:val="single" w:sz="1" w:space="0" w:color="D4C9BC"/>
            </w:tcBorders>
            <w:shd w:val="clear" w:color="auto" w:fill="1A1410"/>
            <w:tcMar>
              <w:top w:w="80" w:type="dxa"/>
              <w:left w:w="120" w:type="dxa"/>
              <w:bottom w:w="80" w:type="dxa"/>
              <w:right w:w="120" w:type="dxa"/>
            </w:tcMar>
          </w:tcPr>
          <w:p w14:paraId="127B0C15" w14:textId="77777777" w:rsidR="00E41A65" w:rsidRPr="008E297B" w:rsidRDefault="00000000">
            <w:pPr>
              <w:rPr>
                <w:rFonts w:ascii="Meiryo UI" w:eastAsia="Meiryo UI" w:hAnsi="Meiryo UI" w:cs="Meiryo UI"/>
                <w:sz w:val="24"/>
                <w:szCs w:val="24"/>
              </w:rPr>
              <w:spacing w:before="0" w:after="120" w:line="360" w:lineRule="auto"/>
            </w:pPr>
            <w:r w:rsidRPr="008E297B">
              <w:rPr>
                <w:rFonts w:ascii="Meiryo UI" w:eastAsia="Meiryo UI" w:hAnsi="Meiryo UI" w:cs="Meiryo UI"/>
                <w:color w:val="F8F5F0"/>
                <w:sz w:val="24"/>
                <w:szCs w:val="24"/>
              </w:rPr>
              <w:t>期限</w:t>
            </w:r>
          </w:p>
        </w:tc>
        <w:tc>
          <w:tcPr>
            <w:tcW w:w="6000" w:type="dxa"/>
            <w:tcBorders>
              <w:top w:val="single" w:sz="1" w:space="0" w:color="D4C9BC"/>
              <w:left w:val="single" w:sz="1" w:space="0" w:color="D4C9BC"/>
              <w:bottom w:val="single" w:sz="1" w:space="0" w:color="D4C9BC"/>
              <w:right w:val="single" w:sz="1" w:space="0" w:color="D4C9BC"/>
            </w:tcBorders>
            <w:shd w:val="clear" w:color="auto" w:fill="1A1410"/>
            <w:tcMar>
              <w:top w:w="80" w:type="dxa"/>
              <w:left w:w="120" w:type="dxa"/>
              <w:bottom w:w="80" w:type="dxa"/>
              <w:right w:w="120" w:type="dxa"/>
            </w:tcMar>
          </w:tcPr>
          <w:p w14:paraId="158B339C" w14:textId="77777777" w:rsidR="00E41A65" w:rsidRPr="008E297B" w:rsidRDefault="00000000">
            <w:pPr>
              <w:rPr>
                <w:rFonts w:ascii="Meiryo UI" w:eastAsia="Meiryo UI" w:hAnsi="Meiryo UI" w:cs="Meiryo UI"/>
                <w:sz w:val="24"/>
                <w:szCs w:val="24"/>
              </w:rPr>
              <w:spacing w:before="0" w:after="120" w:line="360" w:lineRule="auto"/>
            </w:pPr>
            <w:r w:rsidRPr="008E297B">
              <w:rPr>
                <w:rFonts w:ascii="Meiryo UI" w:eastAsia="Meiryo UI" w:hAnsi="Meiryo UI" w:cs="Meiryo UI"/>
                <w:color w:val="F8F5F0"/>
                <w:sz w:val="24"/>
                <w:szCs w:val="24"/>
              </w:rPr>
              <w:t>内容</w:t>
            </w:r>
          </w:p>
        </w:tc>
      </w:tr>
      <w:tr w:rsidR="00E41A65" w:rsidRPr="006E1B70" w14:paraId="5598B8DF" w14:textId="77777777">
        <w:tblPrEx>
          <w:tblCellMar>
            <w:top w:w="0" w:type="dxa"/>
            <w:bottom w:w="0" w:type="dxa"/>
          </w:tblCellMar>
        </w:tblPrEx>
        <w:tc>
          <w:tcPr>
            <w:tcW w:w="1400" w:type="dxa"/>
            <w:tcBorders>
              <w:top w:val="single" w:sz="1" w:space="0" w:color="D4C9BC"/>
              <w:left w:val="single" w:sz="1" w:space="0" w:color="D4C9BC"/>
              <w:bottom w:val="single" w:sz="1" w:space="0" w:color="D4C9BC"/>
              <w:right w:val="single" w:sz="1" w:space="0" w:color="D4C9BC"/>
            </w:tcBorders>
            <w:shd w:val="clear" w:color="auto" w:fill="FFFFFF"/>
            <w:tcMar>
              <w:top w:w="80" w:type="dxa"/>
              <w:left w:w="120" w:type="dxa"/>
              <w:bottom w:w="80" w:type="dxa"/>
              <w:right w:w="120" w:type="dxa"/>
            </w:tcMar>
          </w:tcPr>
          <w:p w14:paraId="0EFAE843"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Step 1</w:t>
            </w:r>
          </w:p>
        </w:tc>
        <w:tc>
          <w:tcPr>
            <w:tcW w:w="1800" w:type="dxa"/>
            <w:tcBorders>
              <w:top w:val="single" w:sz="1" w:space="0" w:color="D4C9BC"/>
              <w:left w:val="single" w:sz="1" w:space="0" w:color="D4C9BC"/>
              <w:bottom w:val="single" w:sz="1" w:space="0" w:color="D4C9BC"/>
              <w:right w:val="single" w:sz="1" w:space="0" w:color="D4C9BC"/>
            </w:tcBorders>
            <w:shd w:val="clear" w:color="auto" w:fill="FFFFFF"/>
            <w:tcMar>
              <w:top w:w="80" w:type="dxa"/>
              <w:left w:w="120" w:type="dxa"/>
              <w:bottom w:w="80" w:type="dxa"/>
              <w:right w:w="120" w:type="dxa"/>
            </w:tcMar>
          </w:tcPr>
          <w:p w14:paraId="4AAD1912"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発動から3ヶ月以内</w:t>
            </w:r>
          </w:p>
        </w:tc>
        <w:tc>
          <w:tcPr>
            <w:tcW w:w="6000" w:type="dxa"/>
            <w:tcBorders>
              <w:top w:val="single" w:sz="1" w:space="0" w:color="D4C9BC"/>
              <w:left w:val="single" w:sz="1" w:space="0" w:color="D4C9BC"/>
              <w:bottom w:val="single" w:sz="1" w:space="0" w:color="D4C9BC"/>
              <w:right w:val="single" w:sz="1" w:space="0" w:color="D4C9BC"/>
            </w:tcBorders>
            <w:shd w:val="clear" w:color="auto" w:fill="FFFFFF"/>
            <w:tcMar>
              <w:top w:w="80" w:type="dxa"/>
              <w:left w:w="120" w:type="dxa"/>
              <w:bottom w:w="80" w:type="dxa"/>
              <w:right w:w="120" w:type="dxa"/>
            </w:tcMar>
          </w:tcPr>
          <w:p w14:paraId="6DA7B35C"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独立評価委員会が「制度限界報告書」を作成・公開</w:t>
            </w:r>
          </w:p>
        </w:tc>
      </w:tr>
      <w:tr w:rsidR="00E41A65" w:rsidRPr="006E1B70" w14:paraId="3374F1C2" w14:textId="77777777">
        <w:tblPrEx>
          <w:tblCellMar>
            <w:top w:w="0" w:type="dxa"/>
            <w:bottom w:w="0" w:type="dxa"/>
          </w:tblCellMar>
        </w:tblPrEx>
        <w:tc>
          <w:tcPr>
            <w:tcW w:w="1400" w:type="dxa"/>
            <w:tcBorders>
              <w:top w:val="single" w:sz="1" w:space="0" w:color="D4C9BC"/>
              <w:left w:val="single" w:sz="1" w:space="0" w:color="D4C9BC"/>
              <w:bottom w:val="single" w:sz="1" w:space="0" w:color="D4C9BC"/>
              <w:right w:val="single" w:sz="1" w:space="0" w:color="D4C9BC"/>
            </w:tcBorders>
            <w:shd w:val="clear" w:color="auto" w:fill="F0EBE3"/>
            <w:tcMar>
              <w:top w:w="80" w:type="dxa"/>
              <w:left w:w="120" w:type="dxa"/>
              <w:bottom w:w="80" w:type="dxa"/>
              <w:right w:w="120" w:type="dxa"/>
            </w:tcMar>
          </w:tcPr>
          <w:p w14:paraId="5EF924F1"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Step 2</w:t>
            </w:r>
          </w:p>
        </w:tc>
        <w:tc>
          <w:tcPr>
            <w:tcW w:w="1800" w:type="dxa"/>
            <w:tcBorders>
              <w:top w:val="single" w:sz="1" w:space="0" w:color="D4C9BC"/>
              <w:left w:val="single" w:sz="1" w:space="0" w:color="D4C9BC"/>
              <w:bottom w:val="single" w:sz="1" w:space="0" w:color="D4C9BC"/>
              <w:right w:val="single" w:sz="1" w:space="0" w:color="D4C9BC"/>
            </w:tcBorders>
            <w:shd w:val="clear" w:color="auto" w:fill="F0EBE3"/>
            <w:tcMar>
              <w:top w:w="80" w:type="dxa"/>
              <w:left w:w="120" w:type="dxa"/>
              <w:bottom w:w="80" w:type="dxa"/>
              <w:right w:w="120" w:type="dxa"/>
            </w:tcMar>
          </w:tcPr>
          <w:p w14:paraId="170B1AE7"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6ヶ月以内</w:t>
            </w:r>
          </w:p>
        </w:tc>
        <w:tc>
          <w:tcPr>
            <w:tcW w:w="6000" w:type="dxa"/>
            <w:tcBorders>
              <w:top w:val="single" w:sz="1" w:space="0" w:color="D4C9BC"/>
              <w:left w:val="single" w:sz="1" w:space="0" w:color="D4C9BC"/>
              <w:bottom w:val="single" w:sz="1" w:space="0" w:color="D4C9BC"/>
              <w:right w:val="single" w:sz="1" w:space="0" w:color="D4C9BC"/>
            </w:tcBorders>
            <w:shd w:val="clear" w:color="auto" w:fill="F0EBE3"/>
            <w:tcMar>
              <w:top w:w="80" w:type="dxa"/>
              <w:left w:w="120" w:type="dxa"/>
              <w:bottom w:w="80" w:type="dxa"/>
              <w:right w:w="120" w:type="dxa"/>
            </w:tcMar>
          </w:tcPr>
          <w:p w14:paraId="2013D23B"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当事者・企業・自治体・学識者・一般市民代表による「次世代制度設計会議」を招集</w:t>
            </w:r>
          </w:p>
        </w:tc>
      </w:tr>
      <w:tr w:rsidR="00E41A65" w:rsidRPr="006E1B70" w14:paraId="05E3C4FD" w14:textId="77777777">
        <w:tblPrEx>
          <w:tblCellMar>
            <w:top w:w="0" w:type="dxa"/>
            <w:bottom w:w="0" w:type="dxa"/>
          </w:tblCellMar>
        </w:tblPrEx>
        <w:tc>
          <w:tcPr>
            <w:tcW w:w="1400" w:type="dxa"/>
            <w:tcBorders>
              <w:top w:val="single" w:sz="1" w:space="0" w:color="D4C9BC"/>
              <w:left w:val="single" w:sz="1" w:space="0" w:color="D4C9BC"/>
              <w:bottom w:val="single" w:sz="1" w:space="0" w:color="D4C9BC"/>
              <w:right w:val="single" w:sz="1" w:space="0" w:color="D4C9BC"/>
            </w:tcBorders>
            <w:shd w:val="clear" w:color="auto" w:fill="FFFFFF"/>
            <w:tcMar>
              <w:top w:w="80" w:type="dxa"/>
              <w:left w:w="120" w:type="dxa"/>
              <w:bottom w:w="80" w:type="dxa"/>
              <w:right w:w="120" w:type="dxa"/>
            </w:tcMar>
          </w:tcPr>
          <w:p w14:paraId="286B6E87"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Step 3</w:t>
            </w:r>
          </w:p>
        </w:tc>
        <w:tc>
          <w:tcPr>
            <w:tcW w:w="1800" w:type="dxa"/>
            <w:tcBorders>
              <w:top w:val="single" w:sz="1" w:space="0" w:color="D4C9BC"/>
              <w:left w:val="single" w:sz="1" w:space="0" w:color="D4C9BC"/>
              <w:bottom w:val="single" w:sz="1" w:space="0" w:color="D4C9BC"/>
              <w:right w:val="single" w:sz="1" w:space="0" w:color="D4C9BC"/>
            </w:tcBorders>
            <w:shd w:val="clear" w:color="auto" w:fill="FFFFFF"/>
            <w:tcMar>
              <w:top w:w="80" w:type="dxa"/>
              <w:left w:w="120" w:type="dxa"/>
              <w:bottom w:w="80" w:type="dxa"/>
              <w:right w:w="120" w:type="dxa"/>
            </w:tcMar>
          </w:tcPr>
          <w:p w14:paraId="3C7BFCB9"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1年以内</w:t>
            </w:r>
          </w:p>
        </w:tc>
        <w:tc>
          <w:tcPr>
            <w:tcW w:w="6000" w:type="dxa"/>
            <w:tcBorders>
              <w:top w:val="single" w:sz="1" w:space="0" w:color="D4C9BC"/>
              <w:left w:val="single" w:sz="1" w:space="0" w:color="D4C9BC"/>
              <w:bottom w:val="single" w:sz="1" w:space="0" w:color="D4C9BC"/>
              <w:right w:val="single" w:sz="1" w:space="0" w:color="D4C9BC"/>
            </w:tcBorders>
            <w:shd w:val="clear" w:color="auto" w:fill="FFFFFF"/>
            <w:tcMar>
              <w:top w:w="80" w:type="dxa"/>
              <w:left w:w="120" w:type="dxa"/>
              <w:bottom w:w="80" w:type="dxa"/>
              <w:right w:w="120" w:type="dxa"/>
            </w:tcMar>
          </w:tcPr>
          <w:p w14:paraId="7B9B0A36"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「移行ロードマップ案」を国会に提出</w:t>
            </w:r>
          </w:p>
        </w:tc>
      </w:tr>
      <w:tr w:rsidR="00E41A65" w:rsidRPr="006E1B70" w14:paraId="3DDFDB20" w14:textId="77777777">
        <w:tblPrEx>
          <w:tblCellMar>
            <w:top w:w="0" w:type="dxa"/>
            <w:bottom w:w="0" w:type="dxa"/>
          </w:tblCellMar>
        </w:tblPrEx>
        <w:tc>
          <w:tcPr>
            <w:tcW w:w="1400" w:type="dxa"/>
            <w:tcBorders>
              <w:top w:val="single" w:sz="1" w:space="0" w:color="D4C9BC"/>
              <w:left w:val="single" w:sz="1" w:space="0" w:color="D4C9BC"/>
              <w:bottom w:val="single" w:sz="1" w:space="0" w:color="D4C9BC"/>
              <w:right w:val="single" w:sz="1" w:space="0" w:color="D4C9BC"/>
            </w:tcBorders>
            <w:shd w:val="clear" w:color="auto" w:fill="F0EBE3"/>
            <w:tcMar>
              <w:top w:w="80" w:type="dxa"/>
              <w:left w:w="120" w:type="dxa"/>
              <w:bottom w:w="80" w:type="dxa"/>
              <w:right w:w="120" w:type="dxa"/>
            </w:tcMar>
          </w:tcPr>
          <w:p w14:paraId="0E08CBB2"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Step 4</w:t>
            </w:r>
          </w:p>
        </w:tc>
        <w:tc>
          <w:tcPr>
            <w:tcW w:w="1800" w:type="dxa"/>
            <w:tcBorders>
              <w:top w:val="single" w:sz="1" w:space="0" w:color="D4C9BC"/>
              <w:left w:val="single" w:sz="1" w:space="0" w:color="D4C9BC"/>
              <w:bottom w:val="single" w:sz="1" w:space="0" w:color="D4C9BC"/>
              <w:right w:val="single" w:sz="1" w:space="0" w:color="D4C9BC"/>
            </w:tcBorders>
            <w:shd w:val="clear" w:color="auto" w:fill="F0EBE3"/>
            <w:tcMar>
              <w:top w:w="80" w:type="dxa"/>
              <w:left w:w="120" w:type="dxa"/>
              <w:bottom w:w="80" w:type="dxa"/>
              <w:right w:w="120" w:type="dxa"/>
            </w:tcMar>
          </w:tcPr>
          <w:p w14:paraId="027B1E78"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2年以内</w:t>
            </w:r>
          </w:p>
        </w:tc>
        <w:tc>
          <w:tcPr>
            <w:tcW w:w="6000" w:type="dxa"/>
            <w:tcBorders>
              <w:top w:val="single" w:sz="1" w:space="0" w:color="D4C9BC"/>
              <w:left w:val="single" w:sz="1" w:space="0" w:color="D4C9BC"/>
              <w:bottom w:val="single" w:sz="1" w:space="0" w:color="D4C9BC"/>
              <w:right w:val="single" w:sz="1" w:space="0" w:color="D4C9BC"/>
            </w:tcBorders>
            <w:shd w:val="clear" w:color="auto" w:fill="F0EBE3"/>
            <w:tcMar>
              <w:top w:w="80" w:type="dxa"/>
              <w:left w:w="120" w:type="dxa"/>
              <w:bottom w:w="80" w:type="dxa"/>
              <w:right w:w="120" w:type="dxa"/>
            </w:tcMar>
          </w:tcPr>
          <w:p w14:paraId="484C9AEA"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移行ロードマップに基づく法改正・制度移行の開始</w:t>
            </w:r>
          </w:p>
        </w:tc>
      </w:tr>
      <w:tr w:rsidR="00E41A65" w:rsidRPr="006E1B70" w14:paraId="71A3BF9E" w14:textId="77777777">
        <w:tblPrEx>
          <w:tblCellMar>
            <w:top w:w="0" w:type="dxa"/>
            <w:bottom w:w="0" w:type="dxa"/>
          </w:tblCellMar>
        </w:tblPrEx>
        <w:tc>
          <w:tcPr>
            <w:tcW w:w="1400" w:type="dxa"/>
            <w:tcBorders>
              <w:top w:val="single" w:sz="1" w:space="0" w:color="D4C9BC"/>
              <w:left w:val="single" w:sz="1" w:space="0" w:color="D4C9BC"/>
              <w:bottom w:val="single" w:sz="1" w:space="0" w:color="D4C9BC"/>
              <w:right w:val="single" w:sz="1" w:space="0" w:color="D4C9BC"/>
            </w:tcBorders>
            <w:shd w:val="clear" w:color="auto" w:fill="FFFFFF"/>
            <w:tcMar>
              <w:top w:w="80" w:type="dxa"/>
              <w:left w:w="120" w:type="dxa"/>
              <w:bottom w:w="80" w:type="dxa"/>
              <w:right w:w="120" w:type="dxa"/>
            </w:tcMar>
          </w:tcPr>
          <w:p w14:paraId="4FE63C7B"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Step 5</w:t>
            </w:r>
          </w:p>
        </w:tc>
        <w:tc>
          <w:tcPr>
            <w:tcW w:w="1800" w:type="dxa"/>
            <w:tcBorders>
              <w:top w:val="single" w:sz="1" w:space="0" w:color="D4C9BC"/>
              <w:left w:val="single" w:sz="1" w:space="0" w:color="D4C9BC"/>
              <w:bottom w:val="single" w:sz="1" w:space="0" w:color="D4C9BC"/>
              <w:right w:val="single" w:sz="1" w:space="0" w:color="D4C9BC"/>
            </w:tcBorders>
            <w:shd w:val="clear" w:color="auto" w:fill="FFFFFF"/>
            <w:tcMar>
              <w:top w:w="80" w:type="dxa"/>
              <w:left w:w="120" w:type="dxa"/>
              <w:bottom w:w="80" w:type="dxa"/>
              <w:right w:w="120" w:type="dxa"/>
            </w:tcMar>
          </w:tcPr>
          <w:p w14:paraId="4EAB1D10"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5年以内</w:t>
            </w:r>
          </w:p>
        </w:tc>
        <w:tc>
          <w:tcPr>
            <w:tcW w:w="6000" w:type="dxa"/>
            <w:tcBorders>
              <w:top w:val="single" w:sz="1" w:space="0" w:color="D4C9BC"/>
              <w:left w:val="single" w:sz="1" w:space="0" w:color="D4C9BC"/>
              <w:bottom w:val="single" w:sz="1" w:space="0" w:color="D4C9BC"/>
              <w:right w:val="single" w:sz="1" w:space="0" w:color="D4C9BC"/>
            </w:tcBorders>
            <w:shd w:val="clear" w:color="auto" w:fill="FFFFFF"/>
            <w:tcMar>
              <w:top w:w="80" w:type="dxa"/>
              <w:left w:w="120" w:type="dxa"/>
              <w:bottom w:w="80" w:type="dxa"/>
              <w:right w:w="120" w:type="dxa"/>
            </w:tcMar>
          </w:tcPr>
          <w:p w14:paraId="1586DB9C" w14:textId="77777777" w:rsidR="00E41A65" w:rsidRPr="0004251E" w:rsidRDefault="00000000">
            <w:pPr>
              <w:rPr>
                <w:rFonts w:ascii="Meiryo UI" w:eastAsia="Meiryo UI" w:hAnsi="Meiryo UI" w:cs="Meiryo UI"/>
                <w:color w:val="000000" w:themeColor="text1"/>
                <w:sz w:val="24"/>
                <w:szCs w:val="24"/>
              </w:rPr>
              <w:spacing w:before="0" w:after="120" w:line="360" w:lineRule="auto"/>
            </w:pPr>
            <w:r w:rsidRPr="0004251E">
              <w:rPr>
                <w:rFonts w:ascii="Meiryo UI" w:eastAsia="Meiryo UI" w:hAnsi="Meiryo UI" w:cs="Meiryo UI"/>
                <w:color w:val="000000" w:themeColor="text1"/>
                <w:sz w:val="24"/>
                <w:szCs w:val="24"/>
              </w:rPr>
              <w:t>旧制度の完全終了または新制度への統合完了</w:t>
            </w:r>
          </w:p>
        </w:tc>
      </w:tr>
    </w:tbl>
    <w:p w14:paraId="31FB0955" w14:textId="77777777" w:rsidR="00E41A65" w:rsidRPr="006E1B70" w:rsidRDefault="00E41A65">
      <w:pPr>
        <w:pBdr>
          <w:bottom w:val="single" w:sz="2" w:space="1" w:color="B8974A"/>
        </w:pBdr>
        <w:spacing w:before="0" w:after="120" w:line="360" w:lineRule="auto"/>
        <w:rPr>
          <w:rFonts w:ascii="Meiryo UI" w:eastAsia="Meiryo UI" w:hAnsi="Meiryo UI" w:cs="Meiryo UI"/>
        </w:rPr>
      </w:pPr>
    </w:p>
    <w:p w14:paraId="06A1E251" w14:textId="77777777" w:rsidR="00E41A65" w:rsidRPr="006E1B70" w:rsidRDefault="00000000">
      <w:pPr>
        <w:pStyle w:val="1"/>
        <w:pBdr>
          <w:bottom w:val="single" w:sz="3" w:space="6" w:color="B8974A"/>
        </w:pBdr>
        <w:rPr>
          <w:rFonts w:ascii="Meiryo UI" w:eastAsia="Meiryo UI" w:hAnsi="Meiryo UI" w:cs="Meiryo UI"/>
        </w:rPr>
        <w:spacing w:before="360" w:after="120" w:line="360" w:lineRule="auto"/>
      </w:pPr>
      <w:r w:rsidRPr="006E1B70">
        <w:rPr>
          <w:rFonts w:ascii="Meiryo UI" w:eastAsia="Meiryo UI" w:hAnsi="Meiryo UI" w:cs="Meiryo UI"/>
          <w:color w:val="1A1410"/>
        </w:rPr>
        <w:t>第4節　「次の制度」が満たすべき4条件</w:t>
      </w:r>
    </w:p>
    <w:p w14:paraId="0B73E823" w14:textId="77777777" w:rsidR="00E41A65" w:rsidRPr="0004251E" w:rsidRDefault="00000000">
      <w:pPr>
        <w:spacing w:after="120" w:before="0" w:line="360" w:lineRule="auto"/>
        <w:rPr>
          <w:rFonts w:ascii="Meiryo UI" w:eastAsia="Meiryo UI" w:hAnsi="Meiryo UI" w:cs="Meiryo UI"/>
          <w:color w:val="000000" w:themeColor="text1"/>
          <w:sz w:val="24"/>
          <w:szCs w:val="24"/>
        </w:rPr>
      </w:pPr>
      <w:r w:rsidRPr="0004251E">
        <w:rPr>
          <w:rFonts w:ascii="Meiryo UI" w:eastAsia="Meiryo UI" w:hAnsi="Meiryo UI" w:cs="Meiryo UI"/>
          <w:color w:val="000000" w:themeColor="text1"/>
          <w:sz w:val="24"/>
          <w:szCs w:val="24"/>
        </w:rPr>
        <w:t>制度を終わらせるとき、単に廃止するのではない。「次の制度」へと移行する。その次の制度が満たすべき条件を、あらかじめここに記しておく。</w:t>
      </w:r>
    </w:p>
    <w:p w14:paraId="789D4EB8" w14:textId="77777777" w:rsidR="00E41A65" w:rsidRPr="006E1B70" w:rsidRDefault="00000000">
      <w:pPr>
        <w:pStyle w:val="2"/>
        <w:rPr>
          <w:rFonts w:ascii="Meiryo UI" w:eastAsia="Meiryo UI" w:hAnsi="Meiryo UI" w:cs="Meiryo UI"/>
        </w:rPr>
        <w:spacing w:before="240" w:after="80" w:line="360" w:lineRule="auto"/>
      </w:pPr>
      <w:r w:rsidRPr="006E1B70">
        <w:rPr>
          <w:rFonts w:ascii="Meiryo UI" w:eastAsia="Meiryo UI" w:hAnsi="Meiryo UI" w:cs="Meiryo UI"/>
          <w:color w:val="1A1410"/>
        </w:rPr>
        <w:t>条件1：所得保障の自律性</w:t>
      </w:r>
    </w:p>
    <w:p w14:paraId="45E1D80A" w14:textId="77777777" w:rsidR="00E41A65" w:rsidRPr="0004251E" w:rsidRDefault="00000000">
      <w:pPr>
        <w:spacing w:after="120" w:before="0" w:line="360" w:lineRule="auto"/>
        <w:rPr>
          <w:rFonts w:ascii="Meiryo UI" w:eastAsia="Meiryo UI" w:hAnsi="Meiryo UI" w:cs="Meiryo UI"/>
          <w:color w:val="000000" w:themeColor="text1"/>
          <w:sz w:val="24"/>
          <w:szCs w:val="24"/>
        </w:rPr>
      </w:pPr>
      <w:r w:rsidRPr="0004251E">
        <w:rPr>
          <w:rFonts w:ascii="Meiryo UI" w:eastAsia="Meiryo UI" w:hAnsi="Meiryo UI" w:cs="Meiryo UI"/>
          <w:color w:val="000000" w:themeColor="text1"/>
          <w:sz w:val="24"/>
          <w:szCs w:val="24"/>
        </w:rPr>
        <w:t>次の制度がいかなるものであれ、「障害者の生活が他者（家族・企業・制度）の善意に依存しない」という原則は継承されなければならない。これは本制度の核心であり、時代を超えて変わらない。</w:t>
      </w:r>
    </w:p>
    <w:p w14:paraId="0429C064" w14:textId="77777777" w:rsidR="00E41A65" w:rsidRPr="006E1B70" w:rsidRDefault="00000000">
      <w:pPr>
        <w:pStyle w:val="2"/>
        <w:rPr>
          <w:rFonts w:ascii="Meiryo UI" w:eastAsia="Meiryo UI" w:hAnsi="Meiryo UI" w:cs="Meiryo UI"/>
        </w:rPr>
        <w:spacing w:before="240" w:after="80" w:line="360" w:lineRule="auto"/>
      </w:pPr>
      <w:r w:rsidRPr="006E1B70">
        <w:rPr>
          <w:rFonts w:ascii="Meiryo UI" w:eastAsia="Meiryo UI" w:hAnsi="Meiryo UI" w:cs="Meiryo UI"/>
          <w:color w:val="1A1410"/>
        </w:rPr>
        <w:t>条件2：社会参加の多様性</w:t>
      </w:r>
    </w:p>
    <w:p w14:paraId="50C67E1D" w14:textId="77777777" w:rsidR="00E41A65" w:rsidRPr="0004251E" w:rsidRDefault="00000000">
      <w:pPr>
        <w:spacing w:after="120" w:before="0" w:line="360" w:lineRule="auto"/>
        <w:rPr>
          <w:rFonts w:ascii="Meiryo UI" w:eastAsia="Meiryo UI" w:hAnsi="Meiryo UI" w:cs="Meiryo UI"/>
          <w:color w:val="000000" w:themeColor="text1"/>
          <w:sz w:val="24"/>
          <w:szCs w:val="24"/>
        </w:rPr>
      </w:pPr>
      <w:r w:rsidRPr="0004251E">
        <w:rPr>
          <w:rFonts w:ascii="Meiryo UI" w:eastAsia="Meiryo UI" w:hAnsi="Meiryo UI" w:cs="Meiryo UI"/>
          <w:color w:val="000000" w:themeColor="text1"/>
          <w:sz w:val="24"/>
          <w:szCs w:val="24"/>
        </w:rPr>
        <w:t>次の制度は「就労」を社会参加の唯一の形として定義してはならない。技術変容によって就労の意味が変わるとき、社会参加の形もまた多様化する。ケアの提供、地域活動への参加、創造的活動——これらも「社会への貢献」として認められる制度でなければならない。</w:t>
      </w:r>
    </w:p>
    <w:p w14:paraId="69E10ACE" w14:textId="77777777" w:rsidR="00E41A65" w:rsidRPr="0004251E" w:rsidRDefault="00000000">
      <w:pPr>
        <w:pStyle w:val="2"/>
        <w:rPr>
          <w:rFonts w:ascii="Meiryo UI" w:eastAsia="Meiryo UI" w:hAnsi="Meiryo UI" w:cs="Meiryo UI"/>
          <w:color w:val="000000" w:themeColor="text1"/>
        </w:rPr>
        <w:spacing w:before="240" w:after="80" w:line="360" w:lineRule="auto"/>
      </w:pPr>
      <w:r w:rsidRPr="0004251E">
        <w:rPr>
          <w:rFonts w:ascii="Meiryo UI" w:eastAsia="Meiryo UI" w:hAnsi="Meiryo UI" w:cs="Meiryo UI"/>
          <w:color w:val="000000" w:themeColor="text1"/>
        </w:rPr>
        <w:t>条件3：当事者の設計参加</w:t>
      </w:r>
    </w:p>
    <w:p w14:paraId="79686CBB" w14:textId="77777777" w:rsidR="00E41A65" w:rsidRPr="0004251E" w:rsidRDefault="00000000">
      <w:pPr>
        <w:spacing w:after="120" w:before="0" w:line="360" w:lineRule="auto"/>
        <w:rPr>
          <w:rFonts w:ascii="Meiryo UI" w:eastAsia="Meiryo UI" w:hAnsi="Meiryo UI" w:cs="Meiryo UI"/>
          <w:color w:val="000000" w:themeColor="text1"/>
          <w:sz w:val="24"/>
          <w:szCs w:val="24"/>
        </w:rPr>
      </w:pPr>
      <w:r w:rsidRPr="0004251E">
        <w:rPr>
          <w:rFonts w:ascii="Meiryo UI" w:eastAsia="Meiryo UI" w:hAnsi="Meiryo UI" w:cs="Meiryo UI"/>
          <w:color w:val="000000" w:themeColor="text1"/>
          <w:sz w:val="24"/>
          <w:szCs w:val="24"/>
        </w:rPr>
        <w:t>次の制度の設計に、障害当事者が「受益者」としてではなく「設計者」として参加することを義務付ける。現行制度が失敗した一因は、当事者が設計の外側に置かれていたことにある。</w:t>
      </w:r>
    </w:p>
    <w:p w14:paraId="3620315A" w14:textId="77777777" w:rsidR="00E41A65" w:rsidRPr="0004251E" w:rsidRDefault="00000000">
      <w:pPr>
        <w:pStyle w:val="2"/>
        <w:rPr>
          <w:rFonts w:ascii="Meiryo UI" w:eastAsia="Meiryo UI" w:hAnsi="Meiryo UI" w:cs="Meiryo UI"/>
          <w:color w:val="000000" w:themeColor="text1"/>
        </w:rPr>
        <w:spacing w:before="240" w:after="80" w:line="360" w:lineRule="auto"/>
      </w:pPr>
      <w:r w:rsidRPr="0004251E">
        <w:rPr>
          <w:rFonts w:ascii="Meiryo UI" w:eastAsia="Meiryo UI" w:hAnsi="Meiryo UI" w:cs="Meiryo UI"/>
          <w:color w:val="000000" w:themeColor="text1"/>
        </w:rPr>
        <w:t>条件4：終わりの設計</w:t>
      </w:r>
    </w:p>
    <w:p w14:paraId="0C12276F" w14:textId="77777777" w:rsidR="00E41A65" w:rsidRPr="0004251E" w:rsidRDefault="00000000">
      <w:pPr>
        <w:spacing w:after="120" w:before="0" w:line="360" w:lineRule="auto"/>
        <w:rPr>
          <w:rFonts w:ascii="Meiryo UI" w:eastAsia="Meiryo UI" w:hAnsi="Meiryo UI" w:cs="Meiryo UI"/>
          <w:color w:val="000000" w:themeColor="text1"/>
          <w:sz w:val="24"/>
          <w:szCs w:val="24"/>
        </w:rPr>
      </w:pPr>
      <w:r w:rsidRPr="0004251E">
        <w:rPr>
          <w:rFonts w:ascii="Meiryo UI" w:eastAsia="Meiryo UI" w:hAnsi="Meiryo UI" w:cs="Meiryo UI"/>
          <w:color w:val="000000" w:themeColor="text1"/>
          <w:sz w:val="24"/>
          <w:szCs w:val="24"/>
        </w:rPr>
        <w:t>次の制度もまた、本章と同様の「日没条項」と「終わりの指標」を持たなければならない。制度は作るたびに「どう終わらせるか」を設計する——これを立法の原則として確立する。現行制度が66年間かけて教えた最大の教訓は、</w:t>
      </w:r>
      <w:r w:rsidRPr="0004251E">
        <w:rPr>
          <w:rFonts w:ascii="Meiryo UI" w:eastAsia="Meiryo UI" w:hAnsi="Meiryo UI" w:cs="Meiryo UI"/>
          <w:b/>
          <w:bCs/>
          <w:color w:val="000000" w:themeColor="text1"/>
          <w:sz w:val="24"/>
          <w:szCs w:val="24"/>
        </w:rPr>
        <w:t>「終わりを設計しない制度は、終われない制度になる」</w:t>
      </w:r>
      <w:r w:rsidRPr="0004251E">
        <w:rPr>
          <w:rFonts w:ascii="Meiryo UI" w:eastAsia="Meiryo UI" w:hAnsi="Meiryo UI" w:cs="Meiryo UI"/>
          <w:color w:val="000000" w:themeColor="text1"/>
          <w:sz w:val="24"/>
          <w:szCs w:val="24"/>
        </w:rPr>
        <w:t>ということである。</w:t>
      </w:r>
    </w:p>
    <w:p w14:paraId="2F7F89B8" w14:textId="77777777" w:rsidR="00E41A65" w:rsidRPr="006E1B70" w:rsidRDefault="00E41A65">
      <w:pPr>
        <w:pBdr>
          <w:bottom w:val="single" w:sz="2" w:space="1" w:color="B8974A"/>
        </w:pBdr>
        <w:spacing w:before="0" w:after="120" w:line="360" w:lineRule="auto"/>
        <w:rPr>
          <w:rFonts w:ascii="Meiryo UI" w:eastAsia="Meiryo UI" w:hAnsi="Meiryo UI" w:cs="Meiryo UI"/>
        </w:rPr>
      </w:pPr>
    </w:p>
    <w:p w14:paraId="4AD31AC1" w14:textId="77777777" w:rsidR="00E41A65" w:rsidRPr="006E1B70" w:rsidRDefault="00000000">
      <w:pPr>
        <w:pStyle w:val="1"/>
        <w:pBdr>
          <w:bottom w:val="single" w:sz="3" w:space="6" w:color="B8974A"/>
        </w:pBdr>
        <w:rPr>
          <w:rFonts w:ascii="Meiryo UI" w:eastAsia="Meiryo UI" w:hAnsi="Meiryo UI" w:cs="Meiryo UI"/>
        </w:rPr>
        <w:spacing w:before="360" w:after="120" w:line="360" w:lineRule="auto"/>
      </w:pPr>
      <w:r w:rsidRPr="006E1B70">
        <w:rPr>
          <w:rFonts w:ascii="Meiryo UI" w:eastAsia="Meiryo UI" w:hAnsi="Meiryo UI" w:cs="Meiryo UI"/>
          <w:color w:val="1A1410"/>
        </w:rPr>
        <w:t>第5節　本制度の最も望ましい終わり方</w:t>
      </w:r>
    </w:p>
    <w:p w14:paraId="1FB63FD2" w14:textId="77777777" w:rsidR="00E41A65" w:rsidRPr="0004251E" w:rsidRDefault="00000000">
      <w:pPr>
        <w:spacing w:after="120" w:before="0" w:line="360" w:lineRule="auto"/>
        <w:rPr>
          <w:rFonts w:ascii="Meiryo UI" w:eastAsia="Meiryo UI" w:hAnsi="Meiryo UI" w:cs="Meiryo UI"/>
          <w:color w:val="000000" w:themeColor="text1"/>
          <w:sz w:val="24"/>
          <w:szCs w:val="24"/>
        </w:rPr>
      </w:pPr>
      <w:r w:rsidRPr="0004251E">
        <w:rPr>
          <w:rFonts w:ascii="Meiryo UI" w:eastAsia="Meiryo UI" w:hAnsi="Meiryo UI" w:cs="Meiryo UI"/>
          <w:color w:val="000000" w:themeColor="text1"/>
          <w:sz w:val="24"/>
          <w:szCs w:val="24"/>
        </w:rPr>
        <w:t>最後に、本提言者が最も望む「この制度の終わり方」を記しておく。</w:t>
      </w:r>
    </w:p>
    <w:p w14:paraId="2DBB2FBC" w14:textId="77777777" w:rsidR="00E41A65" w:rsidRPr="0004251E" w:rsidRDefault="00000000">
      <w:pPr>
        <w:spacing w:after="120" w:before="0" w:line="360" w:lineRule="auto"/>
        <w:rPr>
          <w:rFonts w:ascii="Meiryo UI" w:eastAsia="Meiryo UI" w:hAnsi="Meiryo UI" w:cs="Meiryo UI"/>
          <w:color w:val="000000" w:themeColor="text1"/>
          <w:sz w:val="24"/>
          <w:szCs w:val="24"/>
        </w:rPr>
      </w:pPr>
      <w:r w:rsidRPr="0004251E">
        <w:rPr>
          <w:rFonts w:ascii="Meiryo UI" w:eastAsia="Meiryo UI" w:hAnsi="Meiryo UI" w:cs="Meiryo UI"/>
          <w:color w:val="000000" w:themeColor="text1"/>
          <w:sz w:val="24"/>
          <w:szCs w:val="24"/>
        </w:rPr>
        <w:t>それは静かな終わりである。</w:t>
      </w:r>
    </w:p>
    <w:p w14:paraId="01230DFA" w14:textId="77777777" w:rsidR="00E41A65" w:rsidRPr="008E297B" w:rsidRDefault="00E41A65">
      <w:pPr>
        <w:spacing w:after="120" w:before="0" w:line="360" w:lineRule="auto"/>
        <w:rPr>
          <w:rFonts w:ascii="Meiryo UI" w:eastAsia="Meiryo UI" w:hAnsi="Meiryo UI" w:cs="Meiryo UI"/>
          <w:sz w:val="24"/>
          <w:szCs w:val="24"/>
        </w:rPr>
      </w:pPr>
    </w:p>
    <w:p w14:paraId="38DBD8A8" w14:textId="77777777" w:rsidR="00E41A65" w:rsidRPr="0004251E" w:rsidRDefault="00000000">
      <w:pPr>
        <w:pBdr>
          <w:left w:val="single" w:sz="6" w:space="12" w:color="B8974A"/>
        </w:pBdr>
        <w:spacing w:before="0" w:after="120" w:line="360" w:lineRule="auto"/>
        <w:rPr>
          <w:rFonts w:ascii="Meiryo UI" w:eastAsia="Meiryo UI" w:hAnsi="Meiryo UI" w:cs="Meiryo UI"/>
          <w:color w:val="000000" w:themeColor="text1"/>
          <w:sz w:val="24"/>
          <w:szCs w:val="24"/>
        </w:rPr>
      </w:pPr>
      <w:r w:rsidRPr="0004251E">
        <w:rPr>
          <w:rFonts w:ascii="Meiryo UI" w:eastAsia="Meiryo UI" w:hAnsi="Meiryo UI" w:cs="Meiryo UI"/>
          <w:i/>
          <w:iCs/>
          <w:color w:val="000000" w:themeColor="text1"/>
          <w:sz w:val="24"/>
          <w:szCs w:val="24"/>
        </w:rPr>
        <w:t>準公務職員が「障害者として働いている」という意識なく、普通に仕事をしている。 企業がSCPポイントを計算することなく、障害のある社員と普通に働いている。 家族が「親亡き後」を心配することなく、子どもの将来を普通に考えている。</w:t>
      </w:r>
    </w:p>
    <w:p w14:paraId="65137EA5" w14:textId="77777777" w:rsidR="00E41A65" w:rsidRPr="0004251E" w:rsidRDefault="00E41A65">
      <w:pPr>
        <w:spacing w:after="120" w:before="0" w:line="360" w:lineRule="auto"/>
        <w:rPr>
          <w:rFonts w:ascii="Meiryo UI" w:eastAsia="Meiryo UI" w:hAnsi="Meiryo UI" w:cs="Meiryo UI"/>
          <w:color w:val="000000" w:themeColor="text1"/>
          <w:sz w:val="24"/>
          <w:szCs w:val="24"/>
        </w:rPr>
      </w:pPr>
    </w:p>
    <w:p w14:paraId="37EE6E89" w14:textId="77777777" w:rsidR="00E41A65" w:rsidRPr="0004251E" w:rsidRDefault="00000000">
      <w:pPr>
        <w:spacing w:after="120" w:before="0" w:line="360" w:lineRule="auto"/>
        <w:rPr>
          <w:rFonts w:ascii="Meiryo UI" w:eastAsia="Meiryo UI" w:hAnsi="Meiryo UI" w:cs="Meiryo UI"/>
          <w:color w:val="000000" w:themeColor="text1"/>
          <w:sz w:val="24"/>
          <w:szCs w:val="24"/>
        </w:rPr>
      </w:pPr>
      <w:r w:rsidRPr="0004251E">
        <w:rPr>
          <w:rFonts w:ascii="Meiryo UI" w:eastAsia="Meiryo UI" w:hAnsi="Meiryo UI" w:cs="Meiryo UI"/>
          <w:color w:val="000000" w:themeColor="text1"/>
          <w:sz w:val="24"/>
          <w:szCs w:val="24"/>
        </w:rPr>
        <w:t>そのような社会が訪れたとき、誰かが気づく。「そういえば、あの障害者雇用制度って、まだ必要なんだっけ？」と。</w:t>
      </w:r>
    </w:p>
    <w:p w14:paraId="51135B81" w14:textId="77777777" w:rsidR="00E41A65" w:rsidRPr="0004251E" w:rsidRDefault="00000000">
      <w:pPr>
        <w:spacing w:after="120" w:before="0" w:line="360" w:lineRule="auto"/>
        <w:rPr>
          <w:rFonts w:ascii="Meiryo UI" w:eastAsia="Meiryo UI" w:hAnsi="Meiryo UI" w:cs="Meiryo UI"/>
          <w:color w:val="000000" w:themeColor="text1"/>
          <w:sz w:val="24"/>
          <w:szCs w:val="24"/>
        </w:rPr>
      </w:pPr>
      <w:r w:rsidRPr="0004251E">
        <w:rPr>
          <w:rFonts w:ascii="Meiryo UI" w:eastAsia="Meiryo UI" w:hAnsi="Meiryo UI" w:cs="Meiryo UI"/>
          <w:color w:val="000000" w:themeColor="text1"/>
          <w:sz w:val="24"/>
          <w:szCs w:val="24"/>
        </w:rPr>
        <w:t>その問いが自然に生まれた瞬間が、この制度の使命が終わった瞬間である。</w:t>
      </w:r>
    </w:p>
    <w:p w14:paraId="6EAA469E" w14:textId="77777777" w:rsidR="00E41A65" w:rsidRPr="0004251E" w:rsidRDefault="00000000">
      <w:pPr>
        <w:spacing w:after="120" w:before="0" w:line="360" w:lineRule="auto"/>
        <w:rPr>
          <w:rFonts w:ascii="Meiryo UI" w:eastAsia="Meiryo UI" w:hAnsi="Meiryo UI" w:cs="Meiryo UI"/>
          <w:color w:val="000000" w:themeColor="text1"/>
          <w:sz w:val="24"/>
          <w:szCs w:val="24"/>
        </w:rPr>
      </w:pPr>
      <w:r w:rsidRPr="0004251E">
        <w:rPr>
          <w:rFonts w:ascii="Meiryo UI" w:eastAsia="Meiryo UI" w:hAnsi="Meiryo UI" w:cs="Meiryo UI"/>
          <w:color w:val="000000" w:themeColor="text1"/>
          <w:sz w:val="24"/>
          <w:szCs w:val="24"/>
        </w:rPr>
        <w:t>制度が静かに幕を引き、次の時代へとバトンを渡す——それが本提言の描く最後のページである。</w:t>
      </w:r>
    </w:p>
    <w:p w14:paraId="156404AD" w14:textId="77777777" w:rsidR="00E41A65" w:rsidRPr="008E297B" w:rsidRDefault="00E41A65">
      <w:pPr>
        <w:pBdr>
          <w:bottom w:val="single" w:sz="2" w:space="1" w:color="B8974A"/>
        </w:pBdr>
        <w:spacing w:before="0" w:after="120" w:line="360" w:lineRule="auto"/>
        <w:rPr>
          <w:rFonts w:ascii="Meiryo UI" w:eastAsia="Meiryo UI" w:hAnsi="Meiryo UI" w:cs="Meiryo UI"/>
          <w:sz w:val="24"/>
          <w:szCs w:val="24"/>
        </w:rPr>
      </w:pPr>
    </w:p>
    <w:p w14:paraId="39141C44" w14:textId="77777777" w:rsidR="00E41A65" w:rsidRPr="008E297B" w:rsidRDefault="00000000">
      <w:pPr>
        <w:spacing w:before="0" w:after="120" w:line="360" w:lineRule="auto"/>
        <w:rPr>
          <w:rFonts w:ascii="Meiryo UI" w:eastAsia="Meiryo UI" w:hAnsi="Meiryo UI" w:cs="Meiryo UI"/>
          <w:sz w:val="24"/>
          <w:szCs w:val="24"/>
        </w:rPr>
      </w:pPr>
      <w:r w:rsidRPr="008E297B">
        <w:rPr>
          <w:rFonts w:ascii="Meiryo UI" w:eastAsia="Meiryo UI" w:hAnsi="Meiryo UI" w:cs="Meiryo UI"/>
          <w:b/>
          <w:bCs/>
          <w:color w:val="B8974A"/>
          <w:sz w:val="24"/>
          <w:szCs w:val="24"/>
        </w:rPr>
        <w:t>本章の位置づけ</w:t>
      </w:r>
    </w:p>
    <w:p w14:paraId="538D381D" w14:textId="77777777" w:rsidR="00E41A65" w:rsidRPr="0004251E" w:rsidRDefault="00000000">
      <w:pPr>
        <w:spacing w:after="120" w:before="0" w:line="360" w:lineRule="auto"/>
        <w:rPr>
          <w:rFonts w:ascii="Meiryo UI" w:eastAsia="Meiryo UI" w:hAnsi="Meiryo UI" w:cs="Meiryo UI"/>
          <w:color w:val="000000" w:themeColor="text1"/>
          <w:sz w:val="24"/>
          <w:szCs w:val="24"/>
        </w:rPr>
      </w:pPr>
      <w:r w:rsidRPr="0004251E">
        <w:rPr>
          <w:rFonts w:ascii="Meiryo UI" w:eastAsia="Meiryo UI" w:hAnsi="Meiryo UI" w:cs="Meiryo UI"/>
          <w:color w:val="000000" w:themeColor="text1"/>
          <w:sz w:val="24"/>
          <w:szCs w:val="24"/>
        </w:rPr>
        <w:t>本章は提言書の付録ではなく、提言の一部である。制度を作ることと制度を終わらせることは、同じ責任の表裏である。先人たちが命がけで作り、私たちが深化させたこの制度を、次の世代が誠実に手放せるよう——その準備もまた、今ここで始めなければならない。</w:t>
      </w:r>
    </w:p>
    <w:p w14:paraId="6BAEA173" w14:textId="77777777" w:rsidR="00E41A65" w:rsidRDefault="00000000">
      <w:pPr>
        <w:spacing w:before="0" w:after="120" w:line="360" w:lineRule="auto"/>
        <w:jc w:val="right"/>
      </w:pPr>
      <w:r>
        <w:rPr>
          <w:rFonts w:ascii="Meiryo UI" w:eastAsia="Meiryo UI" w:hAnsi="Meiryo UI" w:cs="Meiryo UI"/>
          <w:color w:val="8A7A6A"/>
          <w:sz w:val="21"/>
          <w:szCs w:val="21"/>
        </w:rPr>
        <w:t>以上</w:t>
      </w:r>
    </w:p>
    <w:sectPr w:rsidR="00E41A6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JP">
    <w:panose1 w:val="020B0200000000000000"/>
    <w:charset w:val="80"/>
    <w:family w:val="modern"/>
    <w:pitch w:val="variable"/>
    <w:sig w:usb0="20000287" w:usb1="2ADF3C10" w:usb2="00000016" w:usb3="00000000" w:csb0="00060107" w:csb1="00000000"/>
  </w:font>
  <w:font w:name="游明朝">
    <w:panose1 w:val="02020400000000000000"/>
    <w:charset w:val="80"/>
    <w:family w:val="roman"/>
    <w:pitch w:val="variable"/>
    <w:sig w:usb0="800002E7" w:usb1="2AC7FCFF" w:usb2="00000012" w:usb3="00000000" w:csb0="0002009F" w:csb1="00000000"/>
  </w:font>
  <w:font w:name="Noto Serif JP">
    <w:panose1 w:val="02020200000000000000"/>
    <w:charset w:val="80"/>
    <w:family w:val="roman"/>
    <w:pitch w:val="variable"/>
    <w:sig w:usb0="2000028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8A0C4C"/>
    <w:multiLevelType w:val="hybridMultilevel"/>
    <w:tmpl w:val="C6809B4C"/>
    <w:lvl w:ilvl="0" w:tplc="40127636">
      <w:start w:val="1"/>
      <w:numFmt w:val="bullet"/>
      <w:lvlText w:val="・"/>
      <w:lvlJc w:val="left"/>
      <w:pPr>
        <w:spacing w:before="60" w:after="60"/>
        <w:ind w:left="480" w:hanging="240"/>
      </w:pPr>
      <w:rPr>
        <w:rFonts w:ascii="Meiryo UI" w:eastAsia="Meiryo UI" w:hAnsi="Meiryo UI" w:cs="Meiryo UI"/>
      </w:rPr>
    </w:lvl>
    <w:lvl w:ilvl="1" w:tplc="84F4F048">
      <w:numFmt w:val="decimal"/>
      <w:lvlText w:val=""/>
      <w:lvlJc w:val="left"/>
      <w:pPr>
        <w:spacing w:before="60" w:after="60"/>
        <w:ind w:left="840" w:hanging="240"/>
      </w:pPr>
      <w:rPr>
        <w:rFonts w:ascii="Meiryo UI" w:eastAsia="Meiryo UI" w:hAnsi="Meiryo UI" w:cs="Meiryo UI"/>
      </w:rPr>
    </w:lvl>
    <w:lvl w:ilvl="2" w:tplc="8D7445E2">
      <w:numFmt w:val="decimal"/>
      <w:lvlText w:val=""/>
      <w:lvlJc w:val="left"/>
      <w:pPr>
        <w:spacing w:before="60" w:after="60"/>
        <w:ind w:left="1200" w:hanging="240"/>
      </w:pPr>
      <w:rPr>
        <w:rFonts w:ascii="Meiryo UI" w:eastAsia="Meiryo UI" w:hAnsi="Meiryo UI" w:cs="Meiryo UI"/>
      </w:rPr>
    </w:lvl>
    <w:lvl w:ilvl="3" w:tplc="48F08AE6">
      <w:numFmt w:val="decimal"/>
      <w:lvlText w:val=""/>
      <w:lvlJc w:val="left"/>
      <w:pPr>
        <w:spacing w:before="60" w:after="60"/>
        <w:ind w:left="1560" w:hanging="240"/>
      </w:pPr>
      <w:rPr>
        <w:rFonts w:ascii="Meiryo UI" w:eastAsia="Meiryo UI" w:hAnsi="Meiryo UI" w:cs="Meiryo UI"/>
      </w:rPr>
    </w:lvl>
    <w:lvl w:ilvl="4" w:tplc="35A2D41E">
      <w:numFmt w:val="decimal"/>
      <w:lvlText w:val=""/>
      <w:lvlJc w:val="left"/>
      <w:pPr>
        <w:spacing w:before="60" w:after="60"/>
        <w:ind w:left="1920" w:hanging="240"/>
      </w:pPr>
      <w:rPr>
        <w:rFonts w:ascii="Meiryo UI" w:eastAsia="Meiryo UI" w:hAnsi="Meiryo UI" w:cs="Meiryo UI"/>
      </w:rPr>
    </w:lvl>
    <w:lvl w:ilvl="5" w:tplc="0B4494DE">
      <w:numFmt w:val="decimal"/>
      <w:lvlText w:val=""/>
      <w:lvlJc w:val="left"/>
      <w:pPr>
        <w:spacing w:before="60" w:after="60"/>
        <w:ind w:left="2280" w:hanging="240"/>
      </w:pPr>
      <w:rPr>
        <w:rFonts w:ascii="Meiryo UI" w:eastAsia="Meiryo UI" w:hAnsi="Meiryo UI" w:cs="Meiryo UI"/>
      </w:rPr>
    </w:lvl>
    <w:lvl w:ilvl="6" w:tplc="8782FC04">
      <w:numFmt w:val="decimal"/>
      <w:lvlText w:val=""/>
      <w:lvlJc w:val="left"/>
      <w:pPr>
        <w:spacing w:before="60" w:after="60"/>
        <w:ind w:left="2640" w:hanging="240"/>
      </w:pPr>
      <w:rPr>
        <w:rFonts w:ascii="Meiryo UI" w:eastAsia="Meiryo UI" w:hAnsi="Meiryo UI" w:cs="Meiryo UI"/>
      </w:rPr>
    </w:lvl>
    <w:lvl w:ilvl="7" w:tplc="EA4CEF2A">
      <w:numFmt w:val="decimal"/>
      <w:lvlText w:val=""/>
      <w:lvlJc w:val="left"/>
      <w:pPr>
        <w:spacing w:before="60" w:after="60"/>
        <w:ind w:left="3000" w:hanging="240"/>
      </w:pPr>
      <w:rPr>
        <w:rFonts w:ascii="Meiryo UI" w:eastAsia="Meiryo UI" w:hAnsi="Meiryo UI" w:cs="Meiryo UI"/>
      </w:rPr>
    </w:lvl>
    <w:lvl w:ilvl="8" w:tplc="D6D2C07E">
      <w:numFmt w:val="decimal"/>
      <w:lvlText w:val=""/>
      <w:lvlJc w:val="left"/>
      <w:pPr>
        <w:spacing w:before="60" w:after="60"/>
        <w:ind w:left="3360" w:hanging="240"/>
      </w:pPr>
      <w:rPr>
        <w:rFonts w:ascii="Meiryo UI" w:eastAsia="Meiryo UI" w:hAnsi="Meiryo UI" w:cs="Meiryo UI"/>
      </w:rPr>
    </w:lvl>
  </w:abstractNum>
  <w:abstractNum w:abstractNumId="1" w15:restartNumberingAfterBreak="0">
    <w:nsid w:val="7C0946DF"/>
    <w:multiLevelType w:val="hybridMultilevel"/>
    <w:tmpl w:val="6B9CC31C"/>
    <w:lvl w:ilvl="0" w:tplc="A878AC48">
      <w:start w:val="1"/>
      <w:numFmt w:val="bullet"/>
      <w:lvlText w:val="●"/>
      <w:lvlJc w:val="left"/>
      <w:pPr>
        <w:spacing w:before="60" w:after="60"/>
        <w:ind w:left="480" w:hanging="240"/>
      </w:pPr>
      <w:rPr>
        <w:rFonts w:ascii="Meiryo UI" w:eastAsia="Meiryo UI" w:hAnsi="Meiryo UI" w:cs="Meiryo UI"/>
      </w:rPr>
    </w:lvl>
    <w:lvl w:ilvl="1" w:tplc="EFF409E4">
      <w:start w:val="1"/>
      <w:numFmt w:val="bullet"/>
      <w:lvlText w:val="○"/>
      <w:lvlJc w:val="left"/>
      <w:pPr>
        <w:spacing w:before="60" w:after="60"/>
        <w:ind w:left="840" w:hanging="240"/>
      </w:pPr>
      <w:rPr>
        <w:rFonts w:ascii="Meiryo UI" w:eastAsia="Meiryo UI" w:hAnsi="Meiryo UI" w:cs="Meiryo UI"/>
      </w:rPr>
    </w:lvl>
    <w:lvl w:ilvl="2" w:tplc="D2104C1E">
      <w:start w:val="1"/>
      <w:numFmt w:val="bullet"/>
      <w:lvlText w:val="■"/>
      <w:lvlJc w:val="left"/>
      <w:pPr>
        <w:spacing w:before="60" w:after="60"/>
        <w:ind w:left="1200" w:hanging="240"/>
      </w:pPr>
      <w:rPr>
        <w:rFonts w:ascii="Meiryo UI" w:eastAsia="Meiryo UI" w:hAnsi="Meiryo UI" w:cs="Meiryo UI"/>
      </w:rPr>
    </w:lvl>
    <w:lvl w:ilvl="3" w:tplc="841A6546">
      <w:start w:val="1"/>
      <w:numFmt w:val="bullet"/>
      <w:lvlText w:val="●"/>
      <w:lvlJc w:val="left"/>
      <w:pPr>
        <w:spacing w:before="60" w:after="60"/>
        <w:ind w:left="1560" w:hanging="240"/>
      </w:pPr>
      <w:rPr>
        <w:rFonts w:ascii="Meiryo UI" w:eastAsia="Meiryo UI" w:hAnsi="Meiryo UI" w:cs="Meiryo UI"/>
      </w:rPr>
    </w:lvl>
    <w:lvl w:ilvl="4" w:tplc="C082C392">
      <w:start w:val="1"/>
      <w:numFmt w:val="bullet"/>
      <w:lvlText w:val="○"/>
      <w:lvlJc w:val="left"/>
      <w:pPr>
        <w:spacing w:before="60" w:after="60"/>
        <w:ind w:left="1920" w:hanging="240"/>
      </w:pPr>
      <w:rPr>
        <w:rFonts w:ascii="Meiryo UI" w:eastAsia="Meiryo UI" w:hAnsi="Meiryo UI" w:cs="Meiryo UI"/>
      </w:rPr>
    </w:lvl>
    <w:lvl w:ilvl="5" w:tplc="6A689222">
      <w:start w:val="1"/>
      <w:numFmt w:val="bullet"/>
      <w:lvlText w:val="■"/>
      <w:lvlJc w:val="left"/>
      <w:pPr>
        <w:spacing w:before="60" w:after="60"/>
        <w:ind w:left="2280" w:hanging="240"/>
      </w:pPr>
      <w:rPr>
        <w:rFonts w:ascii="Meiryo UI" w:eastAsia="Meiryo UI" w:hAnsi="Meiryo UI" w:cs="Meiryo UI"/>
      </w:rPr>
    </w:lvl>
    <w:lvl w:ilvl="6" w:tplc="B05E731A">
      <w:start w:val="1"/>
      <w:numFmt w:val="bullet"/>
      <w:lvlText w:val="●"/>
      <w:lvlJc w:val="left"/>
      <w:pPr>
        <w:spacing w:before="60" w:after="60"/>
        <w:ind w:left="2640" w:hanging="240"/>
      </w:pPr>
      <w:rPr>
        <w:rFonts w:ascii="Meiryo UI" w:eastAsia="Meiryo UI" w:hAnsi="Meiryo UI" w:cs="Meiryo UI"/>
      </w:rPr>
    </w:lvl>
    <w:lvl w:ilvl="7" w:tplc="42B8DEA8">
      <w:start w:val="1"/>
      <w:numFmt w:val="bullet"/>
      <w:lvlText w:val="●"/>
      <w:lvlJc w:val="left"/>
      <w:pPr>
        <w:spacing w:before="60" w:after="60"/>
        <w:ind w:left="3000" w:hanging="240"/>
      </w:pPr>
      <w:rPr>
        <w:rFonts w:ascii="Meiryo UI" w:eastAsia="Meiryo UI" w:hAnsi="Meiryo UI" w:cs="Meiryo UI"/>
      </w:rPr>
    </w:lvl>
    <w:lvl w:ilvl="8" w:tplc="680890B8">
      <w:start w:val="1"/>
      <w:numFmt w:val="bullet"/>
      <w:lvlText w:val="●"/>
      <w:lvlJc w:val="left"/>
      <w:pPr>
        <w:spacing w:before="60" w:after="60"/>
        <w:ind w:left="3360" w:hanging="240"/>
      </w:pPr>
      <w:rPr>
        <w:rFonts w:ascii="Meiryo UI" w:eastAsia="Meiryo UI" w:hAnsi="Meiryo UI" w:cs="Meiryo UI"/>
      </w:rPr>
    </w:lvl>
  </w:abstractNum>
  <w:num w:numId="1" w16cid:durableId="9456239">
    <w:abstractNumId w:val="1"/>
    <w:lvlOverride w:ilvl="0">
      <w:startOverride w:val="1"/>
    </w:lvlOverride>
  </w:num>
  <w:num w:numId="2" w16cid:durableId="13676376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bordersDoNotSurroundHeader/>
  <w:bordersDoNotSurroundFooter/>
  <w:proofState w:spelling="clean" w:grammar="dirty"/>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1A65"/>
    <w:rsid w:val="0004251E"/>
    <w:rsid w:val="000C7C94"/>
    <w:rsid w:val="006E1B70"/>
    <w:rsid w:val="008E297B"/>
    <w:rsid w:val="00E41A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58FD882"/>
  <w15:docId w15:val="{34A2C202-0F63-4BB1-BBD6-003F3E575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eiryo UI" w:eastAsia="Meiryo UI" w:hAnsi="Meiryo UI" w:cs="Meiryo UI"/>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120" w:line="360" w:lineRule="auto"/>
      <w:outlineLvl w:val="0"/>
    </w:pPr>
    <w:rPr>
      <w:rFonts w:ascii="Meiryo UI" w:eastAsia="Meiryo UI" w:hAnsi="Meiryo UI" w:cs="Meiryo UI"/>
      <w:color w:val="1F497D"/>
      <w:sz w:val="32"/>
      <w:szCs w:val="32"/>
      <w:b/>
      <w:bCs/>
    </w:rPr>
  </w:style>
  <w:style w:type="paragraph" w:styleId="2">
    <w:name w:val="heading 2"/>
    <w:uiPriority w:val="9"/>
    <w:unhideWhenUsed/>
    <w:qFormat/>
    <w:pPr>
      <w:spacing w:before="240" w:after="80" w:line="360" w:lineRule="auto"/>
      <w:outlineLvl w:val="1"/>
    </w:pPr>
    <w:rPr>
      <w:rFonts w:ascii="Meiryo UI" w:eastAsia="Meiryo UI" w:hAnsi="Meiryo UI" w:cs="Meiryo UI"/>
      <w:color w:val="2E74B5"/>
      <w:sz w:val="28"/>
      <w:szCs w:val="28"/>
      <w:b/>
      <w:bCs/>
    </w:rPr>
  </w:style>
  <w:style w:type="paragraph" w:styleId="3">
    <w:name w:val="heading 3"/>
    <w:uiPriority w:val="9"/>
    <w:semiHidden/>
    <w:unhideWhenUsed/>
    <w:qFormat/>
    <w:pPr>
      <w:spacing w:before="200" w:after="60" w:line="360" w:lineRule="auto"/>
      <w:outlineLvl w:val="2"/>
    </w:pPr>
    <w:rPr>
      <w:rFonts w:ascii="Meiryo UI" w:eastAsia="Meiryo UI" w:hAnsi="Meiryo UI" w:cs="Meiryo UI"/>
      <w:color w:val="1F497D"/>
      <w:sz w:val="24"/>
      <w:szCs w:val="24"/>
      <w:b/>
      <w:bCs/>
    </w:rPr>
  </w:style>
  <w:style w:type="paragraph" w:styleId="4">
    <w:name w:val="heading 4"/>
    <w:uiPriority w:val="9"/>
    <w:semiHidden/>
    <w:unhideWhenUsed/>
    <w:qFormat/>
    <w:pPr>
      <w:outlineLvl w:val="3"/>
      <w:spacing w:before="160" w:after="40" w:line="360" w:lineRule="auto"/>
    </w:pPr>
    <w:rPr>
      <w:i/>
      <w:iCs/>
      <w:rFonts w:ascii="Meiryo UI" w:eastAsia="Meiryo UI" w:hAnsi="Meiryo UI" w:cs="Meiryo UI"/>
      <w:color w:val="404040"/>
      <w:sz w:val="22"/>
      <w:szCs w:val="22"/>
      <w:b/>
      <w:bCs/>
    </w:rPr>
  </w:style>
  <w:style w:type="paragraph" w:styleId="5">
    <w:name w:val="heading 5"/>
    <w:uiPriority w:val="9"/>
    <w:semiHidden/>
    <w:unhideWhenUsed/>
    <w:qFormat/>
    <w:pPr>
      <w:outlineLvl w:val="4"/>
      <w:spacing w:before="120" w:after="40" w:line="360" w:lineRule="auto"/>
    </w:pPr>
    <w:rPr>
      <w:rFonts w:ascii="Meiryo UI" w:eastAsia="Meiryo UI" w:hAnsi="Meiryo UI" w:cs="Meiryo UI"/>
      <w:color w:val="404040"/>
      <w:sz w:val="22"/>
      <w:szCs w:val="22"/>
    </w:rPr>
  </w:style>
  <w:style w:type="paragraph" w:styleId="6">
    <w:name w:val="heading 6"/>
    <w:uiPriority w:val="9"/>
    <w:semiHidden/>
    <w:unhideWhenUsed/>
    <w:qFormat/>
    <w:pPr>
      <w:outlineLvl w:val="5"/>
      <w:spacing w:before="100" w:after="40" w:line="360" w:lineRule="auto"/>
    </w:pPr>
    <w:rPr>
      <w:rFonts w:ascii="Meiryo UI" w:eastAsia="Meiryo UI" w:hAnsi="Meiryo UI" w:cs="Meiryo UI"/>
      <w:color w:val="595959"/>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905</Words>
  <Characters>5160</Characters>
  <Application>Microsoft Office Word</Application>
  <DocSecurity>0</DocSecurity>
  <Lines>43</Lines>
  <Paragraphs>12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 H</cp:lastModifiedBy>
  <cp:revision>2</cp:revision>
  <dcterms:created xsi:type="dcterms:W3CDTF">2026-03-18T12:26:00Z</dcterms:created>
  <dcterms:modified xsi:type="dcterms:W3CDTF">2026-03-18T12:26:00Z</dcterms:modified>
</cp:coreProperties>
</file>