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25AB7024" w14:textId="77777777">
        <w:tc>
          <w:tcPr>
            <w:tcW w:w="9360" w:type="dxa"/>
            <w:tcBorders>
              <w:top w:val="none" w:sz="0" w:space="0" w:color="FFFFFF"/>
              <w:left w:val="none" w:sz="0" w:space="0" w:color="FFFFFF"/>
              <w:bottom w:val="none" w:sz="0" w:space="0" w:color="FFFFFF"/>
              <w:right w:val="none" w:sz="0" w:space="0" w:color="FFFFFF"/>
            </w:tcBorders>
            <w:shd w:val="clear" w:color="auto" w:fill="1A1410"/>
            <w:tcMar>
              <w:top w:w="400" w:type="dxa"/>
              <w:left w:w="300" w:type="dxa"/>
              <w:bottom w:w="400" w:type="dxa"/>
              <w:right w:w="300" w:type="dxa"/>
            </w:tcMar>
          </w:tcPr>
          <w:p w14:paraId="0B1AB2A4" w14:textId="77777777" w:rsidR="00B43F0D" w:rsidRPr="00165E87" w:rsidRDefault="00000000">
            <w:pPr>
              <w:spacing w:before="0" w:after="120" w:line="360" w:lineRule="auto"/>
              <w:jc w:val="center"/>
              <w:rPr>
                <w:rFonts w:ascii="Meiryo UI" w:eastAsia="Meiryo UI" w:hAnsi="Meiryo UI" w:cs="Meiryo UI"/>
                <w:color w:val="FFFFFF"/>
                <w:sz w:val="26"/>
                <w:szCs w:val="26"/>
              </w:rPr>
            </w:pPr>
            <w:r>
              <w:rPr>
                <w:rFonts w:ascii="Meiryo UI" w:eastAsia="Meiryo UI" w:hAnsi="Meiryo UI" w:cs="Meiryo UI"/>
                <w:color w:val="FFFFFF"/>
                <w:sz w:val="26"/>
                <w:szCs w:val="26"/>
              </w:rPr>
              <w:t>次世代型障害者雇用モデル</w:t>
            </w:r>
          </w:p>
          <w:p w14:paraId="1A43FC85" w14:textId="519AD71D" w:rsidR="00B43F0D" w:rsidRPr="00165E87" w:rsidRDefault="00000000">
            <w:pPr>
              <w:spacing w:before="0" w:after="120" w:line="360" w:lineRule="auto"/>
              <w:jc w:val="center"/>
              <w:rPr>
                <w:rFonts w:ascii="Meiryo UI" w:eastAsia="Meiryo UI" w:hAnsi="Meiryo UI" w:cs="Meiryo UI"/>
                <w:color w:val="FFFFFF"/>
              </w:rPr>
            </w:pPr>
            <w:r>
              <w:rPr>
                <w:rFonts w:ascii="Meiryo UI" w:eastAsia="Meiryo UI" w:hAnsi="Meiryo UI" w:cs="Meiryo UI"/>
                <w:b/>
                <w:bCs/>
                <w:color w:val="FFFFFF"/>
                <w:sz w:val="36"/>
                <w:szCs w:val="36"/>
              </w:rPr>
              <w:t>（Social Contribution Point制度）</w:t>
            </w:r>
          </w:p>
          <w:p w14:paraId="3D3B43F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FFFFFF"/>
                <w:sz w:val="24"/>
                <w:szCs w:val="24"/>
              </w:rPr>
              <w:t>準公務職員・準企業職員制度　図解資料</w:t>
            </w:r>
          </w:p>
        </w:tc>
      </w:tr>
    </w:tbl>
    <w:p w14:paraId="3CF9CFE6" w14:textId="77777777" w:rsidR="00B43F0D" w:rsidRPr="00165E87" w:rsidRDefault="00B43F0D">
      <w:pPr>
        <w:spacing w:after="120" w:before="0" w:line="360" w:lineRule="auto"/>
        <w:rPr>
          <w:rFonts w:ascii="Meiryo UI" w:eastAsia="Meiryo UI" w:hAnsi="Meiryo UI" w:cs="Meiryo UI"/>
        </w:rPr>
      </w:pPr>
    </w:p>
    <w:p w14:paraId="38A6A872" w14:textId="6C98FBB5" w:rsidR="00770A2A" w:rsidRDefault="00000000" w:rsidP="00770A2A">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本資料は、次世代型障害者雇用モデルにおけるSCP制度（Social Contribution Point制度）の全体像を図解したものです。制度全体像・3レーン・タスクと報酬・10カ年ロードマップ・財源構造の5章で構成しています。</w:t>
      </w:r>
    </w:p>
    <w:p w14:paraId="64E5401D" w14:textId="77777777" w:rsidR="00770A2A" w:rsidRPr="00770A2A" w:rsidRDefault="00770A2A" w:rsidP="00770A2A">
      <w:pPr>
        <w:spacing w:before="0" w:after="120" w:line="360" w:lineRule="auto"/>
        <w:rPr>
          <w:rFonts w:ascii="Meiryo UI" w:eastAsia="Meiryo UI" w:hAnsi="Meiryo UI" w:cs="Meiryo UI"/>
        </w:rPr>
      </w:pPr>
    </w:p>
    <w:p w14:paraId="3B1BC3F6" w14:textId="77777777" w:rsidR="00770A2A" w:rsidRPr="00770A2A" w:rsidRDefault="00770A2A" w:rsidP="00770A2A">
      <w:pPr>
        <w:spacing w:before="0" w:after="120" w:line="360" w:lineRule="auto"/>
        <w:rPr>
          <w:rFonts w:ascii="Meiryo UI" w:eastAsia="Meiryo UI" w:hAnsi="Meiryo UI" w:cs="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1A449ECB" w14:textId="77777777">
        <w:tc>
          <w:tcPr>
            <w:tcW w:w="9360" w:type="dxa"/>
            <w:tcBorders>
              <w:top w:val="none" w:sz="0" w:space="0" w:color="FFFFFF"/>
              <w:left w:val="none" w:sz="0" w:space="0" w:color="FFFFFF"/>
              <w:bottom w:val="none" w:sz="0" w:space="0" w:color="FFFFFF"/>
              <w:right w:val="none" w:sz="0" w:space="0" w:color="FFFFFF"/>
            </w:tcBorders>
            <w:shd w:val="clear" w:color="auto" w:fill="1A1410"/>
            <w:tcMar>
              <w:top w:w="120" w:type="dxa"/>
              <w:left w:w="200" w:type="dxa"/>
              <w:bottom w:w="120" w:type="dxa"/>
              <w:right w:w="200" w:type="dxa"/>
            </w:tcMar>
          </w:tcPr>
          <w:p w14:paraId="63FDCA3E"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FFFFFF"/>
                <w:sz w:val="26"/>
                <w:szCs w:val="26"/>
              </w:rPr>
              <w:t>1. SCP制度（Social Contribution Point制度）全体像</w:t>
            </w:r>
          </w:p>
        </w:tc>
      </w:tr>
    </w:tbl>
    <w:p w14:paraId="558C854C" w14:textId="77777777" w:rsidR="00B43F0D" w:rsidRPr="00165E87" w:rsidRDefault="00B43F0D">
      <w:pPr>
        <w:spacing w:after="120" w:before="0" w:line="360" w:lineRule="auto"/>
        <w:rPr>
          <w:rFonts w:ascii="Meiryo UI" w:eastAsia="Meiryo UI" w:hAnsi="Meiryo UI" w:cs="Meiryo UI"/>
        </w:rPr>
      </w:pPr>
    </w:p>
    <w:p w14:paraId="3051A585" w14:textId="1832E266" w:rsidR="00B43F0D" w:rsidRPr="00770A2A" w:rsidRDefault="00000000" w:rsidP="00770A2A">
      <w:pPr>
        <w:spacing w:before="0" w:after="120" w:line="360" w:lineRule="auto"/>
        <w:rPr>
          <w:rFonts w:ascii="Meiryo UI" w:eastAsia="Meiryo UI" w:hAnsi="Meiryo UI" w:cs="Meiryo UI"/>
          <w:sz w:val="24"/>
          <w:szCs w:val="24"/>
        </w:rPr>
      </w:pPr>
      <w:r>
        <w:rPr>
          <w:rFonts w:ascii="Meiryo UI" w:eastAsia="Meiryo UI" w:hAnsi="Meiryo UI" w:cs="Meiryo UI"/>
          <w:b/>
          <w:bCs/>
          <w:color w:val="C0392B"/>
          <w:sz w:val="24"/>
          <w:szCs w:val="24"/>
        </w:rPr>
        <w:t>■ 三者同時疲弊の構造（現行制度の問題）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3F0D" w:rsidRPr="00165E87" w14:paraId="507C1AF7" w14:textId="77777777">
        <w:tc>
          <w:tcPr>
            <w:tcW w:w="3120"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4747ADE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当事者</w:t>
            </w:r>
          </w:p>
        </w:tc>
        <w:tc>
          <w:tcPr>
            <w:tcW w:w="3120" w:type="dxa"/>
            <w:tcBorders>
              <w:top w:val="none" w:sz="0" w:space="0" w:color="FFFFFF"/>
              <w:left w:val="none" w:sz="0" w:space="0" w:color="FFFFFF"/>
              <w:bottom w:val="none" w:sz="0" w:space="0" w:color="FFFFFF"/>
              <w:right w:val="none" w:sz="0" w:space="0" w:color="FFFFFF"/>
            </w:tcBorders>
            <w:shd w:val="clear" w:color="auto" w:fill="B8974A"/>
            <w:tcMar>
              <w:top w:w="100" w:type="dxa"/>
              <w:left w:w="140" w:type="dxa"/>
              <w:bottom w:w="100" w:type="dxa"/>
              <w:right w:w="140" w:type="dxa"/>
            </w:tcMar>
          </w:tcPr>
          <w:p w14:paraId="23E7D89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家族</w:t>
            </w:r>
          </w:p>
        </w:tc>
        <w:tc>
          <w:tcPr>
            <w:tcW w:w="3120" w:type="dxa"/>
            <w:tcBorders>
              <w:top w:val="none" w:sz="0" w:space="0" w:color="FFFFFF"/>
              <w:left w:val="none" w:sz="0" w:space="0" w:color="FFFFFF"/>
              <w:bottom w:val="none" w:sz="0" w:space="0" w:color="FFFFFF"/>
              <w:right w:val="none" w:sz="0" w:space="0" w:color="FFFFFF"/>
            </w:tcBorders>
            <w:shd w:val="clear" w:color="auto" w:fill="5C3D1A"/>
            <w:tcMar>
              <w:top w:w="100" w:type="dxa"/>
              <w:left w:w="140" w:type="dxa"/>
              <w:bottom w:w="100" w:type="dxa"/>
              <w:right w:w="140" w:type="dxa"/>
            </w:tcMar>
          </w:tcPr>
          <w:p w14:paraId="106D69AF"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企業</w:t>
            </w:r>
          </w:p>
        </w:tc>
      </w:tr>
      <w:tr w:rsidR="00B43F0D" w:rsidRPr="00165E87" w14:paraId="3D790D52" w14:textId="77777777">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44235F01"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A235A"/>
                <w:sz w:val="24"/>
                <w:szCs w:val="24"/>
              </w:rPr>
              <w:t>月9.4万円の年金では自立不可</w:t>
            </w:r>
          </w:p>
          <w:p w14:paraId="1C008B13"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A235A"/>
                <w:sz w:val="24"/>
                <w:szCs w:val="24"/>
              </w:rPr>
              <w:t>家族なしでの自立は極めて困難</w:t>
            </w:r>
          </w:p>
        </w:tc>
        <w:tc>
          <w:tcPr>
            <w:tcW w:w="3120"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5BE405FB"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6E4B14"/>
                <w:sz w:val="24"/>
                <w:szCs w:val="24"/>
              </w:rPr>
              <w:t>経済・心理・地理の三層負担</w:t>
            </w:r>
          </w:p>
          <w:p w14:paraId="55C66338"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6E4B14"/>
                <w:sz w:val="24"/>
                <w:szCs w:val="24"/>
              </w:rPr>
              <w:t>「親亡き後」の生活破綻リスク</w:t>
            </w:r>
          </w:p>
        </w:tc>
        <w:tc>
          <w:tcPr>
            <w:tcW w:w="3120"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36D950E8"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145A32"/>
                <w:sz w:val="24"/>
                <w:szCs w:val="24"/>
              </w:rPr>
              <w:t>業務を人工的に創出し管理</w:t>
            </w:r>
          </w:p>
          <w:p w14:paraId="4A01ADE5"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145A32"/>
                <w:sz w:val="24"/>
                <w:szCs w:val="24"/>
              </w:rPr>
              <w:t>1名あたり年25〜35万円超の管理コスト</w:t>
            </w:r>
          </w:p>
        </w:tc>
      </w:tr>
    </w:tbl>
    <w:p w14:paraId="6800E88A" w14:textId="77777777" w:rsidR="00B43F0D" w:rsidRPr="00165E87" w:rsidRDefault="00B43F0D">
      <w:pPr>
        <w:spacing w:after="120" w:before="0" w:line="360" w:lineRule="auto"/>
        <w:rPr>
          <w:rFonts w:ascii="Meiryo UI" w:eastAsia="Meiryo UI" w:hAnsi="Meiryo UI" w:cs="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7C52F8CE" w14:textId="77777777">
        <w:tc>
          <w:tcPr>
            <w:tcW w:w="9360" w:type="dxa"/>
            <w:tcBorders>
              <w:top w:val="single" w:sz="6" w:space="0" w:color="C0392B"/>
              <w:left w:val="none" w:sz="0" w:space="0" w:color="FFFFFF"/>
              <w:bottom w:val="single" w:sz="6" w:space="0" w:color="C0392B"/>
              <w:right w:val="none" w:sz="0" w:space="0" w:color="FFFFFF"/>
            </w:tcBorders>
            <w:shd w:val="clear" w:color="auto" w:fill="F5EDEB"/>
            <w:tcMar>
              <w:top w:w="100" w:type="dxa"/>
              <w:left w:w="140" w:type="dxa"/>
              <w:bottom w:w="100" w:type="dxa"/>
              <w:right w:w="140" w:type="dxa"/>
            </w:tcMar>
          </w:tcPr>
          <w:p w14:paraId="05E5E99A"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C0392B"/>
                <w:sz w:val="24"/>
                <w:szCs w:val="24"/>
              </w:rPr>
              <w:t>根本原因：「土台なき義務化」（欧州と逆の設計思想）</w:t>
            </w:r>
          </w:p>
          <w:p w14:paraId="603F68E6"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444444"/>
                <w:sz w:val="24"/>
                <w:szCs w:val="24"/>
              </w:rPr>
              <w:t>欧州：「国が生活基盤を確立→企業雇用は社会参加の上乗せ」</w:t>
            </w:r>
          </w:p>
          <w:p w14:paraId="7BA822FB"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color w:val="444444"/>
                <w:sz w:val="24"/>
                <w:szCs w:val="24"/>
              </w:rPr>
              <w:t>日本：所得保障が不十分なまま、企業雇用の義務だけを先行させた</w:t>
            </w:r>
          </w:p>
        </w:tc>
      </w:tr>
    </w:tbl>
    <w:p w14:paraId="16200055" w14:textId="77777777" w:rsidR="00B43F0D" w:rsidRPr="00165E87" w:rsidRDefault="00B43F0D">
      <w:pPr>
        <w:spacing w:after="120" w:before="0" w:line="360" w:lineRule="auto"/>
        <w:rPr>
          <w:rFonts w:ascii="Meiryo UI" w:eastAsia="Meiryo UI" w:hAnsi="Meiryo UI" w:cs="Meiryo UI"/>
        </w:rPr>
      </w:pPr>
    </w:p>
    <w:p w14:paraId="3AE4100A" w14:textId="28A14F17" w:rsidR="00B43F0D" w:rsidRPr="00770A2A" w:rsidRDefault="00000000" w:rsidP="00770A2A">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 改革3段階のロードマップ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3F0D" w:rsidRPr="00165E87" w14:paraId="0C29D550" w14:textId="77777777">
        <w:tc>
          <w:tcPr>
            <w:tcW w:w="3120"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5A4821D4"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color w:val="FFFFFF"/>
                <w:sz w:val="24"/>
                <w:szCs w:val="24"/>
              </w:rPr>
              <w:t>第1段階</w:t>
            </w:r>
          </w:p>
          <w:p w14:paraId="1C46A5D3"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年金基盤の確立</w:t>
            </w:r>
          </w:p>
        </w:tc>
        <w:tc>
          <w:tcPr>
            <w:tcW w:w="3120" w:type="dxa"/>
            <w:tcBorders>
              <w:top w:val="none" w:sz="0" w:space="0" w:color="FFFFFF"/>
              <w:left w:val="none" w:sz="0" w:space="0" w:color="FFFFFF"/>
              <w:bottom w:val="none" w:sz="0" w:space="0" w:color="FFFFFF"/>
              <w:right w:val="none" w:sz="0" w:space="0" w:color="FFFFFF"/>
            </w:tcBorders>
            <w:shd w:val="clear" w:color="auto" w:fill="5C3D1A"/>
            <w:tcMar>
              <w:top w:w="100" w:type="dxa"/>
              <w:left w:w="140" w:type="dxa"/>
              <w:bottom w:w="100" w:type="dxa"/>
              <w:right w:w="140" w:type="dxa"/>
            </w:tcMar>
          </w:tcPr>
          <w:p w14:paraId="5D544107"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color w:val="FFFFFF"/>
                <w:sz w:val="24"/>
                <w:szCs w:val="24"/>
              </w:rPr>
              <w:t>第2段階</w:t>
            </w:r>
          </w:p>
          <w:p w14:paraId="044F9E49"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準公務職員制度</w:t>
            </w:r>
          </w:p>
        </w:tc>
        <w:tc>
          <w:tcPr>
            <w:tcW w:w="3120"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7D7809D8"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color w:val="FFFFFF"/>
                <w:sz w:val="24"/>
                <w:szCs w:val="24"/>
              </w:rPr>
              <w:t>第3段階</w:t>
            </w:r>
          </w:p>
          <w:p w14:paraId="011E8D92"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準企業職員制度</w:t>
            </w:r>
          </w:p>
        </w:tc>
      </w:tr>
      <w:tr w:rsidR="00B43F0D" w:rsidRPr="00165E87" w14:paraId="3614F095" w14:textId="77777777">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3BE9052D"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障害基礎年金を等級別に引上げ</w:t>
            </w:r>
          </w:p>
          <w:p w14:paraId="75786DA4"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1級：15万円</w:t>
            </w:r>
          </w:p>
          <w:p w14:paraId="28133074"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2級：12万円</w:t>
            </w:r>
          </w:p>
          <w:p w14:paraId="03369FFF"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新設3級：9万円</w:t>
            </w:r>
          </w:p>
        </w:tc>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61A4A28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自治体が障害者をタスク型で公務に組み込む</w:t>
            </w:r>
          </w:p>
          <w:p w14:paraId="03FCB573"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首長直轄「公共業務分担推進局」新設</w:t>
            </w:r>
          </w:p>
          <w:p w14:paraId="10C9A611"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全国1,072拠点整備</w:t>
            </w:r>
          </w:p>
        </w:tc>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22F490E0"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法定雇用率評価をSCPポイント制に転換</w:t>
            </w:r>
          </w:p>
          <w:p w14:paraId="1B66ABC8"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企業はA/B/Cの3レーンを組み合わせて義務達成</w:t>
            </w:r>
          </w:p>
          <w:p w14:paraId="4CD8D94B"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333333"/>
                <w:sz w:val="24"/>
                <w:szCs w:val="24"/>
              </w:rPr>
              <w:t>拠出金は年金原資へ直接スライド</w:t>
            </w:r>
          </w:p>
        </w:tc>
      </w:tr>
    </w:tbl>
    <w:p w14:paraId="5C5E51E7" w14:textId="77777777" w:rsidR="00B43F0D" w:rsidRPr="00165E87" w:rsidRDefault="00B43F0D">
      <w:pPr>
        <w:spacing w:after="120" w:before="0" w:line="360" w:lineRule="auto"/>
        <w:rPr>
          <w:rFonts w:ascii="Meiryo UI" w:eastAsia="Meiryo UI" w:hAnsi="Meiryo UI" w:cs="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51065BC2" w14:textId="77777777">
        <w:tc>
          <w:tcPr>
            <w:tcW w:w="9360" w:type="dxa"/>
            <w:tcBorders>
              <w:top w:val="single" w:sz="6" w:space="0" w:color="F9A825"/>
              <w:left w:val="none" w:sz="0" w:space="0" w:color="FFFFFF"/>
              <w:bottom w:val="single" w:sz="6" w:space="0" w:color="F9A825"/>
              <w:right w:val="none" w:sz="0" w:space="0" w:color="FFFFFF"/>
            </w:tcBorders>
            <w:shd w:val="clear" w:color="auto" w:fill="F5E8C0"/>
            <w:tcMar>
              <w:top w:w="100" w:type="dxa"/>
              <w:left w:w="140" w:type="dxa"/>
              <w:bottom w:w="100" w:type="dxa"/>
              <w:right w:w="140" w:type="dxa"/>
            </w:tcMar>
          </w:tcPr>
          <w:p w14:paraId="2978F997"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E65100"/>
                <w:sz w:val="24"/>
                <w:szCs w:val="24"/>
              </w:rPr>
              <w:t>★ SCPポイントとは？　1ポイント＝1時間の社会参画</w:t>
            </w:r>
          </w:p>
          <w:p w14:paraId="210BD433"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333333"/>
                <w:sz w:val="24"/>
                <w:szCs w:val="24"/>
              </w:rPr>
              <w:t>義務SCP＝不足人数 × 120P　（1P＝1時間、週30h × 4週＝120P＝1人分）</w:t>
            </w:r>
          </w:p>
          <w:p w14:paraId="5DD860CC"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color w:val="555555"/>
                <w:sz w:val="24"/>
                <w:szCs w:val="24"/>
              </w:rPr>
              <w:t>企業は A・B・C 3つのレーンを組み合わせてポイントを充足する</w:t>
            </w:r>
          </w:p>
        </w:tc>
      </w:tr>
    </w:tbl>
    <w:p w14:paraId="7BFAFFA8" w14:textId="1413B37E" w:rsidR="00B43F0D" w:rsidRDefault="00B43F0D">
      <w:pPr>
        <w:rPr>
          <w:rFonts w:ascii="Meiryo UI" w:eastAsia="Meiryo UI" w:hAnsi="Meiryo UI" w:cs="Meiryo UI"/>
        </w:rPr>
        <w:spacing w:before="0" w:after="120" w:line="360" w:lineRule="auto"/>
      </w:pPr>
    </w:p>
    <w:p w14:paraId="0146552F" w14:textId="77777777" w:rsidR="00770A2A" w:rsidRPr="00165E87" w:rsidRDefault="00770A2A">
      <w:pPr>
        <w:rPr>
          <w:rFonts w:ascii="Meiryo UI" w:eastAsia="Meiryo UI" w:hAnsi="Meiryo UI" w:cs="Meiryo UI"/>
        </w:rPr>
        <w:spacing w:before="0"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0BD1AA22" w14:textId="77777777">
        <w:tc>
          <w:tcPr>
            <w:tcW w:w="9360" w:type="dxa"/>
            <w:tcBorders>
              <w:top w:val="none" w:sz="0" w:space="0" w:color="FFFFFF"/>
              <w:left w:val="none" w:sz="0" w:space="0" w:color="FFFFFF"/>
              <w:bottom w:val="none" w:sz="0" w:space="0" w:color="FFFFFF"/>
              <w:right w:val="none" w:sz="0" w:space="0" w:color="FFFFFF"/>
            </w:tcBorders>
            <w:shd w:val="clear" w:color="auto" w:fill="1A1410"/>
            <w:tcMar>
              <w:top w:w="120" w:type="dxa"/>
              <w:left w:w="200" w:type="dxa"/>
              <w:bottom w:w="120" w:type="dxa"/>
              <w:right w:w="200" w:type="dxa"/>
            </w:tcMar>
          </w:tcPr>
          <w:p w14:paraId="672EDC98"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FFFFFF"/>
                <w:sz w:val="26"/>
                <w:szCs w:val="26"/>
              </w:rPr>
              <w:t>2. 企業が選べる3つのレーン</w:t>
            </w:r>
          </w:p>
        </w:tc>
      </w:tr>
    </w:tbl>
    <w:p w14:paraId="057897F2" w14:textId="77777777" w:rsidR="00B43F0D" w:rsidRPr="00165E87" w:rsidRDefault="00B43F0D">
      <w:pPr>
        <w:spacing w:after="120" w:before="0" w:line="360" w:lineRule="auto"/>
        <w:rPr>
          <w:rFonts w:ascii="Meiryo UI" w:eastAsia="Meiryo UI" w:hAnsi="Meiryo UI" w:cs="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3F0D" w:rsidRPr="00165E87" w14:paraId="77AF625B" w14:textId="77777777">
        <w:tc>
          <w:tcPr>
            <w:tcW w:w="3120"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7E69DE3A"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Aレーン</w:t>
            </w:r>
          </w:p>
          <w:p w14:paraId="3E7F4391"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直接雇用レーン</w:t>
            </w:r>
          </w:p>
          <w:p w14:paraId="334FEC1E"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color w:val="FFFFFF"/>
                <w:sz w:val="24"/>
                <w:szCs w:val="24"/>
              </w:rPr>
              <w:t>実働時間 × 1P</w:t>
            </w:r>
          </w:p>
        </w:tc>
        <w:tc>
          <w:tcPr>
            <w:tcW w:w="3120" w:type="dxa"/>
            <w:tcBorders>
              <w:top w:val="none" w:sz="0" w:space="0" w:color="FFFFFF"/>
              <w:left w:val="none" w:sz="0" w:space="0" w:color="FFFFFF"/>
              <w:bottom w:val="none" w:sz="0" w:space="0" w:color="FFFFFF"/>
              <w:right w:val="none" w:sz="0" w:space="0" w:color="FFFFFF"/>
            </w:tcBorders>
            <w:shd w:val="clear" w:color="auto" w:fill="5C3D1A"/>
            <w:tcMar>
              <w:top w:w="100" w:type="dxa"/>
              <w:left w:w="140" w:type="dxa"/>
              <w:bottom w:w="100" w:type="dxa"/>
              <w:right w:w="140" w:type="dxa"/>
            </w:tcMar>
          </w:tcPr>
          <w:p w14:paraId="1C21F798"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Bレーン</w:t>
            </w:r>
          </w:p>
          <w:p w14:paraId="5E243AA3"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職場浸透レーン</w:t>
            </w:r>
          </w:p>
          <w:p w14:paraId="2EEA76CD"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color w:val="FFFFFF"/>
                <w:sz w:val="24"/>
                <w:szCs w:val="24"/>
              </w:rPr>
              <w:t>①月次レポート②インターン受け入れ③混合PJ完了をP換算（研修はポイント対象外・解禁条件）</w:t>
            </w:r>
          </w:p>
        </w:tc>
        <w:tc>
          <w:tcPr>
            <w:tcW w:w="3120"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73DC6C6A"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Cレーン</w:t>
            </w:r>
          </w:p>
          <w:p w14:paraId="6A380575"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拠出代替レーン</w:t>
            </w:r>
          </w:p>
          <w:p w14:paraId="02364987"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color w:val="FFFFFF"/>
                <w:sz w:val="24"/>
                <w:szCs w:val="24"/>
              </w:rPr>
              <w:t>1P＝1,500円を拠出</w:t>
            </w:r>
          </w:p>
        </w:tc>
      </w:tr>
      <w:tr w:rsidR="00B43F0D" w:rsidRPr="00165E87" w14:paraId="073EC2C7" w14:textId="77777777">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E5D449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【上限】上限なし</w:t>
            </w:r>
          </w:p>
          <w:p w14:paraId="7B1DCF56"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障害者を直接雇用し、実働時間分のポイントが無制限に積み上がる</w:t>
            </w:r>
          </w:p>
          <w:p w14:paraId="41A81F10"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タスクベース雇用のため待機コストゼロ</w:t>
            </w:r>
          </w:p>
          <w:p w14:paraId="69BC765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障害者の当事者知見（アクセシビリティ改善等）を本業に活用可能</w:t>
            </w:r>
          </w:p>
          <w:p w14:paraId="7E15A78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実雇用企業は管理コスト消滅により現行より総負担が低減</w:t>
            </w:r>
          </w:p>
          <w:p w14:paraId="1FC996EE"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 最もポイント効率が高い。障害者の知見を本業価値創造に直結</w:t>
            </w:r>
          </w:p>
        </w:tc>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3AFDFB0"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2E7D32"/>
                <w:sz w:val="24"/>
                <w:szCs w:val="24"/>
              </w:rPr>
              <w:t>【上限】上限30%</w:t>
            </w:r>
          </w:p>
          <w:p w14:paraId="5D251164"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【準備層】月次取り組みレポート：1P/月・年間上限6P（ハローワークが受付・審査） • 【実践層】インターン受け入れ完了：1日8P・1週間24P・1ヶ月以上36P（Bレーン上限） • 【協働層】混合PJ完了：12P/件（実施記録のみ・成果物不要・推進局が確認）</w:t>
            </w:r>
          </w:p>
          <w:p w14:paraId="72191AD7"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D&amp;I研修はポイント対象外・インターン受け入れの解禁条件（年2回＋予備各1回・受け入れ部署全員受講必須／中小企業は全社一括・大企業は部署単位）</w:t>
            </w:r>
          </w:p>
          <w:p w14:paraId="4827B16D"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義務SCPの最大30%まで充当可能</w:t>
            </w:r>
          </w:p>
          <w:p w14:paraId="35CE7E3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障害者との接点を体験として段階的に構築できる</w:t>
            </w:r>
          </w:p>
          <w:p w14:paraId="4DCDA341"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将来の直接雇用への橋渡し効果あり</w:t>
            </w:r>
          </w:p>
          <w:p w14:paraId="64FCDE2F"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2E7D32"/>
                <w:sz w:val="24"/>
                <w:szCs w:val="24"/>
              </w:rPr>
              <w:t>▶ 義務の30%まで充当可。3層構造で段階的にポイント取得可能。審査はハローワーク（月次レポート）と推進局（混合PJ）が分担し、推進局は現場運営に専念。ポイント確定→仮納付は翌月末・年度末精算は翌年5月末</w:t>
            </w:r>
          </w:p>
        </w:tc>
        <w:tc>
          <w:tcPr>
            <w:tcW w:w="312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53E4AEA7"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6A1B9A"/>
                <w:sz w:val="24"/>
                <w:szCs w:val="24"/>
              </w:rPr>
              <w:t>【上限】上限50%（完全代替は不可）</w:t>
            </w:r>
          </w:p>
          <w:p w14:paraId="070D26FF"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雇用代替拠出金として1P＝1,500円を拠出</w:t>
            </w:r>
          </w:p>
          <w:p w14:paraId="1E9DAE73"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義務SCPの最大50%までしか充当できない設計</w:t>
            </w:r>
          </w:p>
          <w:p w14:paraId="223A32E4"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拠出金のみで全義務を完了することは構造上不可能</w:t>
            </w:r>
          </w:p>
          <w:p w14:paraId="2DBF28C0"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拠出金は年金原資へ直接スライド（自律循環）</w:t>
            </w:r>
          </w:p>
          <w:p w14:paraId="198B1203"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6A1B9A"/>
                <w:sz w:val="24"/>
                <w:szCs w:val="24"/>
              </w:rPr>
              <w:t>▶ 専門外の労務管理から解放されつつ社会的責任を果たせる</w:t>
            </w:r>
          </w:p>
        </w:tc>
      </w:tr>
    </w:tbl>
    <w:p w14:paraId="0DC2FCED" w14:textId="77777777" w:rsidR="00B43F0D" w:rsidRPr="00165E87" w:rsidRDefault="00B43F0D">
      <w:pPr>
        <w:spacing w:after="120" w:before="0" w:line="360" w:lineRule="auto"/>
        <w:rPr>
          <w:rFonts w:ascii="Meiryo UI" w:eastAsia="Meiryo UI" w:hAnsi="Meiryo UI" w:cs="Meiryo UI"/>
        </w:rPr>
      </w:pPr>
    </w:p>
    <w:p w14:paraId="694B17B4" w14:textId="29B53AE6" w:rsidR="00B43F0D" w:rsidRPr="00165E87" w:rsidRDefault="00000000" w:rsidP="00770A2A">
      <w:pPr>
        <w:spacing w:before="0" w:after="120" w:line="360" w:lineRule="auto"/>
        <w:rPr>
          <w:rFonts w:ascii="Meiryo UI" w:eastAsia="Meiryo UI" w:hAnsi="Meiryo UI" w:cs="Meiryo UI"/>
          <w:sz w:val="24"/>
          <w:szCs w:val="24"/>
        </w:rPr>
      </w:pPr>
      <w:r>
        <w:rPr>
          <w:rFonts w:ascii="Meiryo UI" w:eastAsia="Meiryo UI" w:hAnsi="Meiryo UI" w:cs="Meiryo UI"/>
          <w:b/>
          <w:bCs/>
          <w:color w:val="6A1B9A"/>
          <w:sz w:val="24"/>
          <w:szCs w:val="24"/>
        </w:rPr>
        <w:t>■ 具体例：従業員100人・法定雇用率2.5%・未雇用の企業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B43F0D" w:rsidRPr="00165E87" w14:paraId="0BF2981F" w14:textId="77777777">
        <w:tc>
          <w:tcPr>
            <w:tcW w:w="2808"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00D93ABF"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義務SCP計算</w:t>
            </w:r>
          </w:p>
        </w:tc>
        <w:tc>
          <w:tcPr>
            <w:tcW w:w="3276" w:type="dxa"/>
            <w:tcBorders>
              <w:top w:val="none" w:sz="0" w:space="0" w:color="FFFFFF"/>
              <w:left w:val="none" w:sz="0" w:space="0" w:color="FFFFFF"/>
              <w:bottom w:val="none" w:sz="0" w:space="0" w:color="FFFFFF"/>
              <w:right w:val="none" w:sz="0" w:space="0" w:color="FFFFFF"/>
            </w:tcBorders>
            <w:shd w:val="clear" w:color="auto" w:fill="8B2635"/>
            <w:tcMar>
              <w:top w:w="100" w:type="dxa"/>
              <w:left w:w="140" w:type="dxa"/>
              <w:bottom w:w="100" w:type="dxa"/>
              <w:right w:w="140" w:type="dxa"/>
            </w:tcMar>
          </w:tcPr>
          <w:p w14:paraId="28AF6982"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Cレーン上限（50%）</w:t>
            </w:r>
          </w:p>
        </w:tc>
        <w:tc>
          <w:tcPr>
            <w:tcW w:w="3276" w:type="dxa"/>
            <w:tcBorders>
              <w:top w:val="none" w:sz="0" w:space="0" w:color="FFFFFF"/>
              <w:left w:val="none" w:sz="0" w:space="0" w:color="FFFFFF"/>
              <w:bottom w:val="none" w:sz="0" w:space="0" w:color="FFFFFF"/>
              <w:right w:val="none" w:sz="0" w:space="0" w:color="FFFFFF"/>
            </w:tcBorders>
            <w:shd w:val="clear" w:color="auto" w:fill="1A1410"/>
            <w:tcMar>
              <w:top w:w="100" w:type="dxa"/>
              <w:left w:w="140" w:type="dxa"/>
              <w:bottom w:w="100" w:type="dxa"/>
              <w:right w:w="140" w:type="dxa"/>
            </w:tcMar>
          </w:tcPr>
          <w:p w14:paraId="6C6F7BF0"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残り180Pは必須</w:t>
            </w:r>
          </w:p>
        </w:tc>
      </w:tr>
      <w:tr w:rsidR="00B43F0D" w:rsidRPr="00165E87" w14:paraId="4310D21A" w14:textId="77777777">
        <w:tc>
          <w:tcPr>
            <w:tcW w:w="2808"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74C284BF"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不足人数 3人 × 120P</w:t>
            </w:r>
          </w:p>
          <w:p w14:paraId="656B8906"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6A1B9A"/>
                <w:sz w:val="24"/>
                <w:szCs w:val="24"/>
              </w:rPr>
              <w:t>＝ 義務 360P</w:t>
            </w:r>
          </w:p>
        </w:tc>
        <w:tc>
          <w:tcPr>
            <w:tcW w:w="327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69748BE9"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180P × 1,500円</w:t>
            </w:r>
          </w:p>
          <w:p w14:paraId="37285697"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C62828"/>
                <w:sz w:val="24"/>
                <w:szCs w:val="24"/>
              </w:rPr>
              <w:t>＝ 月額 27万円</w:t>
            </w:r>
          </w:p>
          <w:p w14:paraId="218EBCBE"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888888"/>
                <w:sz w:val="24"/>
                <w:szCs w:val="24"/>
              </w:rPr>
              <w:t>（現行納付金15万円の約1.8倍）</w:t>
            </w:r>
          </w:p>
        </w:tc>
        <w:tc>
          <w:tcPr>
            <w:tcW w:w="327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7BEB8F59"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AまたはBレーンで充足必須</w:t>
            </w:r>
          </w:p>
          <w:p w14:paraId="16E750BB"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 障害者との接点を構造的に担保</w:t>
            </w:r>
          </w:p>
        </w:tc>
      </w:tr>
    </w:tbl>
    <w:p w14:paraId="775903D0" w14:textId="08FEB146" w:rsidR="00B43F0D" w:rsidRDefault="00B43F0D">
      <w:pPr>
        <w:rPr>
          <w:rFonts w:ascii="Meiryo UI" w:eastAsia="Meiryo UI" w:hAnsi="Meiryo UI" w:cs="Meiryo UI"/>
        </w:rPr>
        <w:spacing w:before="0" w:after="120" w:line="360" w:lineRule="auto"/>
      </w:pPr>
    </w:p>
    <w:p w14:paraId="0CE04DC2" w14:textId="77777777" w:rsidR="00770A2A" w:rsidRPr="00165E87" w:rsidRDefault="00770A2A">
      <w:pPr>
        <w:rPr>
          <w:rFonts w:ascii="Meiryo UI" w:eastAsia="Meiryo UI" w:hAnsi="Meiryo UI" w:cs="Meiryo UI"/>
        </w:rPr>
        <w:spacing w:before="0"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2EFA8A40" w14:textId="77777777">
        <w:tc>
          <w:tcPr>
            <w:tcW w:w="9360" w:type="dxa"/>
            <w:tcBorders>
              <w:top w:val="none" w:sz="0" w:space="0" w:color="FFFFFF"/>
              <w:left w:val="none" w:sz="0" w:space="0" w:color="FFFFFF"/>
              <w:bottom w:val="none" w:sz="0" w:space="0" w:color="FFFFFF"/>
              <w:right w:val="none" w:sz="0" w:space="0" w:color="FFFFFF"/>
            </w:tcBorders>
            <w:shd w:val="clear" w:color="auto" w:fill="1A1410"/>
            <w:tcMar>
              <w:top w:w="120" w:type="dxa"/>
              <w:left w:w="200" w:type="dxa"/>
              <w:bottom w:w="120" w:type="dxa"/>
              <w:right w:w="200" w:type="dxa"/>
            </w:tcMar>
          </w:tcPr>
          <w:p w14:paraId="2CF430A2"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FFFFFF"/>
                <w:sz w:val="26"/>
                <w:szCs w:val="26"/>
              </w:rPr>
              <w:t>3. 準企業職員が担うタスク例</w:t>
            </w:r>
          </w:p>
        </w:tc>
      </w:tr>
    </w:tbl>
    <w:p w14:paraId="5C967318" w14:textId="77777777" w:rsidR="00B43F0D" w:rsidRPr="00165E87" w:rsidRDefault="00B43F0D">
      <w:pPr>
        <w:spacing w:after="120" w:before="0" w:line="360" w:lineRule="auto"/>
        <w:rPr>
          <w:rFonts w:ascii="Meiryo UI" w:eastAsia="Meiryo UI" w:hAnsi="Meiryo UI" w:cs="Meiryo UI"/>
        </w:rPr>
      </w:pPr>
    </w:p>
    <w:p w14:paraId="1B000099"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6"/>
          <w:szCs w:val="26"/>
        </w:rPr>
        <w:t>2. 準公務職員が担うタスク例</w:t>
      </w:r>
    </w:p>
    <w:tbl>
      <w:tblPr>
        <w:tblW w:w="9358" w:type="dxa"/>
        <w:tblBorders>
          <w:top w:val="single" w:sz="4" w:space="0" w:color="1A1410"/>
          <w:left w:val="single" w:sz="4" w:space="0" w:color="1A1410"/>
          <w:bottom w:val="single" w:sz="4" w:space="0" w:color="1A1410"/>
          <w:right w:val="single" w:sz="4" w:space="0" w:color="1A1410"/>
          <w:insideH w:val="single" w:sz="4" w:space="0" w:color="CCCCCC"/>
          <w:insideV w:val="single" w:sz="4" w:space="0" w:color="CCCCCC"/>
        </w:tblBorders>
        <w:tblLook w:val="04A0" w:firstRow="1" w:lastRow="0" w:firstColumn="1" w:lastColumn="0" w:noHBand="0" w:noVBand="1"/>
      </w:tblPr>
      <w:tblGrid>
        <w:gridCol w:w="3556"/>
        <w:gridCol w:w="2392"/>
        <w:gridCol w:w="3410"/>
      </w:tblGrid>
      <w:tr w:rsidR="00B43F0D" w14:paraId="1B0001A0" w14:textId="77777777" w:rsidTr="00546454">
        <w:tc>
          <w:tcPr>
            <w:tcW w:w="9358" w:type="dxa"/>
            <w:gridSpan w:val="3"/>
            <w:tcBorders>
              <w:top w:val="single" w:sz="4" w:space="0" w:color="1A1410"/>
              <w:left w:val="single" w:sz="4" w:space="0" w:color="1A1410"/>
              <w:bottom w:val="single" w:sz="4" w:space="0" w:color="1A1410"/>
              <w:right w:val="single" w:sz="4" w:space="0" w:color="1A1410"/>
            </w:tcBorders>
            <w:shd w:val="clear" w:color="auto" w:fill="1A1410"/>
            <w:tcMar>
              <w:top w:w="100" w:type="dxa"/>
              <w:left w:w="140" w:type="dxa"/>
              <w:bottom w:w="100" w:type="dxa"/>
              <w:right w:w="140" w:type="dxa"/>
            </w:tcMar>
          </w:tcPr>
          <w:p w14:paraId="1B0001A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FFFFFF"/>
                <w:sz w:val="24"/>
                <w:szCs w:val="24"/>
              </w:rPr>
              <w:t>■ 準公務職員タスク例（社会インフラ・地域安全・事務系）</w:t>
            </w:r>
          </w:p>
        </w:tc>
      </w:tr>
      <w:tr w:rsidR="00B43F0D" w14:paraId="01B0002B" w14:textId="77777777" w:rsidTr="00546454">
        <w:tc>
          <w:tcPr>
            <w:tcW w:w="3556" w:type="dxa"/>
            <w:tcBorders>
              <w:top w:val="single" w:sz="4" w:space="0" w:color="1A1410"/>
              <w:left w:val="single" w:sz="4" w:space="0" w:color="1A1410"/>
              <w:bottom w:val="single" w:sz="4" w:space="0" w:color="1A1410"/>
              <w:right w:val="single" w:sz="4" w:space="0" w:color="1A1410"/>
            </w:tcBorders>
            <w:shd w:val="clear" w:color="auto" w:fill="1A1410"/>
            <w:tcMar>
              <w:top w:w="100" w:type="dxa"/>
              <w:left w:w="140" w:type="dxa"/>
              <w:bottom w:w="100" w:type="dxa"/>
              <w:right w:w="140" w:type="dxa"/>
            </w:tcMar>
          </w:tcPr>
          <w:p w14:paraId="1B0002B0"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FFFFFF"/>
                <w:sz w:val="24"/>
                <w:szCs w:val="24"/>
              </w:rPr>
              <w:t>業務名</w:t>
            </w:r>
          </w:p>
        </w:tc>
        <w:tc>
          <w:tcPr>
            <w:tcW w:w="2392" w:type="dxa"/>
            <w:tcBorders>
              <w:top w:val="single" w:sz="4" w:space="0" w:color="1A1410"/>
              <w:left w:val="single" w:sz="4" w:space="0" w:color="1A1410"/>
              <w:bottom w:val="single" w:sz="4" w:space="0" w:color="1A1410"/>
              <w:right w:val="single" w:sz="4" w:space="0" w:color="1A1410"/>
            </w:tcBorders>
            <w:shd w:val="clear" w:color="auto" w:fill="1A1410"/>
            <w:tcMar>
              <w:top w:w="100" w:type="dxa"/>
              <w:left w:w="140" w:type="dxa"/>
              <w:bottom w:w="100" w:type="dxa"/>
              <w:right w:w="140" w:type="dxa"/>
            </w:tcMar>
          </w:tcPr>
          <w:p w14:paraId="1B0002B1"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時給</w:t>
            </w:r>
          </w:p>
        </w:tc>
        <w:tc>
          <w:tcPr>
            <w:tcW w:w="3410" w:type="dxa"/>
            <w:tcBorders>
              <w:top w:val="single" w:sz="4" w:space="0" w:color="1A1410"/>
              <w:left w:val="single" w:sz="4" w:space="0" w:color="1A1410"/>
              <w:bottom w:val="single" w:sz="4" w:space="0" w:color="1A1410"/>
              <w:right w:val="single" w:sz="4" w:space="0" w:color="1A1410"/>
            </w:tcBorders>
            <w:shd w:val="clear" w:color="auto" w:fill="1A1410"/>
            <w:tcMar>
              <w:top w:w="100" w:type="dxa"/>
              <w:left w:w="140" w:type="dxa"/>
              <w:bottom w:w="100" w:type="dxa"/>
              <w:right w:w="140" w:type="dxa"/>
            </w:tcMar>
          </w:tcPr>
          <w:p w14:paraId="1B0002B2"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FFFFFF"/>
                <w:sz w:val="24"/>
                <w:szCs w:val="24"/>
              </w:rPr>
              <w:t>設定根拠</w:t>
            </w:r>
          </w:p>
        </w:tc>
      </w:tr>
      <w:tr w:rsidR="00B43F0D" w14:paraId="1B000A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A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清掃（公園・河川敷等）</w:t>
            </w:r>
          </w:p>
        </w:tc>
        <w:tc>
          <w:tcPr>
            <w:tcW w:w="2392"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A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1,450円</w:t>
            </w:r>
          </w:p>
        </w:tc>
        <w:tc>
          <w:tcPr>
            <w:tcW w:w="3410"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A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屋外肉体労働および天候リスクへの困難手当的加算</w:t>
            </w:r>
          </w:p>
        </w:tc>
      </w:tr>
      <w:tr w:rsidR="00B43F0D" w14:paraId="1B000B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B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公共トイレ見回り</w:t>
            </w:r>
          </w:p>
        </w:tc>
        <w:tc>
          <w:tcPr>
            <w:tcW w:w="2392"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B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1,600円</w:t>
            </w:r>
          </w:p>
        </w:tc>
        <w:tc>
          <w:tcPr>
            <w:tcW w:w="341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B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衛生環境への対応および精神的負荷へのインセンティブ</w:t>
            </w:r>
          </w:p>
        </w:tc>
      </w:tr>
      <w:tr w:rsidR="00B43F0D" w14:paraId="1B000C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C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ゴミ出し支援（高齢者・障害者世帯）</w:t>
            </w:r>
          </w:p>
        </w:tc>
        <w:tc>
          <w:tcPr>
            <w:tcW w:w="2392"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C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1,500円</w:t>
            </w:r>
          </w:p>
        </w:tc>
        <w:tc>
          <w:tcPr>
            <w:tcW w:w="3410"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C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重量物運搬の肉体負荷と対人支援の重要性を考慮</w:t>
            </w:r>
          </w:p>
        </w:tc>
      </w:tr>
      <w:tr w:rsidR="00B43F0D" w14:paraId="1B000D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D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遊具点検（公園）</w:t>
            </w:r>
          </w:p>
        </w:tc>
        <w:tc>
          <w:tcPr>
            <w:tcW w:w="2392"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D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1,350円</w:t>
            </w:r>
          </w:p>
        </w:tc>
        <w:tc>
          <w:tcPr>
            <w:tcW w:w="341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D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子どもの安全確保に直結する点検責任を評価</w:t>
            </w:r>
          </w:p>
        </w:tc>
      </w:tr>
      <w:tr w:rsidR="00B43F0D" w14:paraId="1B000E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E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独居高齢者安否確認（電話・訪問）</w:t>
            </w:r>
          </w:p>
        </w:tc>
        <w:tc>
          <w:tcPr>
            <w:tcW w:w="2392"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E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1,400円</w:t>
            </w:r>
          </w:p>
        </w:tc>
        <w:tc>
          <w:tcPr>
            <w:tcW w:w="3410"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0E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異変察知能力と対人コミュニケーションの質を評価</w:t>
            </w:r>
          </w:p>
        </w:tc>
      </w:tr>
      <w:tr w:rsidR="00B43F0D" w14:paraId="1B000F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F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自治体主催のイベント（会場設営補助）</w:t>
            </w:r>
          </w:p>
        </w:tc>
        <w:tc>
          <w:tcPr>
            <w:tcW w:w="2392"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F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1,400円</w:t>
            </w:r>
          </w:p>
        </w:tc>
        <w:tc>
          <w:tcPr>
            <w:tcW w:w="341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0F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屋外肉体労働と当日段取り対応を伴う公共行事への直接貢献</w:t>
            </w:r>
          </w:p>
        </w:tc>
      </w:tr>
      <w:tr w:rsidR="00B43F0D" w14:paraId="1B0010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0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自治体主催のイベント（駐車場誘導員）</w:t>
            </w:r>
          </w:p>
        </w:tc>
        <w:tc>
          <w:tcPr>
            <w:tcW w:w="2392"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0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1,450円</w:t>
            </w:r>
          </w:p>
        </w:tc>
        <w:tc>
          <w:tcPr>
            <w:tcW w:w="3410"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0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屋外長時間立ち作業・安全管理責任・気象リスクを考慮した加算</w:t>
            </w:r>
          </w:p>
        </w:tc>
      </w:tr>
      <w:tr w:rsidR="00B43F0D" w14:paraId="1B0011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11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バリアフリー推進のための現地調査・検証</w:t>
            </w:r>
          </w:p>
        </w:tc>
        <w:tc>
          <w:tcPr>
            <w:tcW w:w="2392"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11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1,600円</w:t>
            </w:r>
          </w:p>
        </w:tc>
        <w:tc>
          <w:tcPr>
            <w:tcW w:w="341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11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障害当事者ならではの専門性と移動負担を評価</w:t>
            </w:r>
          </w:p>
        </w:tc>
      </w:tr>
      <w:tr w:rsidR="00B43F0D" w14:paraId="1B0012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2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防災管理（防災倉庫の備蓄管理等）</w:t>
            </w:r>
          </w:p>
        </w:tc>
        <w:tc>
          <w:tcPr>
            <w:tcW w:w="2392"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2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1,350円</w:t>
            </w:r>
          </w:p>
        </w:tc>
        <w:tc>
          <w:tcPr>
            <w:tcW w:w="3410"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2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有事の備えに関わる正確な在庫管理の実務</w:t>
            </w:r>
          </w:p>
        </w:tc>
      </w:tr>
      <w:tr w:rsidR="00B43F0D" w14:paraId="1B0013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13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データ入力・市報封入・図書館蔵書整理</w:t>
            </w:r>
          </w:p>
        </w:tc>
        <w:tc>
          <w:tcPr>
            <w:tcW w:w="2392"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13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1,200〜1,250円</w:t>
            </w:r>
          </w:p>
        </w:tc>
        <w:tc>
          <w:tcPr>
            <w:tcW w:w="341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B0013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屋内定型作業の標準設定。立ち作業・運搬分を微増考慮</w:t>
            </w:r>
          </w:p>
        </w:tc>
      </w:tr>
      <w:tr w:rsidR="00B43F0D" w14:paraId="1B0014C0" w14:textId="77777777" w:rsidTr="00546454">
        <w:tc>
          <w:tcPr>
            <w:tcW w:w="3556"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4C1"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バリアフリー地図の更新・地域資料デジタル化</w:t>
            </w:r>
          </w:p>
        </w:tc>
        <w:tc>
          <w:tcPr>
            <w:tcW w:w="2392"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4C2" w14:textId="77777777" w:rsidR="00B43F0D"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1,400〜1,500円</w:t>
            </w:r>
          </w:p>
        </w:tc>
        <w:tc>
          <w:tcPr>
            <w:tcW w:w="3410" w:type="dxa"/>
            <w:tcBorders>
              <w:top w:val="single" w:sz="4" w:space="0" w:color="CCCCCC"/>
              <w:left w:val="single" w:sz="4" w:space="0" w:color="CCCCCC"/>
              <w:bottom w:val="single" w:sz="4" w:space="0" w:color="CCCCCC"/>
              <w:right w:val="single" w:sz="4" w:space="0" w:color="CCCCCC"/>
            </w:tcBorders>
            <w:shd w:val="clear" w:color="auto" w:fill="EDE0D0"/>
            <w:tcMar>
              <w:top w:w="100" w:type="dxa"/>
              <w:left w:w="140" w:type="dxa"/>
              <w:bottom w:w="100" w:type="dxa"/>
              <w:right w:w="140" w:type="dxa"/>
            </w:tcMar>
          </w:tcPr>
          <w:p w14:paraId="1B0014C3" w14:textId="77777777" w:rsidR="00B43F0D"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機器操作習熟・調査データ集約・デジタル編集スキルを評価</w:t>
            </w:r>
          </w:p>
        </w:tc>
      </w:tr>
    </w:tbl>
    <w:p w14:paraId="1B000098" w14:textId="77777777" w:rsidR="00B43F0D" w:rsidRDefault="00000000">
      <w:pPr>
        <w:spacing w:before="0" w:after="120" w:line="360" w:lineRule="auto"/>
        <w:rPr>
          <w:rFonts w:ascii="Meiryo UI" w:eastAsia="Meiryo UI" w:hAnsi="Meiryo UI" w:cs="Meiryo UI"/>
        </w:rPr>
      </w:pPr>
      <w:r>
        <w:rPr>
          <w:rFonts w:ascii="Meiryo UI" w:eastAsia="Meiryo UI" w:hAnsi="Meiryo UI" w:cs="Meiryo UI"/>
          <w:color w:val="555555"/>
        </w:rPr>
        <w:t>※上記はあくまで例示です。自治体の実情に応じてタスクを設計できます。タスク境界線（発見・記録・定型対応・報告）を守ることが運用の大原則です。</w:t>
      </w:r>
    </w:p>
    <w:p w14:paraId="12CA4241"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B71C1C"/>
          <w:sz w:val="24"/>
          <w:szCs w:val="24"/>
        </w:rPr>
        <w:t>■ 準企業職員タスク例（デジタル・クリエイティブ系）</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1310"/>
        <w:gridCol w:w="4493"/>
      </w:tblGrid>
      <w:tr w:rsidR="00B43F0D" w:rsidRPr="00165E87" w14:paraId="36DA4C1E" w14:textId="77777777">
        <w:tc>
          <w:tcPr>
            <w:tcW w:w="3556"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745C659E"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業務名</w:t>
            </w:r>
          </w:p>
        </w:tc>
        <w:tc>
          <w:tcPr>
            <w:tcW w:w="1310"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17B34C7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時給</w:t>
            </w:r>
          </w:p>
        </w:tc>
        <w:tc>
          <w:tcPr>
            <w:tcW w:w="4492"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54896AFD"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設定根拠</w:t>
            </w:r>
          </w:p>
        </w:tc>
      </w:tr>
      <w:tr w:rsidR="00B43F0D" w:rsidRPr="00165E87" w14:paraId="0604C2A2" w14:textId="77777777">
        <w:tc>
          <w:tcPr>
            <w:tcW w:w="355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6FA6FD6D"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SNSコンテンツ制作（画像作成・ライティング）</w:t>
            </w:r>
          </w:p>
        </w:tc>
        <w:tc>
          <w:tcPr>
            <w:tcW w:w="1310"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74553954"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1,600円</w:t>
            </w:r>
          </w:p>
        </w:tc>
        <w:tc>
          <w:tcPr>
            <w:tcW w:w="4492"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048539BD"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表現力・デザイン・実務スキルを評価</w:t>
            </w:r>
          </w:p>
        </w:tc>
      </w:tr>
      <w:tr w:rsidR="00B43F0D" w:rsidRPr="00165E87" w14:paraId="46332C1E" w14:textId="77777777">
        <w:tc>
          <w:tcPr>
            <w:tcW w:w="355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7FAB7273"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社内報作成</w:t>
            </w:r>
          </w:p>
        </w:tc>
        <w:tc>
          <w:tcPr>
            <w:tcW w:w="1310"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6F52AF6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1,500円</w:t>
            </w:r>
          </w:p>
        </w:tc>
        <w:tc>
          <w:tcPr>
            <w:tcW w:w="4492"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52208FA2"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取材・執筆・編集クリエイティブ能力</w:t>
            </w:r>
          </w:p>
        </w:tc>
      </w:tr>
      <w:tr w:rsidR="00B43F0D" w:rsidRPr="00165E87" w14:paraId="5465DB7E" w14:textId="77777777">
        <w:tc>
          <w:tcPr>
            <w:tcW w:w="355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343054D0"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SNSリスクモニタリング（悪質投稿監視）</w:t>
            </w:r>
          </w:p>
        </w:tc>
        <w:tc>
          <w:tcPr>
            <w:tcW w:w="1310"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3D328834"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1,450円</w:t>
            </w:r>
          </w:p>
        </w:tc>
        <w:tc>
          <w:tcPr>
            <w:tcW w:w="4492"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56A00828"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組織安全を守る判断力と精神的責任</w:t>
            </w:r>
          </w:p>
        </w:tc>
      </w:tr>
      <w:tr w:rsidR="00B43F0D" w:rsidRPr="00165E87" w14:paraId="7A9D20D4" w14:textId="77777777">
        <w:tc>
          <w:tcPr>
            <w:tcW w:w="355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62A25F5E"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SNSメンテナンス（予約投稿等）</w:t>
            </w:r>
          </w:p>
        </w:tc>
        <w:tc>
          <w:tcPr>
            <w:tcW w:w="1310"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0A3176E3"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1,300円</w:t>
            </w:r>
          </w:p>
        </w:tc>
        <w:tc>
          <w:tcPr>
            <w:tcW w:w="4492"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26AA9ED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広報の定常的維持管理の正確性</w:t>
            </w:r>
          </w:p>
        </w:tc>
      </w:tr>
      <w:tr w:rsidR="00B43F0D" w:rsidRPr="00165E87" w14:paraId="31BFBADB" w14:textId="77777777">
        <w:tc>
          <w:tcPr>
            <w:tcW w:w="355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79016D15"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222222"/>
                <w:sz w:val="24"/>
                <w:szCs w:val="24"/>
              </w:rPr>
              <w:t>Web制作・Webアクセシビリティ検査・データデバッグ等</w:t>
            </w:r>
          </w:p>
        </w:tc>
        <w:tc>
          <w:tcPr>
            <w:tcW w:w="1310"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46C2B970"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1,600〜1,800円</w:t>
            </w:r>
          </w:p>
        </w:tc>
        <w:tc>
          <w:tcPr>
            <w:tcW w:w="4492"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3750CC70"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高度なIT技術・当事者専門知見を活用した高付加価値業務</w:t>
            </w:r>
          </w:p>
        </w:tc>
      </w:tr>
    </w:tbl>
    <w:p w14:paraId="576F124D" w14:textId="50F42190" w:rsidR="00B43F0D" w:rsidRDefault="00000000" w:rsidP="00770A2A">
      <w:pPr>
        <w:spacing w:before="0" w:after="120" w:line="360" w:lineRule="auto"/>
        <w:rPr>
          <w:rFonts w:ascii="Meiryo UI" w:eastAsia="Meiryo UI" w:hAnsi="Meiryo UI" w:cs="Meiryo UI"/>
          <w:b/>
          <w:bCs/>
          <w:color w:val="B71C1C"/>
          <w:sz w:val="24"/>
          <w:szCs w:val="24"/>
        </w:rPr>
      </w:pPr>
      <w:r>
        <w:rPr>
          <w:rFonts w:ascii="Meiryo UI" w:eastAsia="Meiryo UI" w:hAnsi="Meiryo UI" w:cs="Meiryo UI"/>
          <w:b/>
          <w:bCs/>
          <w:color w:val="B71C1C"/>
          <w:sz w:val="24"/>
          <w:szCs w:val="24"/>
        </w:rPr>
        <w:t>※ 上記はあくまで例示です。具体的な業務内容・報酬設定については、各企業の業種・事業特性・障害者のスキルに応じて自由に設計することができます。</w:t>
        <w:br/>
        <w:t>企業の創意工夫による業務開発が、本制度の価値を最大化します。</w:t>
      </w:r>
    </w:p>
    <w:p w14:paraId="0E006F17" w14:textId="77777777" w:rsidR="00770A2A" w:rsidRPr="00770A2A" w:rsidRDefault="00770A2A" w:rsidP="00770A2A">
      <w:pPr>
        <w:rPr>
          <w:rFonts w:ascii="Meiryo UI" w:eastAsia="Meiryo UI" w:hAnsi="Meiryo UI" w:cs="Meiryo UI"/>
          <w:color w:val="B71C1C"/>
        </w:rPr>
        <w:spacing w:before="0" w:after="120" w:line="360" w:lineRule="auto"/>
      </w:pPr>
    </w:p>
    <w:p w14:paraId="525150F8" w14:textId="77777777" w:rsidR="00770A2A" w:rsidRPr="00770A2A" w:rsidRDefault="00770A2A" w:rsidP="00770A2A">
      <w:pPr>
        <w:rPr>
          <w:rFonts w:ascii="Meiryo UI" w:eastAsia="Meiryo UI" w:hAnsi="Meiryo UI" w:cs="Meiryo UI"/>
          <w:color w:val="B71C1C"/>
        </w:rPr>
        <w:spacing w:before="0"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26F9AD92" w14:textId="77777777">
        <w:tc>
          <w:tcPr>
            <w:tcW w:w="9360" w:type="dxa"/>
            <w:tcBorders>
              <w:top w:val="none" w:sz="0" w:space="0" w:color="FFFFFF"/>
              <w:left w:val="none" w:sz="0" w:space="0" w:color="FFFFFF"/>
              <w:bottom w:val="none" w:sz="0" w:space="0" w:color="FFFFFF"/>
              <w:right w:val="none" w:sz="0" w:space="0" w:color="FFFFFF"/>
            </w:tcBorders>
            <w:shd w:val="clear" w:color="auto" w:fill="1A1410"/>
            <w:tcMar>
              <w:top w:w="120" w:type="dxa"/>
              <w:left w:w="200" w:type="dxa"/>
              <w:bottom w:w="120" w:type="dxa"/>
              <w:right w:w="200" w:type="dxa"/>
            </w:tcMar>
          </w:tcPr>
          <w:p w14:paraId="5B1DF2D5"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FFFFFF"/>
                <w:sz w:val="26"/>
                <w:szCs w:val="26"/>
              </w:rPr>
              <w:t>4. 10カ年ロードマップ（段階的施行・財源自律化）</w:t>
            </w:r>
          </w:p>
        </w:tc>
      </w:tr>
    </w:tbl>
    <w:p w14:paraId="495DAF87" w14:textId="77777777" w:rsidR="00B43F0D" w:rsidRPr="00165E87" w:rsidRDefault="00B43F0D">
      <w:pPr>
        <w:spacing w:after="120" w:before="0" w:line="360" w:lineRule="auto"/>
        <w:rPr>
          <w:rFonts w:ascii="Meiryo UI" w:eastAsia="Meiryo UI" w:hAnsi="Meiryo UI" w:cs="Meiryo UI"/>
        </w:rPr>
      </w:pPr>
    </w:p>
    <w:p w14:paraId="33684C3C" w14:textId="4D935F20" w:rsidR="00B43F0D" w:rsidRPr="00770A2A" w:rsidRDefault="00000000" w:rsidP="00770A2A">
      <w:pPr>
        <w:spacing w:before="0" w:after="120" w:line="360" w:lineRule="auto"/>
        <w:rPr>
          <w:rFonts w:ascii="Meiryo UI" w:eastAsia="Meiryo UI" w:hAnsi="Meiryo UI" w:cs="Meiryo UI"/>
          <w:sz w:val="24"/>
          <w:szCs w:val="24"/>
        </w:rPr>
      </w:pPr>
      <w:r>
        <w:rPr>
          <w:rFonts w:ascii="Meiryo UI" w:eastAsia="Meiryo UI" w:hAnsi="Meiryo UI" w:cs="Meiryo UI"/>
          <w:b/>
          <w:bCs/>
          <w:color w:val="37474F"/>
          <w:sz w:val="24"/>
          <w:szCs w:val="24"/>
        </w:rPr>
        <w:t>■ 順調シナリオ</w:t>
      </w:r>
      <w:r>
        <w:rPr>
          <w:rFonts w:ascii="Meiryo UI" w:eastAsia="Meiryo UI" w:hAnsi="Meiryo UI" w:cs="Meiryo UI"/>
          <w:b/>
          <w:bCs/>
          <w:color w:val="37474F"/>
          <w:sz w:val="24"/>
          <w:szCs w:val="24"/>
        </w:rPr>
        <w:t>・</w:t>
      </w:r>
      <w:r>
        <w:rPr>
          <w:rFonts w:ascii="Meiryo UI" w:eastAsia="Meiryo UI" w:hAnsi="Meiryo UI" w:cs="Meiryo UI"/>
          <w:b/>
          <w:bCs/>
          <w:color w:val="37474F"/>
          <w:sz w:val="24"/>
          <w:szCs w:val="24"/>
        </w:rPr>
        <w:t>停滞シナリオ　財源比較</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216"/>
        <w:gridCol w:w="1216"/>
        <w:gridCol w:w="1591"/>
        <w:gridCol w:w="1591"/>
        <w:gridCol w:w="1687"/>
      </w:tblGrid>
      <w:tr w:rsidR="00B43F0D" w:rsidRPr="00165E87" w14:paraId="54F944BD" w14:textId="77777777">
        <w:tc>
          <w:tcPr>
            <w:tcW w:w="2059"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43416014" w14:textId="77777777" w:rsidR="00B43F0D" w:rsidRPr="00165E87" w:rsidRDefault="00B43F0D">
            <w:pPr>
              <w:spacing w:before="0" w:after="120" w:line="360" w:lineRule="auto"/>
              <w:rPr>
                <w:rFonts w:ascii="Meiryo UI" w:eastAsia="Meiryo UI" w:hAnsi="Meiryo UI" w:cs="Meiryo UI"/>
                <w:sz w:val="24"/>
                <w:szCs w:val="24"/>
              </w:rPr>
            </w:pPr>
          </w:p>
        </w:tc>
        <w:tc>
          <w:tcPr>
            <w:tcW w:w="1216"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3E0FC7A4"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第1期 年金増額期</w:t>
            </w:r>
          </w:p>
        </w:tc>
        <w:tc>
          <w:tcPr>
            <w:tcW w:w="1216"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7E6AB963"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第2期 準公務開始期</w:t>
            </w:r>
          </w:p>
        </w:tc>
        <w:tc>
          <w:tcPr>
            <w:tcW w:w="1591"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5F5710DC"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第3期 完成・自走期</w:t>
            </w:r>
          </w:p>
        </w:tc>
        <w:tc>
          <w:tcPr>
            <w:tcW w:w="1591"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2A2EB88A"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財源合計</w:t>
            </w:r>
          </w:p>
        </w:tc>
        <w:tc>
          <w:tcPr>
            <w:tcW w:w="1687" w:type="dxa"/>
            <w:tcBorders>
              <w:top w:val="single" w:sz="4" w:space="0" w:color="CCCCCC"/>
              <w:left w:val="single" w:sz="4" w:space="0" w:color="CCCCCC"/>
              <w:bottom w:val="single" w:sz="4" w:space="0" w:color="CCCCCC"/>
              <w:right w:val="single" w:sz="4" w:space="0" w:color="CCCCCC"/>
            </w:tcBorders>
            <w:shd w:val="clear" w:color="auto" w:fill="EDE8E0"/>
            <w:tcMar>
              <w:top w:w="100" w:type="dxa"/>
              <w:left w:w="140" w:type="dxa"/>
              <w:bottom w:w="100" w:type="dxa"/>
              <w:right w:w="140" w:type="dxa"/>
            </w:tcMar>
          </w:tcPr>
          <w:p w14:paraId="5D6A6032"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22222"/>
                <w:sz w:val="24"/>
                <w:szCs w:val="24"/>
              </w:rPr>
              <w:t>収支</w:t>
            </w:r>
          </w:p>
        </w:tc>
      </w:tr>
      <w:tr w:rsidR="00B43F0D" w:rsidRPr="00165E87" w14:paraId="4333C0C9" w14:textId="77777777">
        <w:tc>
          <w:tcPr>
            <w:tcW w:w="2059"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79CEFA0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B5E20"/>
                <w:sz w:val="24"/>
                <w:szCs w:val="24"/>
              </w:rPr>
              <w:t>✅</w:t>
            </w:r>
            <w:r>
              <w:rPr>
                <w:rFonts w:ascii="Meiryo UI" w:eastAsia="Meiryo UI" w:hAnsi="Meiryo UI" w:cs="Meiryo UI"/>
                <w:b/>
                <w:bCs/>
                <w:color w:val="1B5E20"/>
                <w:sz w:val="24"/>
                <w:szCs w:val="24"/>
              </w:rPr>
              <w:t xml:space="preserve"> 順調シナリオ 予算（年額）</w:t>
            </w:r>
          </w:p>
        </w:tc>
        <w:tc>
          <w:tcPr>
            <w:tcW w:w="121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45B9413"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E7D32"/>
                <w:sz w:val="24"/>
                <w:szCs w:val="24"/>
              </w:rPr>
              <w:t>約2.3兆円</w:t>
            </w:r>
          </w:p>
        </w:tc>
        <w:tc>
          <w:tcPr>
            <w:tcW w:w="1216"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84C5E2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E7D32"/>
                <w:sz w:val="24"/>
                <w:szCs w:val="24"/>
              </w:rPr>
              <w:t>約3.3兆円</w:t>
            </w:r>
          </w:p>
        </w:tc>
        <w:tc>
          <w:tcPr>
            <w:tcW w:w="1591"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44C5531D"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E7D32"/>
                <w:sz w:val="24"/>
                <w:szCs w:val="24"/>
              </w:rPr>
              <w:t>約4.3兆円</w:t>
            </w:r>
          </w:p>
        </w:tc>
        <w:tc>
          <w:tcPr>
            <w:tcW w:w="1591"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611261EA"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222222"/>
                <w:sz w:val="24"/>
                <w:szCs w:val="24"/>
              </w:rPr>
              <w:t>A〜F合計</w:t>
            </w:r>
          </w:p>
        </w:tc>
        <w:tc>
          <w:tcPr>
            <w:tcW w:w="1687" w:type="dxa"/>
            <w:tcBorders>
              <w:top w:val="single" w:sz="4" w:space="0" w:color="CCCCCC"/>
              <w:left w:val="single" w:sz="4" w:space="0" w:color="CCCCCC"/>
              <w:bottom w:val="single" w:sz="4" w:space="0" w:color="CCCCCC"/>
              <w:right w:val="single" w:sz="4" w:space="0" w:color="CCCCCC"/>
            </w:tcBorders>
            <w:shd w:val="clear" w:color="auto" w:fill="EDE8D8"/>
            <w:tcMar>
              <w:top w:w="100" w:type="dxa"/>
              <w:left w:w="140" w:type="dxa"/>
              <w:bottom w:w="100" w:type="dxa"/>
              <w:right w:w="140" w:type="dxa"/>
            </w:tcMar>
          </w:tcPr>
          <w:p w14:paraId="19433ACE"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B5E20"/>
                <w:sz w:val="24"/>
                <w:szCs w:val="24"/>
              </w:rPr>
              <w:t>第2期から 黒字転換</w:t>
            </w:r>
          </w:p>
        </w:tc>
      </w:tr>
      <w:tr w:rsidR="00B43F0D" w:rsidRPr="00165E87" w14:paraId="302606D3" w14:textId="77777777">
        <w:tc>
          <w:tcPr>
            <w:tcW w:w="2059"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3377B197"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1B5E20"/>
                <w:sz w:val="24"/>
                <w:szCs w:val="24"/>
              </w:rPr>
              <w:t>✅</w:t>
            </w:r>
            <w:r>
              <w:rPr>
                <w:rFonts w:ascii="Meiryo UI" w:eastAsia="Meiryo UI" w:hAnsi="Meiryo UI" w:cs="Meiryo UI"/>
                <w:color w:val="1B5E20"/>
                <w:sz w:val="24"/>
                <w:szCs w:val="24"/>
              </w:rPr>
              <w:t xml:space="preserve"> 順調シナリオ 財源合計</w:t>
            </w:r>
          </w:p>
        </w:tc>
        <w:tc>
          <w:tcPr>
            <w:tcW w:w="1216"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11E4CE24"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333333"/>
                <w:sz w:val="24"/>
                <w:szCs w:val="24"/>
              </w:rPr>
              <w:t>2.69兆円＋MMT補完分</w:t>
            </w:r>
          </w:p>
        </w:tc>
        <w:tc>
          <w:tcPr>
            <w:tcW w:w="1216"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11C4FE38"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333333"/>
                <w:sz w:val="24"/>
                <w:szCs w:val="24"/>
              </w:rPr>
              <w:t>5.57兆円</w:t>
            </w:r>
          </w:p>
        </w:tc>
        <w:tc>
          <w:tcPr>
            <w:tcW w:w="1591"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4D59543A"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333333"/>
                <w:sz w:val="24"/>
                <w:szCs w:val="24"/>
              </w:rPr>
              <w:t>7.20兆円</w:t>
            </w:r>
          </w:p>
        </w:tc>
        <w:tc>
          <w:tcPr>
            <w:tcW w:w="1591"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77012383" w14:textId="77777777" w:rsidR="00B43F0D" w:rsidRPr="00165E87" w:rsidRDefault="00B43F0D">
            <w:pPr>
              <w:spacing w:before="0" w:after="120" w:line="360" w:lineRule="auto"/>
              <w:rPr>
                <w:rFonts w:ascii="Meiryo UI" w:eastAsia="Meiryo UI" w:hAnsi="Meiryo UI" w:cs="Meiryo UI"/>
                <w:sz w:val="24"/>
                <w:szCs w:val="24"/>
              </w:rPr>
            </w:pPr>
          </w:p>
        </w:tc>
        <w:tc>
          <w:tcPr>
            <w:tcW w:w="1687" w:type="dxa"/>
            <w:tcBorders>
              <w:top w:val="single" w:sz="4" w:space="0" w:color="CCCCCC"/>
              <w:left w:val="single" w:sz="4" w:space="0" w:color="CCCCCC"/>
              <w:bottom w:val="single" w:sz="4" w:space="0" w:color="CCCCCC"/>
              <w:right w:val="single" w:sz="4" w:space="0" w:color="CCCCCC"/>
            </w:tcBorders>
            <w:shd w:val="clear" w:color="auto" w:fill="EDE8D8"/>
            <w:tcMar>
              <w:top w:w="100" w:type="dxa"/>
              <w:left w:w="140" w:type="dxa"/>
              <w:bottom w:w="100" w:type="dxa"/>
              <w:right w:w="140" w:type="dxa"/>
            </w:tcMar>
          </w:tcPr>
          <w:p w14:paraId="01BC4EC2"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B5E20"/>
                <w:sz w:val="24"/>
                <w:szCs w:val="24"/>
              </w:rPr>
              <w:t xml:space="preserve">MMT補完で対応 </w:t>
            </w:r>
            <w:r>
              <w:rPr>
                <w:rFonts w:ascii="Meiryo UI" w:eastAsia="Meiryo UI" w:hAnsi="Meiryo UI" w:cs="Meiryo UI"/>
                <w:b/>
                <w:bCs/>
                <w:color w:val="1B5E20"/>
                <w:sz w:val="24"/>
                <w:szCs w:val="24"/>
              </w:rPr>
              <w:t>✅</w:t>
            </w:r>
            <w:r>
              <w:rPr>
                <w:rFonts w:ascii="Meiryo UI" w:eastAsia="Meiryo UI" w:hAnsi="Meiryo UI" w:cs="Meiryo UI"/>
                <w:b/>
                <w:bCs/>
                <w:color w:val="1B5E20"/>
                <w:sz w:val="24"/>
                <w:szCs w:val="24"/>
              </w:rPr>
              <w:t xml:space="preserve"> 黒字 約2.28兆円 </w:t>
            </w:r>
            <w:r>
              <w:rPr>
                <w:rFonts w:ascii="Meiryo UI" w:eastAsia="Meiryo UI" w:hAnsi="Meiryo UI" w:cs="Meiryo UI"/>
                <w:b/>
                <w:bCs/>
                <w:color w:val="1B5E20"/>
                <w:sz w:val="24"/>
                <w:szCs w:val="24"/>
              </w:rPr>
              <w:t>✅</w:t>
            </w:r>
            <w:r>
              <w:rPr>
                <w:rFonts w:ascii="Meiryo UI" w:eastAsia="Meiryo UI" w:hAnsi="Meiryo UI" w:cs="Meiryo UI"/>
                <w:b/>
                <w:bCs/>
                <w:color w:val="1B5E20"/>
                <w:sz w:val="24"/>
                <w:szCs w:val="24"/>
              </w:rPr>
              <w:t xml:space="preserve"> 黒字 約2.94兆円</w:t>
            </w:r>
          </w:p>
        </w:tc>
      </w:tr>
      <w:tr w:rsidR="00B43F0D" w:rsidRPr="00165E87" w14:paraId="445AD496" w14:textId="77777777">
        <w:tc>
          <w:tcPr>
            <w:tcW w:w="2059"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3DE095C9"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B71C1C"/>
                <w:sz w:val="24"/>
                <w:szCs w:val="24"/>
              </w:rPr>
              <w:t>⚠️</w:t>
            </w:r>
            <w:r>
              <w:rPr>
                <w:rFonts w:ascii="Meiryo UI" w:eastAsia="Meiryo UI" w:hAnsi="Meiryo UI" w:cs="Meiryo UI"/>
                <w:b/>
                <w:bCs/>
                <w:color w:val="B71C1C"/>
                <w:sz w:val="24"/>
                <w:szCs w:val="24"/>
              </w:rPr>
              <w:t xml:space="preserve"> 停滞シナリオ 予算（年額）</w:t>
            </w:r>
          </w:p>
        </w:tc>
        <w:tc>
          <w:tcPr>
            <w:tcW w:w="121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6BDF154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C62828"/>
                <w:sz w:val="24"/>
                <w:szCs w:val="24"/>
              </w:rPr>
              <w:t>約5.0兆円</w:t>
            </w:r>
          </w:p>
        </w:tc>
        <w:tc>
          <w:tcPr>
            <w:tcW w:w="1216"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6840867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C62828"/>
                <w:sz w:val="24"/>
                <w:szCs w:val="24"/>
              </w:rPr>
              <w:t>約5.2兆円</w:t>
            </w:r>
          </w:p>
        </w:tc>
        <w:tc>
          <w:tcPr>
            <w:tcW w:w="1591"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0E740B5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C62828"/>
                <w:sz w:val="24"/>
                <w:szCs w:val="24"/>
              </w:rPr>
              <w:t>約6.1兆円</w:t>
            </w:r>
          </w:p>
        </w:tc>
        <w:tc>
          <w:tcPr>
            <w:tcW w:w="1591"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14E46067"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222222"/>
                <w:sz w:val="24"/>
                <w:szCs w:val="24"/>
              </w:rPr>
              <w:t>A〜F合計</w:t>
            </w:r>
          </w:p>
        </w:tc>
        <w:tc>
          <w:tcPr>
            <w:tcW w:w="1687"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40" w:type="dxa"/>
              <w:bottom w:w="100" w:type="dxa"/>
              <w:right w:w="140" w:type="dxa"/>
            </w:tcMar>
          </w:tcPr>
          <w:p w14:paraId="185307B1"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10年内 黒字転換せず</w:t>
            </w:r>
          </w:p>
        </w:tc>
      </w:tr>
      <w:tr w:rsidR="00B43F0D" w:rsidRPr="00165E87" w14:paraId="18874182" w14:textId="77777777">
        <w:tc>
          <w:tcPr>
            <w:tcW w:w="2059"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6B9A5CAD"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B71C1C"/>
                <w:sz w:val="24"/>
                <w:szCs w:val="24"/>
              </w:rPr>
              <w:t>⚠️</w:t>
            </w:r>
            <w:r>
              <w:rPr>
                <w:rFonts w:ascii="Meiryo UI" w:eastAsia="Meiryo UI" w:hAnsi="Meiryo UI" w:cs="Meiryo UI"/>
                <w:color w:val="B71C1C"/>
                <w:sz w:val="24"/>
                <w:szCs w:val="24"/>
              </w:rPr>
              <w:t xml:space="preserve"> 停滞シナリオ 収支</w:t>
            </w:r>
          </w:p>
        </w:tc>
        <w:tc>
          <w:tcPr>
            <w:tcW w:w="1216"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40" w:type="dxa"/>
              <w:bottom w:w="100" w:type="dxa"/>
              <w:right w:w="140" w:type="dxa"/>
            </w:tcMar>
          </w:tcPr>
          <w:p w14:paraId="1BE23F0D"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C62828"/>
                <w:sz w:val="24"/>
                <w:szCs w:val="24"/>
              </w:rPr>
              <w:t>▲約2.34兆円不足（大規模MMT必須）</w:t>
            </w:r>
          </w:p>
        </w:tc>
        <w:tc>
          <w:tcPr>
            <w:tcW w:w="1216"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40" w:type="dxa"/>
              <w:bottom w:w="100" w:type="dxa"/>
              <w:right w:w="140" w:type="dxa"/>
            </w:tcMar>
          </w:tcPr>
          <w:p w14:paraId="5199A645"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C62828"/>
                <w:sz w:val="24"/>
                <w:szCs w:val="24"/>
              </w:rPr>
              <w:t>▲約0.11兆円不足（ほぼ均衡）</w:t>
            </w:r>
          </w:p>
        </w:tc>
        <w:tc>
          <w:tcPr>
            <w:tcW w:w="1591"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40" w:type="dxa"/>
              <w:bottom w:w="100" w:type="dxa"/>
              <w:right w:w="140" w:type="dxa"/>
            </w:tcMar>
          </w:tcPr>
          <w:p w14:paraId="0E8C8906"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C62828"/>
                <w:sz w:val="24"/>
                <w:szCs w:val="24"/>
              </w:rPr>
              <w:t>▲約1.20兆円（10年内黒字転換せず）</w:t>
            </w:r>
          </w:p>
        </w:tc>
        <w:tc>
          <w:tcPr>
            <w:tcW w:w="1591"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40716A7F" w14:textId="77777777" w:rsidR="00B43F0D" w:rsidRPr="00165E87" w:rsidRDefault="00B43F0D">
            <w:pPr>
              <w:spacing w:before="0" w:after="120" w:line="360" w:lineRule="auto"/>
              <w:rPr>
                <w:rFonts w:ascii="Meiryo UI" w:eastAsia="Meiryo UI" w:hAnsi="Meiryo UI" w:cs="Meiryo UI"/>
                <w:sz w:val="24"/>
                <w:szCs w:val="24"/>
              </w:rPr>
            </w:pPr>
          </w:p>
        </w:tc>
        <w:tc>
          <w:tcPr>
            <w:tcW w:w="1687"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5A0F5045"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555555"/>
                <w:sz w:val="24"/>
                <w:szCs w:val="24"/>
              </w:rPr>
              <w:t>現行制度の 不作為のコストとの 比較では社会的に 合理的な投資</w:t>
            </w:r>
          </w:p>
        </w:tc>
      </w:tr>
    </w:tbl>
    <w:p w14:paraId="17E8D4EC" w14:textId="3466BB0C" w:rsidR="00B43F0D" w:rsidRDefault="00B43F0D">
      <w:pPr>
        <w:rPr>
          <w:rFonts w:ascii="Meiryo UI" w:eastAsia="Meiryo UI" w:hAnsi="Meiryo UI" w:cs="Meiryo UI"/>
        </w:rPr>
        <w:spacing w:before="0" w:after="120" w:line="360" w:lineRule="auto"/>
      </w:pPr>
    </w:p>
    <w:p w14:paraId="1A671DDF" w14:textId="77777777" w:rsidR="00770A2A" w:rsidRPr="00165E87" w:rsidRDefault="00770A2A">
      <w:pPr>
        <w:rPr>
          <w:rFonts w:ascii="Meiryo UI" w:eastAsia="Meiryo UI" w:hAnsi="Meiryo UI" w:cs="Meiryo UI"/>
        </w:rPr>
        <w:spacing w:before="0"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752141C0" w14:textId="77777777">
        <w:tc>
          <w:tcPr>
            <w:tcW w:w="9360" w:type="dxa"/>
            <w:tcBorders>
              <w:top w:val="none" w:sz="0" w:space="0" w:color="FFFFFF"/>
              <w:left w:val="none" w:sz="0" w:space="0" w:color="FFFFFF"/>
              <w:bottom w:val="none" w:sz="0" w:space="0" w:color="FFFFFF"/>
              <w:right w:val="none" w:sz="0" w:space="0" w:color="FFFFFF"/>
            </w:tcBorders>
            <w:shd w:val="clear" w:color="auto" w:fill="1A1410"/>
            <w:tcMar>
              <w:top w:w="120" w:type="dxa"/>
              <w:left w:w="200" w:type="dxa"/>
              <w:bottom w:w="120" w:type="dxa"/>
              <w:right w:w="200" w:type="dxa"/>
            </w:tcMar>
          </w:tcPr>
          <w:p w14:paraId="5A3D1A27" w14:textId="77777777" w:rsidR="00B43F0D" w:rsidRPr="00165E87"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FFFFFF"/>
                <w:sz w:val="26"/>
                <w:szCs w:val="26"/>
              </w:rPr>
              <w:t>5. 財源構造（増税なしの自律循環モデル）</w:t>
            </w:r>
          </w:p>
        </w:tc>
      </w:tr>
    </w:tbl>
    <w:p w14:paraId="17E45F0F" w14:textId="77777777" w:rsidR="00B43F0D" w:rsidRPr="00165E87" w:rsidRDefault="00B43F0D">
      <w:pPr>
        <w:spacing w:after="120" w:before="0" w:line="360" w:lineRule="auto"/>
        <w:rPr>
          <w:rFonts w:ascii="Meiryo UI" w:eastAsia="Meiryo UI" w:hAnsi="Meiryo UI" w:cs="Meiryo UI"/>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2340"/>
        <w:gridCol w:w="1684"/>
        <w:gridCol w:w="4681"/>
      </w:tblGrid>
      <w:tr w:rsidR="00B43F0D" w:rsidRPr="00165E87" w14:paraId="3C2A0121" w14:textId="77777777">
        <w:tc>
          <w:tcPr>
            <w:tcW w:w="655" w:type="dxa"/>
            <w:tcBorders>
              <w:top w:val="single" w:sz="4" w:space="0" w:color="CCCCCC"/>
              <w:left w:val="single" w:sz="4" w:space="0" w:color="CCCCCC"/>
              <w:bottom w:val="single" w:sz="4" w:space="0" w:color="CCCCCC"/>
              <w:right w:val="single" w:sz="4" w:space="0" w:color="CCCCCC"/>
            </w:tcBorders>
            <w:shd w:val="clear" w:color="auto" w:fill="3A2820"/>
            <w:tcMar>
              <w:top w:w="100" w:type="dxa"/>
              <w:left w:w="140" w:type="dxa"/>
              <w:bottom w:w="100" w:type="dxa"/>
              <w:right w:w="140" w:type="dxa"/>
            </w:tcMar>
          </w:tcPr>
          <w:p w14:paraId="2F1F831D"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区分</w:t>
            </w:r>
          </w:p>
        </w:tc>
        <w:tc>
          <w:tcPr>
            <w:tcW w:w="2340" w:type="dxa"/>
            <w:tcBorders>
              <w:top w:val="single" w:sz="4" w:space="0" w:color="CCCCCC"/>
              <w:left w:val="single" w:sz="4" w:space="0" w:color="CCCCCC"/>
              <w:bottom w:val="single" w:sz="4" w:space="0" w:color="CCCCCC"/>
              <w:right w:val="single" w:sz="4" w:space="0" w:color="CCCCCC"/>
            </w:tcBorders>
            <w:shd w:val="clear" w:color="auto" w:fill="3A2820"/>
            <w:tcMar>
              <w:top w:w="100" w:type="dxa"/>
              <w:left w:w="140" w:type="dxa"/>
              <w:bottom w:w="100" w:type="dxa"/>
              <w:right w:w="140" w:type="dxa"/>
            </w:tcMar>
          </w:tcPr>
          <w:p w14:paraId="66F5C002"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財源名</w:t>
            </w:r>
          </w:p>
        </w:tc>
        <w:tc>
          <w:tcPr>
            <w:tcW w:w="1684" w:type="dxa"/>
            <w:tcBorders>
              <w:top w:val="single" w:sz="4" w:space="0" w:color="CCCCCC"/>
              <w:left w:val="single" w:sz="4" w:space="0" w:color="CCCCCC"/>
              <w:bottom w:val="single" w:sz="4" w:space="0" w:color="CCCCCC"/>
              <w:right w:val="single" w:sz="4" w:space="0" w:color="CCCCCC"/>
            </w:tcBorders>
            <w:shd w:val="clear" w:color="auto" w:fill="3A2820"/>
            <w:tcMar>
              <w:top w:w="100" w:type="dxa"/>
              <w:left w:w="140" w:type="dxa"/>
              <w:bottom w:w="100" w:type="dxa"/>
              <w:right w:w="140" w:type="dxa"/>
            </w:tcMar>
          </w:tcPr>
          <w:p w14:paraId="7CD3E9B6"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規模（年額）</w:t>
            </w:r>
          </w:p>
        </w:tc>
        <w:tc>
          <w:tcPr>
            <w:tcW w:w="4681" w:type="dxa"/>
            <w:tcBorders>
              <w:top w:val="single" w:sz="4" w:space="0" w:color="CCCCCC"/>
              <w:left w:val="single" w:sz="4" w:space="0" w:color="CCCCCC"/>
              <w:bottom w:val="single" w:sz="4" w:space="0" w:color="CCCCCC"/>
              <w:right w:val="single" w:sz="4" w:space="0" w:color="CCCCCC"/>
            </w:tcBorders>
            <w:shd w:val="clear" w:color="auto" w:fill="3A2820"/>
            <w:tcMar>
              <w:top w:w="100" w:type="dxa"/>
              <w:left w:w="140" w:type="dxa"/>
              <w:bottom w:w="100" w:type="dxa"/>
              <w:right w:w="140" w:type="dxa"/>
            </w:tcMar>
          </w:tcPr>
          <w:p w14:paraId="68B9D4EA" w14:textId="77777777" w:rsidR="00B43F0D" w:rsidRPr="00165E87" w:rsidRDefault="00000000">
            <w:pPr>
              <w:spacing w:before="0" w:after="120" w:line="360" w:lineRule="auto"/>
              <w:jc w:val="center"/>
              <w:rPr>
                <w:rFonts w:ascii="Meiryo UI" w:eastAsia="Meiryo UI" w:hAnsi="Meiryo UI" w:cs="Meiryo UI"/>
                <w:color w:val="FFFFFF"/>
                <w:sz w:val="24"/>
                <w:szCs w:val="24"/>
              </w:rPr>
            </w:pPr>
            <w:r>
              <w:rPr>
                <w:rFonts w:ascii="Meiryo UI" w:eastAsia="Meiryo UI" w:hAnsi="Meiryo UI" w:cs="Meiryo UI"/>
                <w:b/>
                <w:bCs/>
                <w:color w:val="FFFFFF"/>
                <w:sz w:val="24"/>
                <w:szCs w:val="24"/>
              </w:rPr>
              <w:t>内容</w:t>
            </w:r>
          </w:p>
        </w:tc>
      </w:tr>
      <w:tr w:rsidR="00B43F0D" w:rsidRPr="00165E87" w14:paraId="4D8B3525" w14:textId="77777777">
        <w:tc>
          <w:tcPr>
            <w:tcW w:w="655" w:type="dxa"/>
            <w:tcBorders>
              <w:top w:val="single" w:sz="4" w:space="0" w:color="CCCCCC"/>
              <w:left w:val="single" w:sz="4" w:space="0" w:color="CCCCCC"/>
              <w:bottom w:val="single" w:sz="4" w:space="0" w:color="CCCCCC"/>
              <w:right w:val="single" w:sz="4" w:space="0" w:color="CCCCCC"/>
            </w:tcBorders>
            <w:shd w:val="clear" w:color="auto" w:fill="1A1410"/>
            <w:tcMar>
              <w:top w:w="100" w:type="dxa"/>
              <w:left w:w="140" w:type="dxa"/>
              <w:bottom w:w="100" w:type="dxa"/>
              <w:right w:w="140" w:type="dxa"/>
            </w:tcMar>
          </w:tcPr>
          <w:p w14:paraId="327A2CF3"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A</w:t>
            </w:r>
          </w:p>
        </w:tc>
        <w:tc>
          <w:tcPr>
            <w:tcW w:w="234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141B3794"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現行障害年金予算（流用）</w:t>
            </w:r>
          </w:p>
        </w:tc>
        <w:tc>
          <w:tcPr>
            <w:tcW w:w="1684"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732FDF50"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1A1410"/>
                <w:sz w:val="24"/>
                <w:szCs w:val="24"/>
              </w:rPr>
              <w:t>約2.4〜2.5兆円</w:t>
            </w:r>
          </w:p>
        </w:tc>
        <w:tc>
          <w:tcPr>
            <w:tcW w:w="4681"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0E96E2E5"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現行の障害年金支出をそのまま本制度の年金増額分の原資として充当</w:t>
            </w:r>
          </w:p>
        </w:tc>
      </w:tr>
      <w:tr w:rsidR="00B43F0D" w:rsidRPr="00165E87" w14:paraId="5B03BF23" w14:textId="77777777">
        <w:tc>
          <w:tcPr>
            <w:tcW w:w="655" w:type="dxa"/>
            <w:tcBorders>
              <w:top w:val="single" w:sz="4" w:space="0" w:color="CCCCCC"/>
              <w:left w:val="single" w:sz="4" w:space="0" w:color="CCCCCC"/>
              <w:bottom w:val="single" w:sz="4" w:space="0" w:color="CCCCCC"/>
              <w:right w:val="single" w:sz="4" w:space="0" w:color="CCCCCC"/>
            </w:tcBorders>
            <w:shd w:val="clear" w:color="auto" w:fill="5C3D1A"/>
            <w:tcMar>
              <w:top w:w="100" w:type="dxa"/>
              <w:left w:w="140" w:type="dxa"/>
              <w:bottom w:w="100" w:type="dxa"/>
              <w:right w:w="140" w:type="dxa"/>
            </w:tcMar>
          </w:tcPr>
          <w:p w14:paraId="7082B0FE"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B</w:t>
            </w:r>
          </w:p>
        </w:tc>
        <w:tc>
          <w:tcPr>
            <w:tcW w:w="234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60CCF755"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2E7D32"/>
                <w:sz w:val="24"/>
                <w:szCs w:val="24"/>
              </w:rPr>
              <w:t>補助金効率化・スライド</w:t>
            </w:r>
          </w:p>
        </w:tc>
        <w:tc>
          <w:tcPr>
            <w:tcW w:w="1684"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323969D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2E7D32"/>
                <w:sz w:val="24"/>
                <w:szCs w:val="24"/>
              </w:rPr>
              <w:t>0.1兆円→1.2兆円</w:t>
            </w:r>
          </w:p>
        </w:tc>
        <w:tc>
          <w:tcPr>
            <w:tcW w:w="4681"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5F9E67DF"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就労継続支援A/B型給付金（年約7,000億円）を段階的に本制度へ移管</w:t>
            </w:r>
          </w:p>
        </w:tc>
      </w:tr>
      <w:tr w:rsidR="00B43F0D" w:rsidRPr="00165E87" w14:paraId="66932ABD" w14:textId="77777777">
        <w:tc>
          <w:tcPr>
            <w:tcW w:w="655" w:type="dxa"/>
            <w:tcBorders>
              <w:top w:val="single" w:sz="4" w:space="0" w:color="CCCCCC"/>
              <w:left w:val="single" w:sz="4" w:space="0" w:color="CCCCCC"/>
              <w:bottom w:val="single" w:sz="4" w:space="0" w:color="CCCCCC"/>
              <w:right w:val="single" w:sz="4" w:space="0" w:color="CCCCCC"/>
            </w:tcBorders>
            <w:shd w:val="clear" w:color="auto" w:fill="1A1410"/>
            <w:tcMar>
              <w:top w:w="100" w:type="dxa"/>
              <w:left w:w="140" w:type="dxa"/>
              <w:bottom w:w="100" w:type="dxa"/>
              <w:right w:w="140" w:type="dxa"/>
            </w:tcMar>
          </w:tcPr>
          <w:p w14:paraId="39C8757C"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C</w:t>
            </w:r>
          </w:p>
        </w:tc>
        <w:tc>
          <w:tcPr>
            <w:tcW w:w="2340"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5A4FF2BB"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6A1B9A"/>
                <w:sz w:val="24"/>
                <w:szCs w:val="24"/>
              </w:rPr>
              <w:t>雇用代替拠出金（企業）</w:t>
            </w:r>
          </w:p>
        </w:tc>
        <w:tc>
          <w:tcPr>
            <w:tcW w:w="1684"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481FE43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6A1B9A"/>
                <w:sz w:val="24"/>
                <w:szCs w:val="24"/>
              </w:rPr>
              <w:t>0兆円→3.0兆円</w:t>
            </w:r>
          </w:p>
        </w:tc>
        <w:tc>
          <w:tcPr>
            <w:tcW w:w="4681" w:type="dxa"/>
            <w:tcBorders>
              <w:top w:val="single" w:sz="4" w:space="0" w:color="CCCCCC"/>
              <w:left w:val="single" w:sz="4" w:space="0" w:color="CCCCCC"/>
              <w:bottom w:val="single" w:sz="4" w:space="0" w:color="CCCCCC"/>
              <w:right w:val="single" w:sz="4" w:space="0" w:color="CCCCCC"/>
            </w:tcBorders>
            <w:shd w:val="clear" w:color="auto" w:fill="F0EBE3"/>
            <w:tcMar>
              <w:top w:w="100" w:type="dxa"/>
              <w:left w:w="140" w:type="dxa"/>
              <w:bottom w:w="100" w:type="dxa"/>
              <w:right w:w="140" w:type="dxa"/>
            </w:tcMar>
          </w:tcPr>
          <w:p w14:paraId="0A8334F4"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企業から1P=1,500円で徴収。第3期で安定財源化。約140万ユニット想定</w:t>
            </w:r>
          </w:p>
        </w:tc>
      </w:tr>
      <w:tr w:rsidR="00B43F0D" w:rsidRPr="00165E87" w14:paraId="2D6D4681" w14:textId="77777777">
        <w:tc>
          <w:tcPr>
            <w:tcW w:w="655" w:type="dxa"/>
            <w:tcBorders>
              <w:top w:val="single" w:sz="4" w:space="0" w:color="CCCCCC"/>
              <w:left w:val="single" w:sz="4" w:space="0" w:color="CCCCCC"/>
              <w:bottom w:val="single" w:sz="4" w:space="0" w:color="CCCCCC"/>
              <w:right w:val="single" w:sz="4" w:space="0" w:color="CCCCCC"/>
            </w:tcBorders>
            <w:shd w:val="clear" w:color="auto" w:fill="8B2635"/>
            <w:tcMar>
              <w:top w:w="100" w:type="dxa"/>
              <w:left w:w="140" w:type="dxa"/>
              <w:bottom w:w="100" w:type="dxa"/>
              <w:right w:w="140" w:type="dxa"/>
            </w:tcMar>
          </w:tcPr>
          <w:p w14:paraId="36DB740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D</w:t>
            </w:r>
          </w:p>
        </w:tc>
        <w:tc>
          <w:tcPr>
            <w:tcW w:w="2340"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1BFFAC9B"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B71C1C"/>
                <w:sz w:val="24"/>
                <w:szCs w:val="24"/>
              </w:rPr>
              <w:t>既存手当・扶助費整理</w:t>
            </w:r>
          </w:p>
        </w:tc>
        <w:tc>
          <w:tcPr>
            <w:tcW w:w="1684"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3A8D6B4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B71C1C"/>
                <w:sz w:val="24"/>
                <w:szCs w:val="24"/>
              </w:rPr>
              <w:t>約0.2〜0.5兆円</w:t>
            </w:r>
          </w:p>
        </w:tc>
        <w:tc>
          <w:tcPr>
            <w:tcW w:w="4681" w:type="dxa"/>
            <w:tcBorders>
              <w:top w:val="single" w:sz="4" w:space="0" w:color="CCCCCC"/>
              <w:left w:val="single" w:sz="4" w:space="0" w:color="CCCCCC"/>
              <w:bottom w:val="single" w:sz="4" w:space="0" w:color="CCCCCC"/>
              <w:right w:val="single" w:sz="4" w:space="0" w:color="CCCCCC"/>
            </w:tcBorders>
            <w:shd w:val="clear" w:color="auto" w:fill="F5EDEB"/>
            <w:tcMar>
              <w:top w:w="100" w:type="dxa"/>
              <w:left w:w="140" w:type="dxa"/>
              <w:bottom w:w="100" w:type="dxa"/>
              <w:right w:w="140" w:type="dxa"/>
            </w:tcMar>
          </w:tcPr>
          <w:p w14:paraId="5E59931A"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障害者加算・特別障害者手当・生活保護との重複受給を整理し原資を集約</w:t>
            </w:r>
          </w:p>
        </w:tc>
      </w:tr>
      <w:tr w:rsidR="00B43F0D" w:rsidRPr="00165E87" w14:paraId="3DE8645B" w14:textId="77777777">
        <w:tc>
          <w:tcPr>
            <w:tcW w:w="655" w:type="dxa"/>
            <w:tcBorders>
              <w:top w:val="single" w:sz="4" w:space="0" w:color="CCCCCC"/>
              <w:left w:val="single" w:sz="4" w:space="0" w:color="CCCCCC"/>
              <w:bottom w:val="single" w:sz="4" w:space="0" w:color="CCCCCC"/>
              <w:right w:val="single" w:sz="4" w:space="0" w:color="CCCCCC"/>
            </w:tcBorders>
            <w:shd w:val="clear" w:color="auto" w:fill="8B4500"/>
            <w:tcMar>
              <w:top w:w="100" w:type="dxa"/>
              <w:left w:w="140" w:type="dxa"/>
              <w:bottom w:w="100" w:type="dxa"/>
              <w:right w:w="140" w:type="dxa"/>
            </w:tcMar>
          </w:tcPr>
          <w:p w14:paraId="54369895"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F</w:t>
            </w:r>
          </w:p>
        </w:tc>
        <w:tc>
          <w:tcPr>
            <w:tcW w:w="2340"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4D885E2D"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E65100"/>
                <w:sz w:val="24"/>
                <w:szCs w:val="24"/>
              </w:rPr>
              <w:t>初期財政措置（MMT）</w:t>
            </w:r>
          </w:p>
        </w:tc>
        <w:tc>
          <w:tcPr>
            <w:tcW w:w="1684"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0391BA38"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E65100"/>
                <w:sz w:val="24"/>
                <w:szCs w:val="24"/>
              </w:rPr>
              <w:t>第1期のみ補完</w:t>
            </w:r>
          </w:p>
        </w:tc>
        <w:tc>
          <w:tcPr>
            <w:tcW w:w="4681" w:type="dxa"/>
            <w:tcBorders>
              <w:top w:val="single" w:sz="4" w:space="0" w:color="CCCCCC"/>
              <w:left w:val="single" w:sz="4" w:space="0" w:color="CCCCCC"/>
              <w:bottom w:val="single" w:sz="4" w:space="0" w:color="CCCCCC"/>
              <w:right w:val="single" w:sz="4" w:space="0" w:color="CCCCCC"/>
            </w:tcBorders>
            <w:shd w:val="clear" w:color="auto" w:fill="F5E8C0"/>
            <w:tcMar>
              <w:top w:w="100" w:type="dxa"/>
              <w:left w:w="140" w:type="dxa"/>
              <w:bottom w:w="100" w:type="dxa"/>
              <w:right w:w="140" w:type="dxa"/>
            </w:tcMar>
          </w:tcPr>
          <w:p w14:paraId="08A1AFF8"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国債発行を含む政府支出。インフレ率・国債残高を監視指標として設定。恒久依存は前提としない</w:t>
            </w:r>
          </w:p>
        </w:tc>
      </w:tr>
    </w:tbl>
    <w:p w14:paraId="175ED7CB" w14:textId="77777777" w:rsidR="00B43F0D" w:rsidRPr="00165E87" w:rsidRDefault="00B43F0D">
      <w:pPr>
        <w:spacing w:after="120" w:before="0" w:line="360" w:lineRule="auto"/>
        <w:rPr>
          <w:rFonts w:ascii="Meiryo UI" w:eastAsia="Meiryo UI" w:hAnsi="Meiryo UI" w:cs="Meiryo UI"/>
        </w:rPr>
      </w:pPr>
    </w:p>
    <w:p w14:paraId="2C894D54" w14:textId="77777777" w:rsidR="00B43F0D" w:rsidRPr="00770A2A"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0D47A1"/>
          <w:sz w:val="24"/>
          <w:szCs w:val="24"/>
        </w:rPr>
        <w:t>■ 自律循環モデルの構造</w:t>
      </w:r>
    </w:p>
    <w:p w14:paraId="2A686D67" w14:textId="77777777" w:rsidR="00B43F0D" w:rsidRPr="00165E87" w:rsidRDefault="00B43F0D">
      <w:pPr>
        <w:spacing w:after="120" w:before="0" w:line="360" w:lineRule="auto"/>
        <w:rPr>
          <w:rFonts w:ascii="Meiryo UI" w:eastAsia="Meiryo UI" w:hAnsi="Meiryo UI" w:cs="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520"/>
        <w:gridCol w:w="1121"/>
        <w:gridCol w:w="520"/>
        <w:gridCol w:w="1121"/>
        <w:gridCol w:w="520"/>
        <w:gridCol w:w="1121"/>
        <w:gridCol w:w="520"/>
        <w:gridCol w:w="1121"/>
        <w:gridCol w:w="520"/>
        <w:gridCol w:w="1154"/>
      </w:tblGrid>
      <w:tr w:rsidR="00B43F0D" w:rsidRPr="00165E87" w14:paraId="50E8CA0A" w14:textId="77777777">
        <w:tc>
          <w:tcPr>
            <w:tcW w:w="1393" w:type="dxa"/>
            <w:tcBorders>
              <w:top w:val="none" w:sz="0" w:space="0" w:color="FFFFFF"/>
              <w:left w:val="none" w:sz="0" w:space="0" w:color="FFFFFF"/>
              <w:bottom w:val="none" w:sz="0" w:space="0" w:color="FFFFFF"/>
              <w:right w:val="none" w:sz="0" w:space="0" w:color="FFFFFF"/>
            </w:tcBorders>
            <w:shd w:val="clear" w:color="auto" w:fill="1A1410"/>
            <w:tcMar>
              <w:top w:w="120" w:type="dxa"/>
              <w:left w:w="60" w:type="dxa"/>
              <w:bottom w:w="120" w:type="dxa"/>
              <w:right w:w="60" w:type="dxa"/>
            </w:tcMar>
            <w:vAlign w:val="center"/>
          </w:tcPr>
          <w:p w14:paraId="0339D2C0"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企業が 拠出金納付</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5C56CA6B"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888888"/>
                <w:sz w:val="24"/>
                <w:szCs w:val="24"/>
              </w:rPr>
              <w:t>→</w:t>
            </w:r>
          </w:p>
        </w:tc>
        <w:tc>
          <w:tcPr>
            <w:tcW w:w="1393" w:type="dxa"/>
            <w:tcBorders>
              <w:top w:val="none" w:sz="0" w:space="0" w:color="FFFFFF"/>
              <w:left w:val="none" w:sz="0" w:space="0" w:color="FFFFFF"/>
              <w:bottom w:val="none" w:sz="0" w:space="0" w:color="FFFFFF"/>
              <w:right w:val="none" w:sz="0" w:space="0" w:color="FFFFFF"/>
            </w:tcBorders>
            <w:shd w:val="clear" w:color="auto" w:fill="8B2635"/>
            <w:tcMar>
              <w:top w:w="120" w:type="dxa"/>
              <w:left w:w="60" w:type="dxa"/>
              <w:bottom w:w="120" w:type="dxa"/>
              <w:right w:w="60" w:type="dxa"/>
            </w:tcMar>
            <w:vAlign w:val="center"/>
          </w:tcPr>
          <w:p w14:paraId="08A04D55"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年金原資へ 直接スライド</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08C373EC"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888888"/>
                <w:sz w:val="24"/>
                <w:szCs w:val="24"/>
              </w:rPr>
              <w:t>→</w:t>
            </w:r>
          </w:p>
        </w:tc>
        <w:tc>
          <w:tcPr>
            <w:tcW w:w="1393" w:type="dxa"/>
            <w:tcBorders>
              <w:top w:val="none" w:sz="0" w:space="0" w:color="FFFFFF"/>
              <w:left w:val="none" w:sz="0" w:space="0" w:color="FFFFFF"/>
              <w:bottom w:val="none" w:sz="0" w:space="0" w:color="FFFFFF"/>
              <w:right w:val="none" w:sz="0" w:space="0" w:color="FFFFFF"/>
            </w:tcBorders>
            <w:shd w:val="clear" w:color="auto" w:fill="1A1410"/>
            <w:tcMar>
              <w:top w:w="120" w:type="dxa"/>
              <w:left w:w="60" w:type="dxa"/>
              <w:bottom w:w="120" w:type="dxa"/>
              <w:right w:w="60" w:type="dxa"/>
            </w:tcMar>
            <w:vAlign w:val="center"/>
          </w:tcPr>
          <w:p w14:paraId="4D42E77F"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障害者の 生活基盤確立</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1AB7C6E9"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888888"/>
                <w:sz w:val="24"/>
                <w:szCs w:val="24"/>
              </w:rPr>
              <w:t>→</w:t>
            </w:r>
          </w:p>
        </w:tc>
        <w:tc>
          <w:tcPr>
            <w:tcW w:w="1393" w:type="dxa"/>
            <w:tcBorders>
              <w:top w:val="none" w:sz="0" w:space="0" w:color="FFFFFF"/>
              <w:left w:val="none" w:sz="0" w:space="0" w:color="FFFFFF"/>
              <w:bottom w:val="none" w:sz="0" w:space="0" w:color="FFFFFF"/>
              <w:right w:val="none" w:sz="0" w:space="0" w:color="FFFFFF"/>
            </w:tcBorders>
            <w:shd w:val="clear" w:color="auto" w:fill="5C3D1A"/>
            <w:tcMar>
              <w:top w:w="120" w:type="dxa"/>
              <w:left w:w="60" w:type="dxa"/>
              <w:bottom w:w="120" w:type="dxa"/>
              <w:right w:w="60" w:type="dxa"/>
            </w:tcMar>
            <w:vAlign w:val="center"/>
          </w:tcPr>
          <w:p w14:paraId="17568EF8"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タスク型 就労が可能に</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6EB78E04"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888888"/>
                <w:sz w:val="24"/>
                <w:szCs w:val="24"/>
              </w:rPr>
              <w:t>→</w:t>
            </w:r>
          </w:p>
        </w:tc>
        <w:tc>
          <w:tcPr>
            <w:tcW w:w="1393" w:type="dxa"/>
            <w:tcBorders>
              <w:top w:val="none" w:sz="0" w:space="0" w:color="FFFFFF"/>
              <w:left w:val="none" w:sz="0" w:space="0" w:color="FFFFFF"/>
              <w:bottom w:val="none" w:sz="0" w:space="0" w:color="FFFFFF"/>
              <w:right w:val="none" w:sz="0" w:space="0" w:color="FFFFFF"/>
            </w:tcBorders>
            <w:shd w:val="clear" w:color="auto" w:fill="8B4500"/>
            <w:tcMar>
              <w:top w:w="120" w:type="dxa"/>
              <w:left w:w="60" w:type="dxa"/>
              <w:bottom w:w="120" w:type="dxa"/>
              <w:right w:w="60" w:type="dxa"/>
            </w:tcMar>
            <w:vAlign w:val="center"/>
          </w:tcPr>
          <w:p w14:paraId="12D02C10"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公共サービス 質が向上</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573717FC"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color w:val="888888"/>
                <w:sz w:val="24"/>
                <w:szCs w:val="24"/>
              </w:rPr>
              <w:t>→</w:t>
            </w:r>
          </w:p>
        </w:tc>
        <w:tc>
          <w:tcPr>
            <w:tcW w:w="1393" w:type="dxa"/>
            <w:tcBorders>
              <w:top w:val="none" w:sz="0" w:space="0" w:color="FFFFFF"/>
              <w:left w:val="none" w:sz="0" w:space="0" w:color="FFFFFF"/>
              <w:bottom w:val="none" w:sz="0" w:space="0" w:color="FFFFFF"/>
              <w:right w:val="none" w:sz="0" w:space="0" w:color="FFFFFF"/>
            </w:tcBorders>
            <w:shd w:val="clear" w:color="auto" w:fill="1A1410"/>
            <w:tcMar>
              <w:top w:w="120" w:type="dxa"/>
              <w:left w:w="60" w:type="dxa"/>
              <w:bottom w:w="120" w:type="dxa"/>
              <w:right w:w="60" w:type="dxa"/>
            </w:tcMar>
            <w:vAlign w:val="center"/>
          </w:tcPr>
          <w:p w14:paraId="77A004E5" w14:textId="77777777" w:rsidR="00B43F0D" w:rsidRPr="00165E87" w:rsidRDefault="00000000">
            <w:pPr>
              <w:spacing w:before="0" w:after="120" w:line="360" w:lineRule="auto"/>
              <w:jc w:val="center"/>
              <w:rPr>
                <w:rFonts w:ascii="Meiryo UI" w:eastAsia="Meiryo UI" w:hAnsi="Meiryo UI" w:cs="Meiryo UI"/>
                <w:sz w:val="24"/>
                <w:szCs w:val="24"/>
              </w:rPr>
            </w:pPr>
            <w:r>
              <w:rPr>
                <w:rFonts w:ascii="Meiryo UI" w:eastAsia="Meiryo UI" w:hAnsi="Meiryo UI" w:cs="Meiryo UI"/>
                <w:b/>
                <w:bCs/>
                <w:color w:val="FFFFFF"/>
                <w:sz w:val="24"/>
                <w:szCs w:val="24"/>
              </w:rPr>
              <w:t>税収増・ 財源自律化</w:t>
            </w:r>
          </w:p>
        </w:tc>
      </w:tr>
    </w:tbl>
    <w:p w14:paraId="0D9BBD6C" w14:textId="77777777" w:rsidR="00B43F0D" w:rsidRPr="00165E87" w:rsidRDefault="00B43F0D">
      <w:pPr>
        <w:spacing w:after="120" w:before="0" w:line="360" w:lineRule="auto"/>
        <w:rPr>
          <w:rFonts w:ascii="Meiryo UI" w:eastAsia="Meiryo UI" w:hAnsi="Meiryo UI" w:cs="Meiryo UI"/>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3F0D" w:rsidRPr="00165E87" w14:paraId="53DBEB55"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DE8"/>
            <w:tcMar>
              <w:top w:w="100" w:type="dxa"/>
              <w:left w:w="140" w:type="dxa"/>
              <w:bottom w:w="100" w:type="dxa"/>
              <w:right w:w="140" w:type="dxa"/>
            </w:tcMar>
          </w:tcPr>
          <w:p w14:paraId="2ABE9F45"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37474F"/>
                <w:sz w:val="24"/>
                <w:szCs w:val="24"/>
              </w:rPr>
              <w:t>【制度設計のポイント】</w:t>
            </w:r>
          </w:p>
          <w:p w14:paraId="6DF0D508"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Cレーンの上限を50%に設定することで、拠出金のみでの完全代替を構造上不可能にし、障害者との接点を必ず担保</w:t>
            </w:r>
          </w:p>
          <w:p w14:paraId="4B29923C" w14:textId="77777777" w:rsidR="00B43F0D" w:rsidRPr="00165E87"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44444"/>
                <w:sz w:val="24"/>
                <w:szCs w:val="24"/>
              </w:rPr>
              <w:t>• 拠出金1P=1,500円 × 120P（1人分）= 18万円が1人の月給原資とリンクした設計（循環型経済）</w:t>
            </w:r>
          </w:p>
          <w:p w14:paraId="14DBEB3B" w14:textId="77777777" w:rsidR="00B43F0D" w:rsidRPr="00165E87" w:rsidRDefault="00000000">
            <w:pPr>
              <w:spacing w:before="0" w:after="120" w:line="360" w:lineRule="auto"/>
              <w:rPr>
                <w:rFonts w:ascii="Meiryo UI" w:eastAsia="Meiryo UI" w:hAnsi="Meiryo UI" w:cs="Meiryo UI"/>
              </w:rPr>
            </w:pPr>
            <w:r>
              <w:rPr>
                <w:rFonts w:ascii="Meiryo UI" w:eastAsia="Meiryo UI" w:hAnsi="Meiryo UI" w:cs="Meiryo UI"/>
                <w:color w:val="444444"/>
                <w:sz w:val="24"/>
                <w:szCs w:val="24"/>
              </w:rPr>
              <w:t>• 拠出金は企業のESG開示で可視化され、積極的雇用企業が市場で正当に評価される設計</w:t>
            </w:r>
          </w:p>
        </w:tc>
      </w:tr>
    </w:tbl>
    <w:p w14:paraId="36DFFEDC" w14:textId="77777777" w:rsidR="00CC1650" w:rsidRDefault="00CC1650">
      <w:pPr>
        <w:spacing w:before="0" w:after="120" w:line="360" w:lineRule="auto"/>
      </w:pPr>
    </w:p>
    <w:sectPr w:rsidR="00CC165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841A7"/>
    <w:multiLevelType w:val="hybridMultilevel"/>
    <w:tmpl w:val="485E9AA2"/>
    <w:lvl w:ilvl="0" w:tplc="A04E7E50">
      <w:start w:val="1"/>
      <w:numFmt w:val="bullet"/>
      <w:lvlText w:val="●"/>
      <w:lvlJc w:val="left"/>
      <w:pPr>
        <w:spacing w:before="60" w:after="60"/>
        <w:ind w:left="480" w:hanging="240"/>
      </w:pPr>
      <w:rPr>
        <w:rFonts w:ascii="Meiryo UI" w:eastAsia="Meiryo UI" w:hAnsi="Meiryo UI" w:cs="Meiryo UI"/>
      </w:rPr>
    </w:lvl>
    <w:lvl w:ilvl="1" w:tplc="36D2A6D0">
      <w:start w:val="1"/>
      <w:numFmt w:val="bullet"/>
      <w:lvlText w:val="○"/>
      <w:lvlJc w:val="left"/>
      <w:pPr>
        <w:spacing w:before="60" w:after="60"/>
        <w:ind w:left="840" w:hanging="240"/>
      </w:pPr>
      <w:rPr>
        <w:rFonts w:ascii="Meiryo UI" w:eastAsia="Meiryo UI" w:hAnsi="Meiryo UI" w:cs="Meiryo UI"/>
      </w:rPr>
    </w:lvl>
    <w:lvl w:ilvl="2" w:tplc="EB0479F4">
      <w:start w:val="1"/>
      <w:numFmt w:val="bullet"/>
      <w:lvlText w:val="■"/>
      <w:lvlJc w:val="left"/>
      <w:pPr>
        <w:spacing w:before="60" w:after="60"/>
        <w:ind w:left="1200" w:hanging="240"/>
      </w:pPr>
      <w:rPr>
        <w:rFonts w:ascii="Meiryo UI" w:eastAsia="Meiryo UI" w:hAnsi="Meiryo UI" w:cs="Meiryo UI"/>
      </w:rPr>
    </w:lvl>
    <w:lvl w:ilvl="3" w:tplc="0AC8EDE0">
      <w:start w:val="1"/>
      <w:numFmt w:val="bullet"/>
      <w:lvlText w:val="●"/>
      <w:lvlJc w:val="left"/>
      <w:pPr>
        <w:spacing w:before="60" w:after="60"/>
        <w:ind w:left="1560" w:hanging="240"/>
      </w:pPr>
      <w:rPr>
        <w:rFonts w:ascii="Meiryo UI" w:eastAsia="Meiryo UI" w:hAnsi="Meiryo UI" w:cs="Meiryo UI"/>
      </w:rPr>
    </w:lvl>
    <w:lvl w:ilvl="4" w:tplc="320A0F2E">
      <w:start w:val="1"/>
      <w:numFmt w:val="bullet"/>
      <w:lvlText w:val="○"/>
      <w:lvlJc w:val="left"/>
      <w:pPr>
        <w:spacing w:before="60" w:after="60"/>
        <w:ind w:left="1920" w:hanging="240"/>
      </w:pPr>
      <w:rPr>
        <w:rFonts w:ascii="Meiryo UI" w:eastAsia="Meiryo UI" w:hAnsi="Meiryo UI" w:cs="Meiryo UI"/>
      </w:rPr>
    </w:lvl>
    <w:lvl w:ilvl="5" w:tplc="D3365AE8">
      <w:start w:val="1"/>
      <w:numFmt w:val="bullet"/>
      <w:lvlText w:val="■"/>
      <w:lvlJc w:val="left"/>
      <w:pPr>
        <w:spacing w:before="60" w:after="60"/>
        <w:ind w:left="2280" w:hanging="240"/>
      </w:pPr>
      <w:rPr>
        <w:rFonts w:ascii="Meiryo UI" w:eastAsia="Meiryo UI" w:hAnsi="Meiryo UI" w:cs="Meiryo UI"/>
      </w:rPr>
    </w:lvl>
    <w:lvl w:ilvl="6" w:tplc="0658BFD2">
      <w:start w:val="1"/>
      <w:numFmt w:val="bullet"/>
      <w:lvlText w:val="●"/>
      <w:lvlJc w:val="left"/>
      <w:pPr>
        <w:spacing w:before="60" w:after="60"/>
        <w:ind w:left="2640" w:hanging="240"/>
      </w:pPr>
      <w:rPr>
        <w:rFonts w:ascii="Meiryo UI" w:eastAsia="Meiryo UI" w:hAnsi="Meiryo UI" w:cs="Meiryo UI"/>
      </w:rPr>
    </w:lvl>
    <w:lvl w:ilvl="7" w:tplc="7E227B78">
      <w:start w:val="1"/>
      <w:numFmt w:val="bullet"/>
      <w:lvlText w:val="●"/>
      <w:lvlJc w:val="left"/>
      <w:pPr>
        <w:spacing w:before="60" w:after="60"/>
        <w:ind w:left="3000" w:hanging="240"/>
      </w:pPr>
      <w:rPr>
        <w:rFonts w:ascii="Meiryo UI" w:eastAsia="Meiryo UI" w:hAnsi="Meiryo UI" w:cs="Meiryo UI"/>
      </w:rPr>
    </w:lvl>
    <w:lvl w:ilvl="8" w:tplc="1124FBDC">
      <w:start w:val="1"/>
      <w:numFmt w:val="bullet"/>
      <w:lvlText w:val="●"/>
      <w:lvlJc w:val="left"/>
      <w:pPr>
        <w:spacing w:before="60" w:after="60"/>
        <w:ind w:left="3360" w:hanging="240"/>
      </w:pPr>
      <w:rPr>
        <w:rFonts w:ascii="Meiryo UI" w:eastAsia="Meiryo UI" w:hAnsi="Meiryo UI" w:cs="Meiryo UI"/>
      </w:rPr>
    </w:lvl>
  </w:abstractNum>
  <w:num w:numId="1" w16cid:durableId="1860853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F0D"/>
    <w:rsid w:val="00165E87"/>
    <w:rsid w:val="00546454"/>
    <w:rsid w:val="00770A2A"/>
    <w:rsid w:val="00B43F0D"/>
    <w:rsid w:val="00BA1102"/>
    <w:rsid w:val="00CC1650"/>
    <w:rsid w:val="00F765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4AF94F0"/>
  <w15:docId w15:val="{5693A84A-0088-4C38-9A6C-A38BB49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spacing w:before="360" w:after="120" w:line="360" w:lineRule="auto"/>
    </w:pPr>
    <w:rPr>
      <w:rFonts w:ascii="Meiryo UI" w:eastAsia="Meiryo UI" w:hAnsi="Meiryo UI" w:cs="Meiryo UI"/>
      <w:color w:val="1F497D"/>
      <w:sz w:val="32"/>
      <w:szCs w:val="32"/>
      <w:b/>
      <w:bCs/>
    </w:rPr>
  </w:style>
  <w:style w:type="paragraph" w:styleId="2">
    <w:name w:val="heading 2"/>
    <w:uiPriority w:val="9"/>
    <w:semiHidden/>
    <w:unhideWhenUsed/>
    <w:qFormat/>
    <w:pPr>
      <w:outlineLvl w:val="1"/>
      <w:spacing w:before="240" w:after="80" w:line="360" w:lineRule="auto"/>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572</Words>
  <Characters>3265</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2026-03-13T14:01:00Z</dcterms:created>
  <dcterms:modified xsi:type="dcterms:W3CDTF">2026-03-13T14:01:00Z</dcterms:modified>
</cp:coreProperties>
</file>