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37E75" w14:textId="1CE0646D" w:rsidR="00401FDB" w:rsidRPr="00791421" w:rsidRDefault="00000000">
      <w:pPr>
        <w:spacing w:after="120" w:before="0" w:line="360" w:lineRule="auto"/>
        <w:jc w:val="center"/>
        <w:rPr>
          <w:rFonts w:ascii="Meiryo UI" w:eastAsia="Meiryo UI" w:hAnsi="Meiryo UI" w:cs="Meiryo UI"/>
        </w:rPr>
      </w:pPr>
      <w:r>
        <w:rPr>
          <w:rFonts w:ascii="Meiryo UI" w:eastAsia="Meiryo UI" w:hAnsi="Meiryo UI" w:cs="Meiryo UI"/>
          <w:color w:val="888888"/>
          <w:sz w:val="24"/>
          <w:szCs w:val="24"/>
        </w:rPr>
        <w:t>提言書</w:t>
      </w:r>
    </w:p>
    <w:p w14:paraId="08D710BF" w14:textId="77777777" w:rsidR="00401FDB" w:rsidRPr="00791421" w:rsidRDefault="00000000">
      <w:pPr>
        <w:spacing w:after="120" w:before="0" w:line="360" w:lineRule="auto"/>
        <w:jc w:val="center"/>
        <w:rPr>
          <w:rFonts w:ascii="Meiryo UI" w:eastAsia="Meiryo UI" w:hAnsi="Meiryo UI" w:cs="Meiryo UI"/>
        </w:rPr>
      </w:pPr>
      <w:r>
        <w:rPr>
          <w:rFonts w:ascii="Meiryo UI" w:eastAsia="Meiryo UI" w:hAnsi="Meiryo UI" w:cs="Meiryo UI"/>
          <w:b/>
          <w:bCs/>
          <w:color w:val="1A1410"/>
          <w:sz w:val="44"/>
          <w:szCs w:val="44"/>
        </w:rPr>
        <w:t>エグゼクティブサマリー</w:t>
      </w:r>
    </w:p>
    <w:p w14:paraId="3DAA1261" w14:textId="77777777" w:rsidR="00401FDB" w:rsidRPr="00791421" w:rsidRDefault="00000000">
      <w:pPr>
        <w:pBdr>
          <w:bottom w:val="single" w:sz="6" w:space="4" w:color="1A1410"/>
        </w:pBdr>
        <w:spacing w:after="120" w:before="0" w:line="360" w:lineRule="auto"/>
        <w:jc w:val="center"/>
        <w:rPr>
          <w:rFonts w:ascii="Meiryo UI" w:eastAsia="Meiryo UI" w:hAnsi="Meiryo UI" w:cs="Meiryo UI"/>
        </w:rPr>
      </w:pPr>
      <w:r>
        <w:rPr>
          <w:rFonts w:ascii="Meiryo UI" w:eastAsia="Meiryo UI" w:hAnsi="Meiryo UI" w:cs="Meiryo UI"/>
          <w:b/>
          <w:bCs/>
          <w:sz w:val="34"/>
          <w:szCs w:val="34"/>
        </w:rPr>
        <w:t>次世代型障害者雇用モデルの創設</w:t>
      </w:r>
    </w:p>
    <w:p w14:paraId="408FE669" w14:textId="77777777" w:rsidR="00401FDB" w:rsidRPr="00791421" w:rsidRDefault="00401FDB">
      <w:pPr>
        <w:spacing w:before="0" w:after="120" w:line="360" w:lineRule="auto"/>
        <w:rPr>
          <w:rFonts w:ascii="Meiryo UI" w:eastAsia="Meiryo UI" w:hAnsi="Meiryo UI" w:cs="Meiryo UI"/>
        </w:rPr>
      </w:pPr>
    </w:p>
    <w:p w14:paraId="6B871572" w14:textId="77777777" w:rsidR="00401FDB" w:rsidRPr="00791421" w:rsidRDefault="00000000">
      <w:pPr>
        <w:spacing w:after="120" w:before="0" w:line="360" w:lineRule="auto"/>
        <w:jc w:val="center"/>
        <w:rPr>
          <w:rFonts w:ascii="Meiryo UI" w:eastAsia="Meiryo UI" w:hAnsi="Meiryo UI" w:cs="Meiryo UI"/>
          <w:sz w:val="24"/>
          <w:szCs w:val="24"/>
        </w:rPr>
      </w:pPr>
      <w:r>
        <w:rPr>
          <w:rFonts w:ascii="Meiryo UI" w:eastAsia="Meiryo UI" w:hAnsi="Meiryo UI" w:cs="Meiryo UI"/>
          <w:color w:val="555555"/>
          <w:sz w:val="24"/>
          <w:szCs w:val="24"/>
        </w:rPr>
        <w:t>── 家族依存と非効率な雇用義務からの解放、そして公共サービスの再建に向けて ──</w:t>
      </w:r>
    </w:p>
    <w:p w14:paraId="384EA54F" w14:textId="77777777" w:rsidR="00401FDB" w:rsidRPr="00791421" w:rsidRDefault="00000000">
      <w:pPr>
        <w:pStyle w:val="1"/>
        <w:pBdr>
          <w:bottom w:val="single" w:sz="8" w:space="4" w:color="1A1410"/>
        </w:pBdr>
        <w:rPr>
          <w:rFonts w:ascii="Meiryo UI" w:eastAsia="Meiryo UI" w:hAnsi="Meiryo UI" w:cs="Meiryo UI"/>
        </w:rPr>
        <w:spacing w:before="360" w:after="120" w:line="360" w:lineRule="auto"/>
      </w:pPr>
      <w:r>
        <w:rPr>
          <w:rFonts w:ascii="Meiryo UI" w:eastAsia="Meiryo UI" w:hAnsi="Meiryo UI" w:cs="Meiryo UI"/>
        </w:rPr>
        <w:t>1．問題の核心　── 三重の構造的疲弊</w:t>
      </w:r>
    </w:p>
    <w:p w14:paraId="3C289AF2"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現行の障害者雇用制度は、善意によって設計されながら、時代の変化に対応できないまま放置されてきた。1960年の法定雇用率制度創設から半世紀以上が経過し、障害の多様化・産業構造の変容・家族形態の変化が進んだ今、制度が前提とした社会的条件は根本から変わっている。その結果、三者が同時に疲弊する構造が固定化している。</w:t>
      </w:r>
    </w:p>
    <w:p w14:paraId="7CCD082F" w14:textId="77777777" w:rsidR="00401FDB" w:rsidRPr="00791421" w:rsidRDefault="00401FDB">
      <w:pPr>
        <w:spacing w:before="0" w:after="120" w:line="360" w:lineRule="auto"/>
        <w:rPr>
          <w:rFonts w:ascii="Meiryo UI" w:eastAsia="Meiryo UI" w:hAnsi="Meiryo UI" w:cs="Meiryo U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01FDB" w:rsidRPr="00791421" w14:paraId="468643E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60BFDDD8"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当事者</w:t>
            </w:r>
          </w:p>
        </w:tc>
        <w:tc>
          <w:tcPr>
            <w:tcW w:w="312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3BAEA187"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家族</w:t>
            </w:r>
          </w:p>
        </w:tc>
        <w:tc>
          <w:tcPr>
            <w:tcW w:w="312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35778DC3"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企業</w:t>
            </w:r>
          </w:p>
        </w:tc>
      </w:tr>
      <w:tr w:rsidR="00401FDB" w:rsidRPr="00791421" w14:paraId="27D39B6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73156"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障害年金（最高1級、障害基礎年金88,260円＋生活者支援給付金7,025円）で月約9.5万円。自立に必要な最低生活費15〜25万円に遠く及ばず、家族なしでの自立は極めて困難</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C69DC"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「経済的介護」「心理的拘束」「地理的制約」の三層負担。親亡き後の生活破綻リスクを常に抱える</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610E9"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不要な業務を人工的に創出し、管理職の工数を割く「無償の福祉代替」。年間コスト1名あたり25〜35万円超</w:t>
            </w:r>
          </w:p>
        </w:tc>
      </w:tr>
    </w:tbl>
    <w:p w14:paraId="7BFC9ED1" w14:textId="77777777" w:rsidR="00401FDB" w:rsidRPr="00791421" w:rsidRDefault="00401FDB">
      <w:pPr>
        <w:spacing w:before="0" w:after="120" w:line="360" w:lineRule="auto"/>
        <w:rPr>
          <w:rFonts w:ascii="Meiryo UI" w:eastAsia="Meiryo UI" w:hAnsi="Meiryo UI" w:cs="Meiryo UI"/>
        </w:rPr>
      </w:pPr>
    </w:p>
    <w:p w14:paraId="2565BC2D"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この疲弊の根本原因は、欧州諸国と逆の設計思想にある。欧州は「国が生活基盤を確立してから、企業雇用を社会参加の上乗せとする」設計である。日本は所得保障が不十分なまま、企業雇用の義務だけを先行させた。この「土台なき義務化」が、すべての歪みの起点となっている。</w:t>
      </w:r>
    </w:p>
    <w:p w14:paraId="4AF0D4C0" w14:textId="77777777" w:rsidR="00401FDB" w:rsidRPr="00791421" w:rsidRDefault="00000000">
      <w:pPr>
        <w:pStyle w:val="1"/>
        <w:pBdr>
          <w:bottom w:val="single" w:sz="8" w:space="4" w:color="1A1410"/>
        </w:pBdr>
        <w:rPr>
          <w:rFonts w:ascii="Meiryo UI" w:eastAsia="Meiryo UI" w:hAnsi="Meiryo UI" w:cs="Meiryo UI"/>
        </w:rPr>
        <w:spacing w:before="360" w:after="120" w:line="360" w:lineRule="auto"/>
      </w:pPr>
      <w:r>
        <w:rPr>
          <w:rFonts w:ascii="Meiryo UI" w:eastAsia="Meiryo UI" w:hAnsi="Meiryo UI" w:cs="Meiryo UI"/>
        </w:rPr>
        <w:t>2．提言の骨子　── 三段階の制度改革</w:t>
      </w:r>
    </w:p>
    <w:p w14:paraId="141EB1C1" w14:textId="77777777" w:rsidR="00401FDB" w:rsidRPr="00791421" w:rsidRDefault="00000000">
      <w:pPr>
        <w:pStyle w:val="2"/>
        <w:rPr>
          <w:rFonts w:ascii="Meiryo UI" w:eastAsia="Meiryo UI" w:hAnsi="Meiryo UI" w:cs="Meiryo UI"/>
        </w:rPr>
        <w:spacing w:before="240" w:after="80" w:line="360" w:lineRule="auto"/>
      </w:pPr>
      <w:r>
        <w:rPr>
          <w:rFonts w:ascii="Meiryo UI" w:eastAsia="Meiryo UI" w:hAnsi="Meiryo UI" w:cs="Meiryo UI"/>
        </w:rPr>
        <w:t>第1段階：障害年金の最低保障額を引き上げ、自立の基盤を確立（準公務・準企業共通）</w:t>
      </w:r>
    </w:p>
    <w:p w14:paraId="7895F115"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障害基礎年金を等級別に月額9〜15万円へ引き上げる（1級：15万円／2級：12万円／新設3級：9万円）。これでさえデンマーク（月約31万円）の約30%、ノルウェー（月約36万円以上）の約26%に過ぎず、「過大な要求」ではなく「国際標準への最低限の接近」にとどまる。</w:t>
      </w:r>
    </w:p>
    <w:p w14:paraId="2B4EA6C5" w14:textId="77777777" w:rsidR="00401FDB" w:rsidRPr="00791421" w:rsidRDefault="00401FDB">
      <w:pPr>
        <w:spacing w:before="0" w:after="120" w:line="360" w:lineRule="auto"/>
        <w:rPr>
          <w:rFonts w:ascii="Meiryo UI" w:eastAsia="Meiryo UI" w:hAnsi="Meiryo UI" w:cs="Meiryo U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01FDB" w:rsidRPr="00791421" w14:paraId="558A84E5" w14:textId="77777777">
        <w:tc>
          <w:tcPr>
            <w:tcW w:w="9360" w:type="dxa"/>
            <w:tcBorders>
              <w:top w:val="single" w:sz="1" w:space="0" w:color="CCCCCC"/>
              <w:left w:val="single" w:sz="1" w:space="0" w:color="CCCCCC"/>
              <w:bottom w:val="single" w:sz="1" w:space="0" w:color="CCCCCC"/>
              <w:right w:val="single" w:sz="1" w:space="0" w:color="CCCCCC"/>
            </w:tcBorders>
            <w:shd w:val="clear" w:color="auto" w:fill="F0EBE3"/>
            <w:tcMar>
              <w:top w:w="120" w:type="dxa"/>
              <w:left w:w="180" w:type="dxa"/>
              <w:bottom w:w="120" w:type="dxa"/>
              <w:right w:w="180" w:type="dxa"/>
            </w:tcMar>
          </w:tcPr>
          <w:p w14:paraId="03609C07"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1A1410"/>
              </w:rPr>
              <w:t>国際比較：日本の障害年金1級（障害基礎年金88,260円＋生活者支援給付金7,025円＝月約9.5万円）の位置づけ</w:t>
            </w:r>
          </w:p>
          <w:p w14:paraId="2C4E5E75"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デンマーク：約31万円 ／ ノルウェー：約36万円 ／ スウェーデン：約19〜33万円 ／ ドイツ平均：約26万円 ／ フランス：約17万円 ／ オランダ：約34〜50万円 ／ イギリス：約16〜19万円 → 日本の「最高額」は欧州主要国の3分の1以下。医師診断書の数値化・標準化とAIによる等級再審査を並行実施し、公正性と財源効率を担保する。</w:t>
            </w:r>
          </w:p>
        </w:tc>
      </w:tr>
    </w:tbl>
    <w:p w14:paraId="3E192F97" w14:textId="77777777" w:rsidR="00401FDB" w:rsidRPr="00791421" w:rsidRDefault="00401FDB">
      <w:pPr>
        <w:spacing w:before="0" w:after="120" w:line="360" w:lineRule="auto"/>
        <w:rPr>
          <w:rFonts w:ascii="Meiryo UI" w:eastAsia="Meiryo UI" w:hAnsi="Meiryo UI" w:cs="Meiryo UI"/>
        </w:rPr>
      </w:pPr>
    </w:p>
    <w:p w14:paraId="67438AFF" w14:textId="77777777" w:rsidR="00401FDB" w:rsidRPr="00791421" w:rsidRDefault="00000000">
      <w:pPr>
        <w:pStyle w:val="2"/>
        <w:rPr>
          <w:rFonts w:ascii="Meiryo UI" w:eastAsia="Meiryo UI" w:hAnsi="Meiryo UI" w:cs="Meiryo UI"/>
        </w:rPr>
        <w:spacing w:before="240" w:after="80" w:line="360" w:lineRule="auto"/>
      </w:pPr>
      <w:r>
        <w:rPr>
          <w:rFonts w:ascii="Meiryo UI" w:eastAsia="Meiryo UI" w:hAnsi="Meiryo UI" w:cs="Meiryo UI"/>
        </w:rPr>
        <w:t>第2段階：「準公務職員制度」── 自治体が障害者を担い手として組み込む</w:t>
      </w:r>
    </w:p>
    <w:p w14:paraId="25383BFE"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自治体内に首長直轄の「公共業務分担推進局（仮称）」を新設し、人手不足で放置されている公共業務を障害者にタスクベースで委託する。現行の就労支援施設は同局に審査・選別の上で集約し、自治体の機関連携組織へと再編する。</w:t>
      </w:r>
    </w:p>
    <w:p w14:paraId="79625391" w14:textId="77777777" w:rsidR="00401FDB" w:rsidRPr="00791421" w:rsidRDefault="00401FDB">
      <w:pPr>
        <w:spacing w:before="0" w:after="120" w:line="360" w:lineRule="auto"/>
        <w:rPr>
          <w:rFonts w:ascii="Meiryo UI" w:eastAsia="Meiryo UI" w:hAnsi="Meiryo UI" w:cs="Meiryo UI"/>
        </w:rPr>
      </w:pPr>
    </w:p>
    <w:p w14:paraId="4C2CC8C7"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【担当タスク例】公園・公共施設の巡回点検 ／ デジタルデバイド支援（スマホ操作教示）／ 独居高齢者の安否確認 ／ データ入力・書類デジタル化 ／ SNSリスクモニタリング（完全在宅）</w:t>
      </w:r>
    </w:p>
    <w:p w14:paraId="6D1F51BB" w14:textId="77777777" w:rsidR="00401FDB" w:rsidRPr="00791421" w:rsidRDefault="00401FDB">
      <w:pPr>
        <w:spacing w:before="0" w:after="120" w:line="360" w:lineRule="auto"/>
        <w:rPr>
          <w:rFonts w:ascii="Meiryo UI" w:eastAsia="Meiryo UI" w:hAnsi="Meiryo UI" w:cs="Meiryo U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01FDB" w:rsidRPr="00791421" w14:paraId="78062984"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658F7229"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項目</w:t>
            </w:r>
          </w:p>
        </w:tc>
        <w:tc>
          <w:tcPr>
            <w:tcW w:w="576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4B1B7938"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内容</w:t>
            </w:r>
          </w:p>
        </w:tc>
      </w:tr>
      <w:tr w:rsidR="00401FDB" w:rsidRPr="00791421" w14:paraId="4094693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46E"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報酬</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213F5"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時給1,200〜1,800円（職能・業務難易度に応じた困難手当を含む）</w:t>
            </w:r>
          </w:p>
        </w:tc>
      </w:tr>
      <w:tr w:rsidR="00401FDB" w:rsidRPr="00791421" w14:paraId="7A9B3B47"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1895E45D"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雇用形態</w:t>
            </w:r>
          </w:p>
        </w:tc>
        <w:tc>
          <w:tcPr>
            <w:tcW w:w="576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496674CA"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タスク型雇用。業務発生時のみ稼働。待機コストゼロ</w:t>
            </w:r>
          </w:p>
        </w:tc>
      </w:tr>
      <w:tr w:rsidR="00401FDB" w:rsidRPr="00791421" w14:paraId="3E1BDE3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0117"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業務管理</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C9137"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正職員（現場管理職員）が随行・監督。「咄嗟の判断」は組織がカバー</w:t>
            </w:r>
          </w:p>
        </w:tc>
      </w:tr>
      <w:tr w:rsidR="00401FDB" w:rsidRPr="00791421" w14:paraId="2DA05871"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4E28F21E"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信頼スコア制</w:t>
            </w:r>
          </w:p>
        </w:tc>
        <w:tc>
          <w:tcPr>
            <w:tcW w:w="576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13DD58B2"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過去の勤怠実績を数値化。高スコア保持者のみ上位業務へエントリー可</w:t>
            </w:r>
          </w:p>
        </w:tc>
      </w:tr>
      <w:tr w:rsidR="00401FDB" w:rsidRPr="00791421" w14:paraId="6208553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DAE3B"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在宅対応</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1FCB4"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完全在宅のリモートタスクも対象。地域の業務格差を補完</w:t>
            </w:r>
          </w:p>
        </w:tc>
      </w:tr>
    </w:tbl>
    <w:p w14:paraId="74B8FD6F" w14:textId="77777777" w:rsidR="00401FDB" w:rsidRPr="00791421" w:rsidRDefault="00401FDB">
      <w:pPr>
        <w:spacing w:before="0" w:after="120" w:line="360" w:lineRule="auto"/>
        <w:rPr>
          <w:rFonts w:ascii="Meiryo UI" w:eastAsia="Meiryo UI" w:hAnsi="Meiryo UI" w:cs="Meiryo UI"/>
        </w:rPr>
      </w:pPr>
    </w:p>
    <w:p w14:paraId="77DF73D9" w14:textId="77777777" w:rsidR="00401FDB" w:rsidRPr="00791421" w:rsidRDefault="00000000">
      <w:pPr>
        <w:pStyle w:val="2"/>
        <w:rPr>
          <w:rFonts w:ascii="Meiryo UI" w:eastAsia="Meiryo UI" w:hAnsi="Meiryo UI" w:cs="Meiryo UI"/>
        </w:rPr>
        <w:spacing w:before="240" w:after="80" w:line="360" w:lineRule="auto"/>
      </w:pPr>
      <w:r>
        <w:rPr>
          <w:rFonts w:ascii="Meiryo UI" w:eastAsia="Meiryo UI" w:hAnsi="Meiryo UI" w:cs="Meiryo UI"/>
        </w:rPr>
        <w:t>第3段階：「準企業職員制度」── 民間企業をタスク型雇用へ移行</w:t>
      </w:r>
    </w:p>
    <w:p w14:paraId="526C34A8"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法定雇用率の評価基準を「人数」から「社会参画総量（SCPポイント）」へ転換する。義務SCPポイント＝不足人数×120P（1P＝1時間）。企業はA：直接雇用・B：職場浸透・C：拠出代替（上限50%）の三レーンを組み合わせて達成する。Bレーンは①月次取り組みレポート（1P/月・年間上限6P）②インターン受け入れ完了（1日8P・1週間24P・1ヶ月以上36P）③混合PJ完了（実施記録のみ・成果物不要・12P/件）の3層構造とする。①の審査はハローワークが担い（民間企業向け窓口業務として既存フローに統合）、③の確認は推進局が担う（現場専門知見を活用）。推進局は独立した現場運営組織として現場専念を制度的に保護する。D&amp;I研修はポイント対象外としインターン受け入れエントリーの解禁条件に位置づける（年2回＋各予備1回、受け入れ部署全員受講必須）。本制度はタスク型雇用を前提とするため、担当者が終日対応し続ける必要がなく中小企業でも受け入れが現実的な選択肢となる。拠出金は月次仮納付（前月確定ポイントの不足分を概算納付）＋年度末精算（3月末確定・翌年5月末に過不足調整）の設計とし、企業の財務計画の安定化と財源の平準化を図る。四半期ごとの中間チェックにより年度末の駆け込み受け入れを防止する。推進局本部の人員規模（民間企業対応分）は政令指定都市20〜30人・中核市8〜15人・一般市3〜6人・町村2〜3人を目安とする（拠点人員は別途、準公務職員制度の運用体制の節に記載）。</w:t>
      </w:r>
    </w:p>
    <w:p w14:paraId="1C2CEF5E" w14:textId="77777777" w:rsidR="00401FDB" w:rsidRPr="00791421" w:rsidRDefault="00401FDB">
      <w:pPr>
        <w:spacing w:before="0" w:after="120" w:line="360" w:lineRule="auto"/>
        <w:rPr>
          <w:rFonts w:ascii="Meiryo UI" w:eastAsia="Meiryo UI" w:hAnsi="Meiryo UI" w:cs="Meiryo U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401FDB" w:rsidRPr="00791421" w14:paraId="749258E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02E7B6EE"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選択肢</w:t>
            </w:r>
          </w:p>
        </w:tc>
        <w:tc>
          <w:tcPr>
            <w:tcW w:w="380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0E616A68"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内容</w:t>
            </w:r>
          </w:p>
        </w:tc>
        <w:tc>
          <w:tcPr>
            <w:tcW w:w="276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4A3BD620"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企業メリット</w:t>
            </w:r>
          </w:p>
        </w:tc>
      </w:tr>
      <w:tr w:rsidR="00401FDB" w:rsidRPr="00791421" w14:paraId="4BEC2E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95024"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タスク型雇用</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42DCD"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Aレーン（直接雇用）：実働時間×1P（上限なし）／Bレーン（職場浸透）：①月次レポート1P/月（年間上限6P）②インターン受け入れ1日8P・1週間24P・1ヶ月36P③混合PJ完了12P/件（実施記録のみ・成果物不要）上限30%／D&amp;I研修はポイント対象外・受け入れ解禁条件（年2回＋予備各1回・部署単位全員受講必須）</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DD835"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障害者の当事者知見（アクセシビリティ改善・UI評価等）を本業の価値創造に直結させる活用が可能</w:t>
            </w:r>
          </w:p>
        </w:tc>
      </w:tr>
      <w:tr w:rsidR="00401FDB" w:rsidRPr="00791421" w14:paraId="4F50E8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3EC8E491"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雇用代替拠出金</w:t>
            </w:r>
          </w:p>
        </w:tc>
        <w:tc>
          <w:tcPr>
            <w:tcW w:w="38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3BF57075"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Cレーン（拠出代替）：不足ポイント×1,500円（上限50%。拠出金のみで全義務完了は不可）</w:t>
            </w:r>
          </w:p>
        </w:tc>
        <w:tc>
          <w:tcPr>
            <w:tcW w:w="276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51E813EA"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専門外の労務管理・業務創出コストから完全解放</w:t>
            </w:r>
          </w:p>
        </w:tc>
      </w:tr>
    </w:tbl>
    <w:p w14:paraId="6E049BAB" w14:textId="77777777" w:rsidR="00401FDB" w:rsidRPr="00791421" w:rsidRDefault="00401FDB">
      <w:pPr>
        <w:spacing w:before="0" w:after="120" w:line="360" w:lineRule="auto"/>
        <w:rPr>
          <w:rFonts w:ascii="Meiryo UI" w:eastAsia="Meiryo UI" w:hAnsi="Meiryo UI" w:cs="Meiryo UI"/>
        </w:rPr>
      </w:pPr>
    </w:p>
    <w:p w14:paraId="41D4EB94"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拠出金は不足ポイント×1,500円の連続計算（1P＝1,500円×120P＝18万円は1人分の給与原資と一致）。実雇用企業は管理コスト消滅により現行より負担が下がる。拠出金のみで乗り切る企業の負担は現行の約1.8倍となり正当な社会的負担が生じる設計とする。企業の「拠出金選択」はESG開示で可視化され、積極的雇用企業が市場で正当に評価される設計とする。特例子会社については、業務をコンスタントに創出できるなら存続、できない場合は解散も合理的判断として企業自治に委ねる。</w:t>
      </w:r>
    </w:p>
    <w:p w14:paraId="205E5B5E" w14:textId="77777777" w:rsidR="00401FDB" w:rsidRPr="00791421" w:rsidRDefault="00000000">
      <w:pPr>
        <w:pStyle w:val="1"/>
        <w:pBdr>
          <w:bottom w:val="single" w:sz="8" w:space="4" w:color="1A1410"/>
        </w:pBdr>
        <w:rPr>
          <w:rFonts w:ascii="Meiryo UI" w:eastAsia="Meiryo UI" w:hAnsi="Meiryo UI" w:cs="Meiryo UI"/>
        </w:rPr>
        <w:spacing w:before="360" w:after="120" w:line="360" w:lineRule="auto"/>
      </w:pPr>
      <w:r>
        <w:rPr>
          <w:rFonts w:ascii="Meiryo UI" w:eastAsia="Meiryo UI" w:hAnsi="Meiryo UI" w:cs="Meiryo UI"/>
        </w:rPr>
        <w:t>3．財源構造　── 増税なしの自律循環モデル</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01FDB" w:rsidRPr="00791421" w14:paraId="1F385637"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5EE3ED61"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財源</w:t>
            </w:r>
          </w:p>
        </w:tc>
        <w:tc>
          <w:tcPr>
            <w:tcW w:w="616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69167FF9"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内容</w:t>
            </w:r>
          </w:p>
        </w:tc>
      </w:tr>
      <w:tr w:rsidR="00401FDB" w:rsidRPr="00791421" w14:paraId="3CC766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03EE4"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雇用代替拠出金</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99289"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雇用が困難な企業からの拠出金を直接年金原資へ充当</w:t>
            </w:r>
          </w:p>
        </w:tc>
      </w:tr>
      <w:tr w:rsidR="00401FDB" w:rsidRPr="00791421" w14:paraId="6641A7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48A91AA8"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補助金の一本化</w:t>
            </w:r>
          </w:p>
        </w:tc>
        <w:tc>
          <w:tcPr>
            <w:tcW w:w="616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1A706E3C"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現行の複雑な補助金体系を整理・直接給付へ集約し、行政コストを圧縮</w:t>
            </w:r>
          </w:p>
        </w:tc>
      </w:tr>
      <w:tr w:rsidR="00401FDB" w:rsidRPr="00791421" w14:paraId="3CF13F8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25A7C"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初期財政措置</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65329"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導入初期の不足財源は国債発行を含む政府支出で対応（インフレ率・国債残高を監視指標に設定）</w:t>
            </w:r>
          </w:p>
        </w:tc>
      </w:tr>
      <w:tr w:rsidR="00401FDB" w:rsidRPr="00791421" w14:paraId="332407E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0E1E428F"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中長期の自律化</w:t>
            </w:r>
          </w:p>
        </w:tc>
        <w:tc>
          <w:tcPr>
            <w:tcW w:w="616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39EC23BE"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経済活性化による税収増を通じ、拠出金・補助金整理との三位一体で自律財源へ移行</w:t>
            </w:r>
          </w:p>
        </w:tc>
      </w:tr>
    </w:tbl>
    <w:p w14:paraId="08507853" w14:textId="77777777" w:rsidR="00401FDB" w:rsidRPr="00791421" w:rsidRDefault="00401FDB">
      <w:pPr>
        <w:spacing w:before="0" w:after="120" w:line="360" w:lineRule="auto"/>
        <w:rPr>
          <w:rFonts w:ascii="Meiryo UI" w:eastAsia="Meiryo UI" w:hAnsi="Meiryo UI" w:cs="Meiryo UI"/>
        </w:rPr>
      </w:pPr>
    </w:p>
    <w:p w14:paraId="1224B33D"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10カ年の段階的施行を提案。「順調シナリオ」（既存施設・民間連携を最大活用）と「停滞シナリオ」（老朽化・採用難・企業移行遅延）の双方で財源シミュレーションを実施済み。恒久的な国債依存を前提とするものではない。</w:t>
      </w:r>
    </w:p>
    <w:p w14:paraId="24FCEFA6" w14:textId="77777777" w:rsidR="00401FDB" w:rsidRPr="00791421" w:rsidRDefault="00000000">
      <w:pPr>
        <w:pStyle w:val="1"/>
        <w:pBdr>
          <w:bottom w:val="single" w:sz="8" w:space="4" w:color="1A1410"/>
        </w:pBdr>
        <w:rPr>
          <w:rFonts w:ascii="Meiryo UI" w:eastAsia="Meiryo UI" w:hAnsi="Meiryo UI" w:cs="Meiryo UI"/>
        </w:rPr>
        <w:spacing w:before="360" w:after="120" w:line="360" w:lineRule="auto"/>
      </w:pPr>
      <w:r>
        <w:rPr>
          <w:rFonts w:ascii="Meiryo UI" w:eastAsia="Meiryo UI" w:hAnsi="Meiryo UI" w:cs="Meiryo UI"/>
        </w:rPr>
        <w:t>4．国際的根拠　── 日本の現状は「過大な要求」ではない</w:t>
      </w:r>
    </w:p>
    <w:p w14:paraId="16826788"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本提言が求める年金増額は、国際標準から見て「過大な要求」ではなく「最低限の是正」である。</w:t>
      </w:r>
    </w:p>
    <w:p w14:paraId="23CA9709" w14:textId="77777777" w:rsidR="00401FDB" w:rsidRPr="00791421" w:rsidRDefault="00401FDB">
      <w:pPr>
        <w:spacing w:before="0" w:after="120" w:line="360" w:lineRule="auto"/>
        <w:rPr>
          <w:rFonts w:ascii="Meiryo UI" w:eastAsia="Meiryo UI" w:hAnsi="Meiryo UI" w:cs="Meiryo UI"/>
        </w:rPr>
      </w:pPr>
    </w:p>
    <w:p w14:paraId="2E110AD0"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以下の給付額の格差は、単なる財政規模の差ではない。「企業雇用を生活保障の代替にする」か、「国が生活基盤を先に確立し、企業雇用を社会参加の上乗せにする」か——制度の設計思想の根本的な違いが、給付水準・雇用義務のあり方・家族負担の構造をすべて決定している。日本の現行制度は、この順番が逆転したまま半世紀以上が経過している。</w:t>
      </w:r>
    </w:p>
    <w:p w14:paraId="5ED89F88" w14:textId="77777777" w:rsidR="00401FDB" w:rsidRPr="00791421" w:rsidRDefault="00401FDB">
      <w:pPr>
        <w:spacing w:before="0" w:after="120" w:line="360" w:lineRule="auto"/>
        <w:rPr>
          <w:rFonts w:ascii="Meiryo UI" w:eastAsia="Meiryo UI" w:hAnsi="Meiryo UI" w:cs="Meiryo U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01FDB" w:rsidRPr="00791421" w14:paraId="4AF7151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376D19AB"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国</w:t>
            </w:r>
          </w:p>
        </w:tc>
        <w:tc>
          <w:tcPr>
            <w:tcW w:w="348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6F7E9939"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障害年金月額（参考換算）</w:t>
            </w:r>
          </w:p>
        </w:tc>
        <w:tc>
          <w:tcPr>
            <w:tcW w:w="348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66C91352"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雇用義務未達時のペナルティ（月額）</w:t>
            </w:r>
          </w:p>
        </w:tc>
      </w:tr>
      <w:tr w:rsidR="00401FDB" w:rsidRPr="00791421" w14:paraId="15E08A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2020F"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日本（1級・現行）</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5AAF9"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約9.5万円（障害基礎年金88,260円＋生活者支援給付金7,025円）</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D1521"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約5万円</w:t>
            </w:r>
          </w:p>
        </w:tc>
      </w:tr>
      <w:tr w:rsidR="00401FDB" w:rsidRPr="00791421" w14:paraId="0826F7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62399EF5"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フランス</w:t>
            </w:r>
          </w:p>
        </w:tc>
        <w:tc>
          <w:tcPr>
            <w:tcW w:w="348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5793F797"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約17万円（AAH）</w:t>
            </w:r>
          </w:p>
        </w:tc>
        <w:tc>
          <w:tcPr>
            <w:tcW w:w="348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628E4CD8"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約3万円〜</w:t>
            </w:r>
          </w:p>
        </w:tc>
      </w:tr>
      <w:tr w:rsidR="00401FDB" w:rsidRPr="00791421" w14:paraId="1EDD24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CEFD8"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ドイツ</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26BB"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約26万円（平均）</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CB80B"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約12万円（日本の約2.4倍）</w:t>
            </w:r>
          </w:p>
        </w:tc>
      </w:tr>
      <w:tr w:rsidR="00401FDB" w:rsidRPr="00791421" w14:paraId="3BE40B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24DCD65C"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デンマーク</w:t>
            </w:r>
          </w:p>
        </w:tc>
        <w:tc>
          <w:tcPr>
            <w:tcW w:w="348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47183C3F"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約31万円（2025年）</w:t>
            </w:r>
          </w:p>
        </w:tc>
        <w:tc>
          <w:tcPr>
            <w:tcW w:w="348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07CC18E7"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高額（法的義務）</w:t>
            </w:r>
          </w:p>
        </w:tc>
      </w:tr>
      <w:tr w:rsidR="00401FDB" w:rsidRPr="00791421" w14:paraId="55FF2B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9B5BE"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ノルウェー</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E131D"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約36万円（最低保障）</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0183F"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高額（法的義務）</w:t>
            </w:r>
          </w:p>
        </w:tc>
      </w:tr>
      <w:tr w:rsidR="00401FDB" w:rsidRPr="00791421" w14:paraId="427EEA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2E100001"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スウェーデン</w:t>
            </w:r>
          </w:p>
        </w:tc>
        <w:tc>
          <w:tcPr>
            <w:tcW w:w="348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5393E82D"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約19〜33万円（Sjukersättning）</w:t>
            </w:r>
          </w:p>
        </w:tc>
        <w:tc>
          <w:tcPr>
            <w:tcW w:w="348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6C3EDBB0"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低額（就労統合型・雇用率制度なし）</w:t>
            </w:r>
          </w:p>
        </w:tc>
      </w:tr>
      <w:tr w:rsidR="00401FDB" w:rsidRPr="00791421" w14:paraId="38B6FF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2E200001"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オランダ</w:t>
            </w:r>
          </w:p>
        </w:tc>
        <w:tc>
          <w:tcPr>
            <w:tcW w:w="348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1A053146"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約34〜50万円（WIA-IVA 前職75%）</w:t>
            </w:r>
          </w:p>
        </w:tc>
        <w:tc>
          <w:tcPr>
            <w:tcW w:w="348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5440101D"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高額（法的義務）</w:t>
            </w:r>
          </w:p>
        </w:tc>
      </w:tr>
      <w:tr w:rsidR="00401FDB" w:rsidRPr="00791421" w14:paraId="63675F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2E300001"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イギリス</w:t>
            </w:r>
          </w:p>
        </w:tc>
        <w:tc>
          <w:tcPr>
            <w:tcW w:w="348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5F75B376"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約16〜19万円（PIP＋ESA）</w:t>
            </w:r>
          </w:p>
        </w:tc>
        <w:tc>
          <w:tcPr>
            <w:tcW w:w="348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41729267"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高額（法的義務）</w:t>
            </w:r>
          </w:p>
        </w:tc>
      </w:tr>
    </w:tbl>
    <w:p w14:paraId="5C010001" w14:textId="77777777" w:rsidR="00401FDB" w:rsidRPr="00791421" w:rsidRDefault="00401FDB">
      <w:pPr>
        <w:spacing w:after="120" w:before="0" w:line="360" w:lineRule="auto"/>
        <w:rPr>
          <w:rFonts w:ascii="Meiryo UI" w:eastAsia="Meiryo UI" w:hAnsi="Meiryo UI" w:cs="Meiryo UI"/>
          <w:color w:val="5A4A3A"/>
          <w:sz w:val="18"/>
          <w:szCs w:val="18"/>
        </w:rPr>
      </w:pPr>
      <w:r>
        <w:rPr>
          <w:rFonts w:ascii="Meiryo UI" w:eastAsia="Meiryo UI" w:hAnsi="Meiryo UI" w:cs="Meiryo UI"/>
          <w:b/>
          <w:bCs/>
          <w:color w:val="5A4A3A"/>
          <w:sz w:val="18"/>
          <w:szCs w:val="18"/>
        </w:rPr>
        <w:t>【他資料との数値差異について】</w:t>
      </w:r>
      <w:r>
        <w:rPr>
          <w:rFonts w:ascii="Meiryo UI" w:eastAsia="Meiryo UI" w:hAnsi="Meiryo UI" w:cs="Meiryo UI"/>
          <w:color w:val="5A4A3A"/>
          <w:sz w:val="18"/>
          <w:szCs w:val="18"/>
        </w:rPr>
        <w:t xml:space="preserve">　上表の数値は読者への訴求を優先した代表値（最低保障額または平均額）です。文書①（次世代型）の同表は住宅補助等の付随給付を含む下限〜上限のレンジ表示のため合計が高くなる場合があります。また別冊「国際比較データ集」は年金本体のみの詳細数値を掲載しています。いずれも「日本の障害基礎年金1級（約9.5万円）が欧州各国の3分の1以下」という事実認定は共通です。数値の根拠・出典の詳細は別冊を参照してください。</w:t>
      </w:r>
    </w:p>
    <w:p w14:paraId="393424F7" w14:textId="77777777" w:rsidR="00401FDB" w:rsidRPr="00791421" w:rsidRDefault="00401FDB">
      <w:pPr>
        <w:spacing w:before="0" w:after="120" w:line="360" w:lineRule="auto"/>
        <w:rPr>
          <w:rFonts w:ascii="Meiryo UI" w:eastAsia="Meiryo UI" w:hAnsi="Meiryo UI" w:cs="Meiryo U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01FDB" w:rsidRPr="00791421" w14:paraId="2CF4577D" w14:textId="77777777">
        <w:tc>
          <w:tcPr>
            <w:tcW w:w="9360" w:type="dxa"/>
            <w:tcBorders>
              <w:top w:val="single" w:sz="1" w:space="0" w:color="CCCCCC"/>
              <w:left w:val="single" w:sz="1" w:space="0" w:color="CCCCCC"/>
              <w:bottom w:val="single" w:sz="1" w:space="0" w:color="CCCCCC"/>
              <w:right w:val="single" w:sz="1" w:space="0" w:color="CCCCCC"/>
            </w:tcBorders>
            <w:shd w:val="clear" w:color="auto" w:fill="F0EBE3"/>
            <w:tcMar>
              <w:top w:w="120" w:type="dxa"/>
              <w:left w:w="180" w:type="dxa"/>
              <w:bottom w:w="120" w:type="dxa"/>
              <w:right w:w="180" w:type="dxa"/>
            </w:tcMar>
          </w:tcPr>
          <w:p w14:paraId="207AE74E"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1A1410"/>
              </w:rPr>
              <w:t>Key Finding</w:t>
            </w:r>
          </w:p>
          <w:p w14:paraId="2608716E"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ずるい・怠けだ」論争は給付水準が高い北欧ほど小さく、水準の低いイギリスで最も激化した。決定的な差は「審査の透明性」「就労すれば得をする設計」「不正認定率の公開」の3点にある。本提言はAI判定・数値化審査・信頼スコア制によりこの3点を全て内包する。</w:t>
            </w:r>
          </w:p>
        </w:tc>
      </w:tr>
    </w:tbl>
    <w:p w14:paraId="34CD17AC" w14:textId="77777777" w:rsidR="00401FDB" w:rsidRPr="00791421" w:rsidRDefault="00000000">
      <w:pPr>
        <w:pStyle w:val="1"/>
        <w:pBdr>
          <w:bottom w:val="single" w:sz="8" w:space="4" w:color="1A1410"/>
        </w:pBdr>
        <w:rPr>
          <w:rFonts w:ascii="Meiryo UI" w:eastAsia="Meiryo UI" w:hAnsi="Meiryo UI" w:cs="Meiryo UI"/>
        </w:rPr>
        <w:spacing w:before="360" w:after="120" w:line="360" w:lineRule="auto"/>
      </w:pPr>
      <w:r>
        <w:rPr>
          <w:rFonts w:ascii="Meiryo UI" w:eastAsia="Meiryo UI" w:hAnsi="Meiryo UI" w:cs="Meiryo UI"/>
        </w:rPr>
        <w:t>5．期待される社会的効果</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1FDB" w:rsidRPr="00791421" w14:paraId="36DA6A5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3B120357"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対象</w:t>
            </w:r>
          </w:p>
        </w:tc>
        <w:tc>
          <w:tcPr>
            <w:tcW w:w="636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3D1702FD"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FFFFFF"/>
                <w:sz w:val="20"/>
                <w:szCs w:val="20"/>
              </w:rPr>
              <w:t>主な効果</w:t>
            </w:r>
          </w:p>
        </w:tc>
      </w:tr>
      <w:tr w:rsidR="00401FDB" w:rsidRPr="00791421" w14:paraId="69BA8B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E81EA"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障害者当事者</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AE6F1"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家族に依存せず自立できる経済基盤の確立。社会参加・役割・将来見通しの回復</w:t>
            </w:r>
          </w:p>
        </w:tc>
      </w:tr>
      <w:tr w:rsidR="00401FDB" w:rsidRPr="00791421" w14:paraId="62AF88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3499139F"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家族</w:t>
            </w:r>
          </w:p>
        </w:tc>
        <w:tc>
          <w:tcPr>
            <w:tcW w:w="636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6F9282C4"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経済的介護・心理的拘束・地理的制約からの解放。「親亡き後」への不安解消</w:t>
            </w:r>
          </w:p>
        </w:tc>
      </w:tr>
      <w:tr w:rsidR="00401FDB" w:rsidRPr="00791421" w14:paraId="57815C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079D0"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企業</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DE25A"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不要な業務創出・管理コスト（年間80〜200万円／名）の削減。本業集中による競争力回復</w:t>
            </w:r>
          </w:p>
        </w:tc>
      </w:tr>
      <w:tr w:rsidR="00401FDB" w:rsidRPr="00791421" w14:paraId="29B01C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18CA82D9"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自治体・地域社会</w:t>
            </w:r>
          </w:p>
        </w:tc>
        <w:tc>
          <w:tcPr>
            <w:tcW w:w="6360" w:type="dxa"/>
            <w:tcBorders>
              <w:top w:val="single" w:sz="1" w:space="0" w:color="CCCCCC"/>
              <w:left w:val="single" w:sz="1" w:space="0" w:color="CCCCCC"/>
              <w:bottom w:val="single" w:sz="1" w:space="0" w:color="CCCCCC"/>
              <w:right w:val="single" w:sz="1" w:space="0" w:color="CCCCCC"/>
            </w:tcBorders>
            <w:shd w:val="clear" w:color="auto" w:fill="F5F0EC"/>
            <w:tcMar>
              <w:top w:w="80" w:type="dxa"/>
              <w:left w:w="120" w:type="dxa"/>
              <w:bottom w:w="80" w:type="dxa"/>
              <w:right w:w="120" w:type="dxa"/>
            </w:tcMar>
          </w:tcPr>
          <w:p w14:paraId="2C0A7ED3"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人手不足で放置されていた公共サービスの補完。地域インフラの維持・強化</w:t>
            </w:r>
          </w:p>
        </w:tc>
      </w:tr>
      <w:tr w:rsidR="00401FDB" w:rsidRPr="00791421" w14:paraId="7525E8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CB3A4"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社会全体</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48101"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sz w:val="20"/>
                <w:szCs w:val="20"/>
              </w:rPr>
              <w:t>リソースのミスマッチ解消・国力の最大化。就労困難な生活保護受給者の社会復帰</w:t>
            </w:r>
          </w:p>
        </w:tc>
      </w:tr>
    </w:tbl>
    <w:p w14:paraId="4A6171AB" w14:textId="77777777" w:rsidR="00401FDB" w:rsidRPr="00791421" w:rsidRDefault="00000000">
      <w:pPr>
        <w:pStyle w:val="1"/>
        <w:pBdr>
          <w:bottom w:val="single" w:sz="8" w:space="4" w:color="1A1410"/>
        </w:pBdr>
        <w:rPr>
          <w:rFonts w:ascii="Meiryo UI" w:eastAsia="Meiryo UI" w:hAnsi="Meiryo UI" w:cs="Meiryo UI"/>
        </w:rPr>
        <w:spacing w:before="360" w:after="120" w:line="360" w:lineRule="auto"/>
      </w:pPr>
      <w:r>
        <w:rPr>
          <w:rFonts w:ascii="Meiryo UI" w:eastAsia="Meiryo UI" w:hAnsi="Meiryo UI" w:cs="Meiryo UI"/>
        </w:rPr>
        <w:t>6．本提言が求めるもの</w:t>
      </w:r>
    </w:p>
    <w:p w14:paraId="17527B93"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本提言は「現行制度の破壊」を求めるものではない。先人たちが命がけで切り拓いた「障害者が社会に存在できる場」という土台を継承しながら、その上に「障害者が社会の中で自立して生きられる」という次の段階を積み上げる——それは破壊ではなく、深化である。</w:t>
      </w:r>
    </w:p>
    <w:p w14:paraId="525B70B2" w14:textId="77777777" w:rsidR="00401FDB" w:rsidRPr="00791421" w:rsidRDefault="00401FDB">
      <w:pPr>
        <w:spacing w:before="0" w:after="120" w:line="360" w:lineRule="auto"/>
        <w:rPr>
          <w:rFonts w:ascii="Meiryo UI" w:eastAsia="Meiryo UI" w:hAnsi="Meiryo UI" w:cs="Meiryo U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01FDB" w:rsidRPr="00791421" w14:paraId="59419772" w14:textId="77777777">
        <w:tc>
          <w:tcPr>
            <w:tcW w:w="9360" w:type="dxa"/>
            <w:tcBorders>
              <w:top w:val="single" w:sz="1" w:space="0" w:color="CCCCCC"/>
              <w:left w:val="single" w:sz="1" w:space="0" w:color="CCCCCC"/>
              <w:bottom w:val="single" w:sz="1" w:space="0" w:color="CCCCCC"/>
              <w:right w:val="single" w:sz="1" w:space="0" w:color="CCCCCC"/>
            </w:tcBorders>
            <w:shd w:val="clear" w:color="auto" w:fill="F0EBE3"/>
            <w:tcMar>
              <w:top w:w="120" w:type="dxa"/>
              <w:left w:w="180" w:type="dxa"/>
              <w:bottom w:w="120" w:type="dxa"/>
              <w:right w:w="180" w:type="dxa"/>
            </w:tcMar>
          </w:tcPr>
          <w:p w14:paraId="18FF42A5" w14:textId="77777777" w:rsidR="00401FDB" w:rsidRPr="00791421" w:rsidRDefault="00000000">
            <w:pPr>
              <w:rPr>
                <w:rFonts w:ascii="Meiryo UI" w:eastAsia="Meiryo UI" w:hAnsi="Meiryo UI" w:cs="Meiryo UI"/>
              </w:rPr>
              <w:spacing w:before="0" w:after="120" w:line="360" w:lineRule="auto"/>
            </w:pPr>
            <w:r>
              <w:rPr>
                <w:rFonts w:ascii="Meiryo UI" w:eastAsia="Meiryo UI" w:hAnsi="Meiryo UI" w:cs="Meiryo UI"/>
                <w:b/>
                <w:bCs/>
                <w:color w:val="1A1410"/>
              </w:rPr>
              <w:t>本提言が提案する新たな社会契約</w:t>
            </w:r>
          </w:p>
          <w:p w14:paraId="13AC6F96" w14:textId="77777777" w:rsidR="00401FDB" w:rsidRPr="00791421" w:rsidRDefault="00000000">
            <w:pPr>
              <w:spacing w:before="0" w:after="120" w:line="360" w:lineRule="auto"/>
              <w:rPr>
                <w:rFonts w:ascii="Meiryo UI" w:eastAsia="Meiryo UI" w:hAnsi="Meiryo UI" w:cs="Meiryo UI"/>
              </w:rPr>
            </w:pPr>
            <w:r>
              <w:rPr>
                <w:rFonts w:ascii="Meiryo UI" w:eastAsia="Meiryo UI" w:hAnsi="Meiryo UI" w:cs="Meiryo UI"/>
              </w:rPr>
              <w:t>障害者を「準職員」として社会インフラに組み込む——これは福祉コストの拡大ではなく、現在すでに家族と企業が非効率に負担しているコストを、社会全体で合理的に再配分することである。企業は本業に集中でき、家族は介護から解放され、当事者は尊厳をもって自立できる。三者が同時に利益を得るこの設計こそ、持続可能な社会の基盤となる。</w:t>
            </w:r>
          </w:p>
        </w:tc>
      </w:tr>
    </w:tbl>
    <w:p w14:paraId="445BD4F8" w14:textId="77777777" w:rsidR="00401FDB" w:rsidRPr="00791421" w:rsidRDefault="00401FDB">
      <w:pPr>
        <w:spacing w:before="0" w:after="120" w:line="360" w:lineRule="auto"/>
        <w:rPr>
          <w:rFonts w:ascii="Meiryo UI" w:eastAsia="Meiryo UI" w:hAnsi="Meiryo UI" w:cs="Meiryo UI"/>
        </w:rPr>
      </w:pPr>
    </w:p>
    <w:p w14:paraId="1205FECB" w14:textId="77777777" w:rsidR="00401FDB" w:rsidRPr="00FA0F8C" w:rsidRDefault="00000000">
      <w:pPr>
        <w:spacing w:before="0" w:after="120" w:line="360" w:lineRule="auto"/>
        <w:jc w:val="right"/>
        <w:rPr>
          <w:b/>
          <w:bCs/>
          <w:sz w:val="20"/>
          <w:szCs w:val="20"/>
        </w:rPr>
      </w:pPr>
      <w:r>
        <w:rPr>
          <w:rFonts w:ascii="Meiryo UI" w:eastAsia="Meiryo UI" w:hAnsi="Meiryo UI" w:cs="Meiryo UI"/>
          <w:b/>
          <w:bCs/>
          <w:color w:val="888888"/>
          <w:sz w:val="20"/>
          <w:szCs w:val="20"/>
        </w:rPr>
        <w:t>※ 別冊では以下を詳述：序章（制度の歴史的経緯）／制度設計（法整備・運用実務）／財源シミュレーション（10カ年・2シナリオ）／国際比較データ（7カ国）／FAQ（財源・運用・思想的背景）</w:t>
      </w:r>
    </w:p>
    <w:sectPr w:rsidR="00401FDB" w:rsidRPr="00FA0F8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C1235" w14:textId="77777777" w:rsidR="00AB5DEF" w:rsidRDefault="00AB5DEF" w:rsidP="00FA0F8C">
      <w:r>
        <w:separator/>
      </w:r>
    </w:p>
  </w:endnote>
  <w:endnote w:type="continuationSeparator" w:id="0">
    <w:p w14:paraId="7DD64D75" w14:textId="77777777" w:rsidR="00AB5DEF" w:rsidRDefault="00AB5DEF" w:rsidP="00FA0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262E" w14:textId="77777777" w:rsidR="00AB5DEF" w:rsidRDefault="00AB5DEF" w:rsidP="00FA0F8C">
      <w:r>
        <w:separator/>
      </w:r>
    </w:p>
  </w:footnote>
  <w:footnote w:type="continuationSeparator" w:id="0">
    <w:p w14:paraId="1C583060" w14:textId="77777777" w:rsidR="00AB5DEF" w:rsidRDefault="00AB5DEF" w:rsidP="00FA0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830BD"/>
    <w:multiLevelType w:val="hybridMultilevel"/>
    <w:tmpl w:val="F9805820"/>
    <w:lvl w:ilvl="0" w:tplc="33DC1000">
      <w:start w:val="1"/>
      <w:numFmt w:val="bullet"/>
      <w:lvlText w:val="▸"/>
      <w:lvlJc w:val="left"/>
      <w:pPr>
        <w:spacing w:before="60" w:after="60"/>
        <w:ind w:left="480" w:hanging="240"/>
      </w:pPr>
      <w:rPr>
        <w:rFonts w:ascii="Meiryo UI" w:eastAsia="Meiryo UI" w:hAnsi="Meiryo UI" w:cs="Meiryo UI"/>
      </w:rPr>
    </w:lvl>
    <w:lvl w:ilvl="1" w:tplc="4DD6868C">
      <w:numFmt w:val="decimal"/>
      <w:lvlText w:val=""/>
      <w:lvlJc w:val="left"/>
      <w:pPr>
        <w:spacing w:before="60" w:after="60"/>
        <w:ind w:left="840" w:hanging="240"/>
      </w:pPr>
      <w:rPr>
        <w:rFonts w:ascii="Meiryo UI" w:eastAsia="Meiryo UI" w:hAnsi="Meiryo UI" w:cs="Meiryo UI"/>
      </w:rPr>
    </w:lvl>
    <w:lvl w:ilvl="2" w:tplc="3B76A692">
      <w:numFmt w:val="decimal"/>
      <w:lvlText w:val=""/>
      <w:lvlJc w:val="left"/>
      <w:pPr>
        <w:spacing w:before="60" w:after="60"/>
        <w:ind w:left="1200" w:hanging="240"/>
      </w:pPr>
      <w:rPr>
        <w:rFonts w:ascii="Meiryo UI" w:eastAsia="Meiryo UI" w:hAnsi="Meiryo UI" w:cs="Meiryo UI"/>
      </w:rPr>
    </w:lvl>
    <w:lvl w:ilvl="3" w:tplc="AF8E8C9A">
      <w:numFmt w:val="decimal"/>
      <w:lvlText w:val=""/>
      <w:lvlJc w:val="left"/>
      <w:pPr>
        <w:spacing w:before="60" w:after="60"/>
        <w:ind w:left="1560" w:hanging="240"/>
      </w:pPr>
      <w:rPr>
        <w:rFonts w:ascii="Meiryo UI" w:eastAsia="Meiryo UI" w:hAnsi="Meiryo UI" w:cs="Meiryo UI"/>
      </w:rPr>
    </w:lvl>
    <w:lvl w:ilvl="4" w:tplc="96CE0160">
      <w:numFmt w:val="decimal"/>
      <w:lvlText w:val=""/>
      <w:lvlJc w:val="left"/>
      <w:pPr>
        <w:spacing w:before="60" w:after="60"/>
        <w:ind w:left="1920" w:hanging="240"/>
      </w:pPr>
      <w:rPr>
        <w:rFonts w:ascii="Meiryo UI" w:eastAsia="Meiryo UI" w:hAnsi="Meiryo UI" w:cs="Meiryo UI"/>
      </w:rPr>
    </w:lvl>
    <w:lvl w:ilvl="5" w:tplc="0FEADF46">
      <w:numFmt w:val="decimal"/>
      <w:lvlText w:val=""/>
      <w:lvlJc w:val="left"/>
      <w:pPr>
        <w:spacing w:before="60" w:after="60"/>
        <w:ind w:left="2280" w:hanging="240"/>
      </w:pPr>
      <w:rPr>
        <w:rFonts w:ascii="Meiryo UI" w:eastAsia="Meiryo UI" w:hAnsi="Meiryo UI" w:cs="Meiryo UI"/>
      </w:rPr>
    </w:lvl>
    <w:lvl w:ilvl="6" w:tplc="3AA8C1E8">
      <w:numFmt w:val="decimal"/>
      <w:lvlText w:val=""/>
      <w:lvlJc w:val="left"/>
      <w:pPr>
        <w:spacing w:before="60" w:after="60"/>
        <w:ind w:left="2640" w:hanging="240"/>
      </w:pPr>
      <w:rPr>
        <w:rFonts w:ascii="Meiryo UI" w:eastAsia="Meiryo UI" w:hAnsi="Meiryo UI" w:cs="Meiryo UI"/>
      </w:rPr>
    </w:lvl>
    <w:lvl w:ilvl="7" w:tplc="70D2BDE4">
      <w:numFmt w:val="decimal"/>
      <w:lvlText w:val=""/>
      <w:lvlJc w:val="left"/>
      <w:pPr>
        <w:spacing w:before="60" w:after="60"/>
        <w:ind w:left="3000" w:hanging="240"/>
      </w:pPr>
      <w:rPr>
        <w:rFonts w:ascii="Meiryo UI" w:eastAsia="Meiryo UI" w:hAnsi="Meiryo UI" w:cs="Meiryo UI"/>
      </w:rPr>
    </w:lvl>
    <w:lvl w:ilvl="8" w:tplc="4E98B352">
      <w:numFmt w:val="decimal"/>
      <w:lvlText w:val=""/>
      <w:lvlJc w:val="left"/>
      <w:pPr>
        <w:spacing w:before="60" w:after="60"/>
        <w:ind w:left="3360" w:hanging="240"/>
      </w:pPr>
      <w:rPr>
        <w:rFonts w:ascii="Meiryo UI" w:eastAsia="Meiryo UI" w:hAnsi="Meiryo UI" w:cs="Meiryo UI"/>
      </w:rPr>
    </w:lvl>
  </w:abstractNum>
  <w:abstractNum w:abstractNumId="1" w15:restartNumberingAfterBreak="0">
    <w:nsid w:val="3EFC7FC7"/>
    <w:multiLevelType w:val="hybridMultilevel"/>
    <w:tmpl w:val="7AFEC6DC"/>
    <w:lvl w:ilvl="0" w:tplc="620C0536">
      <w:start w:val="1"/>
      <w:numFmt w:val="bullet"/>
      <w:lvlText w:val="●"/>
      <w:lvlJc w:val="left"/>
      <w:pPr>
        <w:spacing w:before="60" w:after="60"/>
        <w:ind w:left="480" w:hanging="240"/>
      </w:pPr>
      <w:rPr>
        <w:rFonts w:ascii="Meiryo UI" w:eastAsia="Meiryo UI" w:hAnsi="Meiryo UI" w:cs="Meiryo UI"/>
      </w:rPr>
    </w:lvl>
    <w:lvl w:ilvl="1" w:tplc="5AF85458">
      <w:start w:val="1"/>
      <w:numFmt w:val="bullet"/>
      <w:lvlText w:val="○"/>
      <w:lvlJc w:val="left"/>
      <w:pPr>
        <w:spacing w:before="60" w:after="60"/>
        <w:ind w:left="840" w:hanging="240"/>
      </w:pPr>
      <w:rPr>
        <w:rFonts w:ascii="Meiryo UI" w:eastAsia="Meiryo UI" w:hAnsi="Meiryo UI" w:cs="Meiryo UI"/>
      </w:rPr>
    </w:lvl>
    <w:lvl w:ilvl="2" w:tplc="19F04BC4">
      <w:start w:val="1"/>
      <w:numFmt w:val="bullet"/>
      <w:lvlText w:val="■"/>
      <w:lvlJc w:val="left"/>
      <w:pPr>
        <w:spacing w:before="60" w:after="60"/>
        <w:ind w:left="1200" w:hanging="240"/>
      </w:pPr>
      <w:rPr>
        <w:rFonts w:ascii="Meiryo UI" w:eastAsia="Meiryo UI" w:hAnsi="Meiryo UI" w:cs="Meiryo UI"/>
      </w:rPr>
    </w:lvl>
    <w:lvl w:ilvl="3" w:tplc="1F347770">
      <w:start w:val="1"/>
      <w:numFmt w:val="bullet"/>
      <w:lvlText w:val="●"/>
      <w:lvlJc w:val="left"/>
      <w:pPr>
        <w:spacing w:before="60" w:after="60"/>
        <w:ind w:left="1560" w:hanging="240"/>
      </w:pPr>
      <w:rPr>
        <w:rFonts w:ascii="Meiryo UI" w:eastAsia="Meiryo UI" w:hAnsi="Meiryo UI" w:cs="Meiryo UI"/>
      </w:rPr>
    </w:lvl>
    <w:lvl w:ilvl="4" w:tplc="7A1CE932">
      <w:start w:val="1"/>
      <w:numFmt w:val="bullet"/>
      <w:lvlText w:val="○"/>
      <w:lvlJc w:val="left"/>
      <w:pPr>
        <w:spacing w:before="60" w:after="60"/>
        <w:ind w:left="1920" w:hanging="240"/>
      </w:pPr>
      <w:rPr>
        <w:rFonts w:ascii="Meiryo UI" w:eastAsia="Meiryo UI" w:hAnsi="Meiryo UI" w:cs="Meiryo UI"/>
      </w:rPr>
    </w:lvl>
    <w:lvl w:ilvl="5" w:tplc="DABE40D0">
      <w:start w:val="1"/>
      <w:numFmt w:val="bullet"/>
      <w:lvlText w:val="■"/>
      <w:lvlJc w:val="left"/>
      <w:pPr>
        <w:spacing w:before="60" w:after="60"/>
        <w:ind w:left="2280" w:hanging="240"/>
      </w:pPr>
      <w:rPr>
        <w:rFonts w:ascii="Meiryo UI" w:eastAsia="Meiryo UI" w:hAnsi="Meiryo UI" w:cs="Meiryo UI"/>
      </w:rPr>
    </w:lvl>
    <w:lvl w:ilvl="6" w:tplc="CB1A35DC">
      <w:start w:val="1"/>
      <w:numFmt w:val="bullet"/>
      <w:lvlText w:val="●"/>
      <w:lvlJc w:val="left"/>
      <w:pPr>
        <w:spacing w:before="60" w:after="60"/>
        <w:ind w:left="2640" w:hanging="240"/>
      </w:pPr>
      <w:rPr>
        <w:rFonts w:ascii="Meiryo UI" w:eastAsia="Meiryo UI" w:hAnsi="Meiryo UI" w:cs="Meiryo UI"/>
      </w:rPr>
    </w:lvl>
    <w:lvl w:ilvl="7" w:tplc="B27E2498">
      <w:start w:val="1"/>
      <w:numFmt w:val="bullet"/>
      <w:lvlText w:val="●"/>
      <w:lvlJc w:val="left"/>
      <w:pPr>
        <w:spacing w:before="60" w:after="60"/>
        <w:ind w:left="3000" w:hanging="240"/>
      </w:pPr>
      <w:rPr>
        <w:rFonts w:ascii="Meiryo UI" w:eastAsia="Meiryo UI" w:hAnsi="Meiryo UI" w:cs="Meiryo UI"/>
      </w:rPr>
    </w:lvl>
    <w:lvl w:ilvl="8" w:tplc="33941452">
      <w:start w:val="1"/>
      <w:numFmt w:val="bullet"/>
      <w:lvlText w:val="●"/>
      <w:lvlJc w:val="left"/>
      <w:pPr>
        <w:spacing w:before="60" w:after="60"/>
        <w:ind w:left="3360" w:hanging="240"/>
      </w:pPr>
      <w:rPr>
        <w:rFonts w:ascii="Meiryo UI" w:eastAsia="Meiryo UI" w:hAnsi="Meiryo UI" w:cs="Meiryo UI"/>
      </w:rPr>
    </w:lvl>
  </w:abstractNum>
  <w:num w:numId="1" w16cid:durableId="1753040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FDB"/>
    <w:rsid w:val="0003763E"/>
    <w:rsid w:val="00223259"/>
    <w:rsid w:val="00401FDB"/>
    <w:rsid w:val="00582869"/>
    <w:rsid w:val="005A1C05"/>
    <w:rsid w:val="005D17A4"/>
    <w:rsid w:val="006610D7"/>
    <w:rsid w:val="00791421"/>
    <w:rsid w:val="007C2CB4"/>
    <w:rsid w:val="00AB5DEF"/>
    <w:rsid w:val="00B4706C"/>
    <w:rsid w:val="00BF5FBD"/>
    <w:rsid w:val="00D10299"/>
    <w:rsid w:val="00EF287F"/>
    <w:rsid w:val="00F34053"/>
    <w:rsid w:val="00FA0F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DCDA256"/>
  <w15:docId w15:val="{B179003A-4C7E-468E-A918-B7EFF5C5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color w:val="1A1A1A"/>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line="360" w:lineRule="auto"/>
      <w:outlineLvl w:val="0"/>
    </w:pPr>
    <w:rPr>
      <w:rFonts w:ascii="Meiryo UI" w:eastAsia="Meiryo UI" w:hAnsi="Meiryo UI" w:cs="Meiryo UI"/>
      <w:color w:val="1F497D"/>
      <w:sz w:val="32"/>
      <w:szCs w:val="32"/>
      <w:b/>
      <w:bCs/>
    </w:rPr>
  </w:style>
  <w:style w:type="paragraph" w:styleId="2">
    <w:name w:val="heading 2"/>
    <w:uiPriority w:val="9"/>
    <w:unhideWhenUsed/>
    <w:qFormat/>
    <w:pPr>
      <w:spacing w:before="240" w:after="80" w:line="360" w:lineRule="auto"/>
      <w:outlineLvl w:val="1"/>
    </w:pPr>
    <w:rPr>
      <w:rFonts w:ascii="Meiryo UI" w:eastAsia="Meiryo UI" w:hAnsi="Meiryo UI" w:cs="Meiryo UI"/>
      <w:color w:val="2E74B5"/>
      <w:sz w:val="28"/>
      <w:szCs w:val="28"/>
      <w:b/>
      <w:bCs/>
    </w:rPr>
  </w:style>
  <w:style w:type="paragraph" w:styleId="3">
    <w:name w:val="heading 3"/>
    <w:uiPriority w:val="9"/>
    <w:semiHidden/>
    <w:unhideWhenUsed/>
    <w:qFormat/>
    <w:pPr>
      <w:outlineLvl w:val="2"/>
      <w:spacing w:before="200" w:after="60" w:line="360" w:lineRule="auto"/>
    </w:pPr>
    <w:rPr>
      <w:rFonts w:ascii="Meiryo UI" w:eastAsia="Meiryo UI" w:hAnsi="Meiryo UI" w:cs="Meiryo UI"/>
      <w:color w:val="1F497D"/>
      <w:sz w:val="24"/>
      <w:szCs w:val="24"/>
      <w:b/>
      <w:bCs/>
    </w:rPr>
  </w:style>
  <w:style w:type="paragraph" w:styleId="4">
    <w:name w:val="heading 4"/>
    <w:uiPriority w:val="9"/>
    <w:semiHidden/>
    <w:unhideWhenUsed/>
    <w:qFormat/>
    <w:pPr>
      <w:outlineLvl w:val="3"/>
      <w:spacing w:before="160" w:after="40" w:line="360" w:lineRule="auto"/>
    </w:pPr>
    <w:rPr>
      <w:i/>
      <w:iCs/>
      <w:rFonts w:ascii="Meiryo UI" w:eastAsia="Meiryo UI" w:hAnsi="Meiryo UI" w:cs="Meiryo UI"/>
      <w:color w:val="404040"/>
      <w:sz w:val="22"/>
      <w:szCs w:val="22"/>
      <w:b/>
      <w:bCs/>
    </w:rPr>
  </w:style>
  <w:style w:type="paragraph" w:styleId="5">
    <w:name w:val="heading 5"/>
    <w:uiPriority w:val="9"/>
    <w:semiHidden/>
    <w:unhideWhenUsed/>
    <w:qFormat/>
    <w:pPr>
      <w:outlineLvl w:val="4"/>
      <w:spacing w:before="120" w:after="40" w:line="360" w:lineRule="auto"/>
    </w:pPr>
    <w:rPr>
      <w:rFonts w:ascii="Meiryo UI" w:eastAsia="Meiryo UI" w:hAnsi="Meiryo UI" w:cs="Meiryo UI"/>
      <w:color w:val="404040"/>
      <w:sz w:val="22"/>
      <w:szCs w:val="22"/>
    </w:rPr>
  </w:style>
  <w:style w:type="paragraph" w:styleId="6">
    <w:name w:val="heading 6"/>
    <w:uiPriority w:val="9"/>
    <w:semiHidden/>
    <w:unhideWhenUsed/>
    <w:qFormat/>
    <w:pP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unhideWhenUsed/>
    <w:rsid w:val="00FA0F8C"/>
    <w:pPr>
      <w:tabs>
        <w:tab w:val="center" w:pos="4252"/>
        <w:tab w:val="right" w:pos="8504"/>
      </w:tabs>
      <w:snapToGrid w:val="0"/>
    </w:pPr>
  </w:style>
  <w:style w:type="character" w:customStyle="1" w:styleId="aa">
    <w:name w:val="ヘッダー (文字)"/>
    <w:basedOn w:val="a0"/>
    <w:link w:val="a9"/>
    <w:uiPriority w:val="99"/>
    <w:rsid w:val="00FA0F8C"/>
  </w:style>
  <w:style w:type="paragraph" w:styleId="ab">
    <w:name w:val="footer"/>
    <w:basedOn w:val="a"/>
    <w:link w:val="ac"/>
    <w:uiPriority w:val="99"/>
    <w:unhideWhenUsed/>
    <w:rsid w:val="00FA0F8C"/>
    <w:pPr>
      <w:tabs>
        <w:tab w:val="center" w:pos="4252"/>
        <w:tab w:val="right" w:pos="8504"/>
      </w:tabs>
      <w:snapToGrid w:val="0"/>
    </w:pPr>
  </w:style>
  <w:style w:type="character" w:customStyle="1" w:styleId="ac">
    <w:name w:val="フッター (文字)"/>
    <w:basedOn w:val="a0"/>
    <w:link w:val="ab"/>
    <w:uiPriority w:val="99"/>
    <w:rsid w:val="00FA0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H</cp:lastModifiedBy>
  <cp:revision>2</cp:revision>
  <dcterms:created xsi:type="dcterms:W3CDTF">2026-03-16T11:10:00Z</dcterms:created>
  <dcterms:modified xsi:type="dcterms:W3CDTF">2026-03-16T11:10:00Z</dcterms:modified>
</cp:coreProperties>
</file>