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王红艳-答题向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简述T细胞的活化（和增殖）过程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T细胞活化的双信号要求（重点）</w:t>
      </w:r>
      <w:r>
        <w:rPr>
          <w:rFonts w:hint="eastAsia"/>
          <w:lang w:val="en-US" w:eastAsia="zh-CN"/>
        </w:rPr>
        <w:t>：Signal 1：T细胞通过T细胞受体（TCR）识别抗原呈递细胞（APC）的MHC分子呈递的抗原肽段；Signal 2：共刺激信号，T细胞的CD28识别APC的B7 family分子。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抑制信号（重点）</w:t>
      </w:r>
      <w:r>
        <w:rPr>
          <w:rFonts w:hint="eastAsia"/>
          <w:lang w:val="en-US" w:eastAsia="zh-CN"/>
        </w:rPr>
        <w:t>: 活化的T细胞表面的CTLA4，与CD28竞争结合B7 family，从而拮抗其作用；T细胞的PD-1与APC表面的PD-L结合，产生抑制T细胞活化的信号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T细胞活化的信号转导（很复杂，随便写写）：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TCR信号：Lck磷酸化TCR复合物胞内端，招募激酶ZAP-70，磷酸化一系列蛋白后，将PLC-γ招募到细胞膜上，将PIP2降解为DAG和IP3，介导下游信号通路（NF-κB，Ras等），改变基因表达水平，导致细胞增殖分化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CD28信号：启动PKB/Akt ——&gt;NF-κB，促进T细胞生存。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免疫突触：SMAC分子系统拉近T细胞和APC，形成类似突触的结构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整合素也调控T细胞活化和增值（inside-out信号通路，整合素构象变化引起亲和力变化）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T细胞分化</w:t>
      </w:r>
      <w:r>
        <w:rPr>
          <w:rFonts w:hint="eastAsia"/>
          <w:lang w:val="en-US" w:eastAsia="zh-CN"/>
        </w:rPr>
        <w:t>（T细胞都有哪些亚群，他们的分化条件是什么?）</w:t>
      </w:r>
      <w:r>
        <w:rPr>
          <w:rFonts w:hint="eastAsia"/>
          <w:lang w:val="en-US" w:eastAsia="zh-CN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1704"/>
        <w:gridCol w:w="1567"/>
        <w:gridCol w:w="1850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诱导分子</w:t>
            </w:r>
          </w:p>
        </w:tc>
        <w:tc>
          <w:tcPr>
            <w:tcW w:w="15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信号通路</w:t>
            </w:r>
          </w:p>
        </w:tc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分化后所分泌分子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eastAsia"/>
                <w:vertAlign w:val="subscript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Naive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CD4+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 cell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IL-12, IL-18</w:t>
            </w:r>
          </w:p>
        </w:tc>
        <w:tc>
          <w:tcPr>
            <w:tcW w:w="15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T-bet，STAT4</w:t>
            </w:r>
          </w:p>
        </w:tc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IFN-γ, IL-2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促进NK、巨噬细胞(IFN-γ)；T细胞增殖分化(IL-2)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eastAsia"/>
                <w:vertAlign w:val="subscript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IL-4</w:t>
            </w:r>
          </w:p>
        </w:tc>
        <w:tc>
          <w:tcPr>
            <w:tcW w:w="15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GATA-3，STAT6</w:t>
            </w:r>
          </w:p>
        </w:tc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IL-4,5,10,13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过敏（IL-4，13），杀伤寄生虫（IL-5）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eastAsia"/>
                <w:vertAlign w:val="subscript"/>
                <w:lang w:val="en-US" w:eastAsia="zh-CN"/>
              </w:rPr>
              <w:t>H</w:t>
            </w: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TGF-β, IL-6</w:t>
            </w:r>
          </w:p>
        </w:tc>
        <w:tc>
          <w:tcPr>
            <w:tcW w:w="15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RORγt, STAT3</w:t>
            </w:r>
          </w:p>
        </w:tc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IL-17,22,21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促进炎症（IL-17），抑制肿瘤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eastAsia"/>
                <w:vertAlign w:val="subscript"/>
                <w:lang w:val="en-US" w:eastAsia="zh-CN"/>
              </w:rPr>
              <w:t>reg</w:t>
            </w:r>
          </w:p>
        </w:tc>
        <w:tc>
          <w:tcPr>
            <w:tcW w:w="852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TGF-β, IL-12</w:t>
            </w:r>
          </w:p>
        </w:tc>
        <w:tc>
          <w:tcPr>
            <w:tcW w:w="15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Foxp3</w:t>
            </w:r>
          </w:p>
        </w:tc>
        <w:tc>
          <w:tcPr>
            <w:tcW w:w="185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TGF-β, IL-10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下调免疫反应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，此外还有细胞毒性T细胞（CTL，即CD8+T细胞），以及memory T细胞。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CD8+T细胞介导的免疫效应功能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CTL的TCR识别靶细胞表面MHC-I呈递的抗原肽段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CTL释放穿孔素，在靶细胞上打孔，使得颗粒酶GranzymeB进入，激活caspase 使细胞凋亡；CTL的FasL与靶细胞的Fas结合，激活Fas信号通路，从而激活caspase级联，使细胞凋亡。释放IFNγ以及一些其他细胞因子，促进杀伤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CTL循环: 从已杀伤的靶细胞上解离下来，继续杀伤其他细胞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抗体介导的免疫反应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CDC：补体依赖的细胞毒性反应：抗体的Fc段激活一系列补体成分，形成攻膜复合物对靶细胞发生裂解效应。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ADCC：抗体依赖的细胞介导的细胞毒性反应：抗体的Fab段与细胞表面抗原结合，Fc段与杀伤功能的免疫细胞（Fc受体）结合，促进杀伤作用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免疫调理：抗体的Fab段与细菌结合，Fc段与巨噬细胞或中性粒细胞（Fc受体）结合，促进吞噬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模式识别受体的种类和主要功能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模式识别受体(PRR): 天然免疫用以识别对微生物必需的、高度保守的</w:t>
      </w:r>
      <w:r>
        <w:rPr>
          <w:rFonts w:hint="eastAsia"/>
          <w:b/>
          <w:bCs/>
          <w:sz w:val="22"/>
          <w:szCs w:val="28"/>
          <w:lang w:val="en-US" w:eastAsia="zh-CN"/>
        </w:rPr>
        <w:t>病原相关分子模式（PAMP）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的受体，PRR也能识别坏死细胞和损伤组织释放的自体分子，即</w:t>
      </w:r>
      <w:r>
        <w:rPr>
          <w:rFonts w:hint="eastAsia"/>
          <w:b/>
          <w:bCs/>
          <w:sz w:val="22"/>
          <w:szCs w:val="28"/>
          <w:lang w:val="en-US" w:eastAsia="zh-CN"/>
        </w:rPr>
        <w:t>危险相关分子模式（DAMP）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种类和主要功能</w:t>
      </w: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5"/>
        <w:gridCol w:w="1893"/>
        <w:gridCol w:w="5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简称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全称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功能举例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TLR 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Toll样受体家族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识别并结合相应的PAMP或DAMP，诱导炎性细胞因子等表达；激活天然免疫，参与获得性免疫启动并影响其类型和强度（TLR1-11有一张大表：略）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CLR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C-lectin receptors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没讲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RLR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维甲酸诱导基因I样受体家族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识别病毒RNA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NLR 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NOD样受体家族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胞浆型PRR；参与天然免疫应答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cGAS-STING</w:t>
            </w:r>
          </w:p>
        </w:tc>
        <w:tc>
          <w:tcPr>
            <w:tcW w:w="189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DNA识别受体家族</w:t>
            </w:r>
          </w:p>
        </w:tc>
        <w:tc>
          <w:tcPr>
            <w:tcW w:w="511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识别病毒DNA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六、I、II、III和IV型超敏反应的发生机制</w:t>
      </w:r>
      <w:r>
        <w:rPr>
          <w:rFonts w:hint="eastAsia"/>
          <w:b/>
          <w:bCs/>
          <w:sz w:val="22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2"/>
          <w:szCs w:val="28"/>
          <w:lang w:val="en-US" w:eastAsia="zh-CN"/>
        </w:rPr>
        <w:t>超敏反应：机体再次接触相同抗原时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，发生以生理功能紊乱或组织细胞损伤为表现的特异性免疫应答（又称变态反应）</w:t>
      </w:r>
    </w:p>
    <w:tbl>
      <w:tblPr>
        <w:tblStyle w:val="4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7"/>
        <w:gridCol w:w="1783"/>
        <w:gridCol w:w="1946"/>
        <w:gridCol w:w="1597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3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主要参与成分</w:t>
            </w:r>
          </w:p>
        </w:tc>
        <w:tc>
          <w:tcPr>
            <w:tcW w:w="3543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机制</w:t>
            </w:r>
          </w:p>
        </w:tc>
        <w:tc>
          <w:tcPr>
            <w:tcW w:w="145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I类: 过敏反应</w:t>
            </w:r>
          </w:p>
        </w:tc>
        <w:tc>
          <w:tcPr>
            <w:tcW w:w="178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变态原，IgE，效应细胞，（肥大细胞，嗜碱性粒细胞）生物活性介质（组胺等）</w:t>
            </w:r>
          </w:p>
        </w:tc>
        <w:tc>
          <w:tcPr>
            <w:tcW w:w="1946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变态原--&gt;B细胞产生IgE--&gt;效应细胞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FcεRI 结合IgE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相同变态原--&gt;与效应细胞的IgE-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FcεRI 结合--&gt;释放生物活性介质</w:t>
            </w:r>
          </w:p>
        </w:tc>
        <w:tc>
          <w:tcPr>
            <w:tcW w:w="145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过敏性休克，呼吸道、消化道、皮肤过敏反应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II类：细胞溶解型</w:t>
            </w:r>
          </w:p>
        </w:tc>
        <w:tc>
          <w:tcPr>
            <w:tcW w:w="178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自体抗原，抗体（IgG,IgM,IgA）,吞噬细胞，NK，补体</w:t>
            </w:r>
          </w:p>
        </w:tc>
        <w:tc>
          <w:tcPr>
            <w:tcW w:w="3543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抗原--&gt;B细胞产生IgG、IgM，--&gt;ADCC,CDC,巨噬细胞吞噬</w:t>
            </w:r>
          </w:p>
        </w:tc>
        <w:tc>
          <w:tcPr>
            <w:tcW w:w="145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3"/>
                <w:szCs w:val="16"/>
                <w:vertAlign w:val="baseline"/>
                <w:lang w:val="en-US" w:eastAsia="zh-CN"/>
              </w:rPr>
              <w:t>输血反应，新生儿溶血症，自身免疫性溶血性贫血， 药物过敏性血细胞减少，抗肾小球基底膜肾炎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III类：免疫复合物型</w:t>
            </w:r>
          </w:p>
        </w:tc>
        <w:tc>
          <w:tcPr>
            <w:tcW w:w="178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抗原，抗体，细胞（中性粒细胞，嗜碱性粒细胞），血小板，补体</w:t>
            </w:r>
          </w:p>
        </w:tc>
        <w:tc>
          <w:tcPr>
            <w:tcW w:w="3543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可溶性免疫复合物（IC）形成，IC沉积于血管壁、基底膜或组织间隙。激活补体和效应细胞，产生组织损伤</w:t>
            </w:r>
          </w:p>
        </w:tc>
        <w:tc>
          <w:tcPr>
            <w:tcW w:w="145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Arthus反应（动物），血清病，系统性红斑狼疮，类风湿性关节炎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IV类：细胞介导型（迟发型）</w:t>
            </w:r>
          </w:p>
        </w:tc>
        <w:tc>
          <w:tcPr>
            <w:tcW w:w="1783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抗原，致敏T细胞，单核巨噬细胞</w:t>
            </w:r>
          </w:p>
        </w:tc>
        <w:tc>
          <w:tcPr>
            <w:tcW w:w="1946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抗原--&gt;APC抗原呈递--&gt;T细胞增殖分化为致敏T细胞</w:t>
            </w:r>
          </w:p>
        </w:tc>
        <w:tc>
          <w:tcPr>
            <w:tcW w:w="159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相同抗原--&gt;TH1释放细胞因子，产生炎症反应；CTL杀伤细胞。</w:t>
            </w:r>
          </w:p>
        </w:tc>
        <w:tc>
          <w:tcPr>
            <w:tcW w:w="145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接触性皮炎，移植排异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7B29E"/>
    <w:multiLevelType w:val="multilevel"/>
    <w:tmpl w:val="7E77B2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D6408"/>
    <w:rsid w:val="51C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2020-06-20T06:38:00Z</dcterms:created>
  <dc:creator>Alfred</dc:creator>
  <cp:lastModifiedBy>Alfred</cp:lastModifiedBy>
  <dcterms:modified xsi:type="dcterms:W3CDTF">2020-06-20T07:58:35Z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