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朱学良-答题向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以裂殖酵母为例，阐述真核生物的细胞周期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在G1期，G1 cyclin 表达水平缓慢升高，与起始Cdc2激酶结合，促进Cdc2的活性，这使得细胞顺利度过G1期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G1 期后，G1 cyclin 迅速降解，暴露出Cdc2 的cyclin 结合位点，与此同时，有丝分裂cyclin 的表达逐渐增加，并且通过与Cdc2 结合赋予后者催化活性。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激活的Cdc2-Mitosis cyclin 作为M 期促进因子（MPF），帮助细胞顺利进入M期。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此后，有丝分裂cyclin 迅速降解，Cdc2 重新回到起始状态，辅助细胞进入新一轮有丝分裂的G1 </w:t>
      </w:r>
      <w:r>
        <w:rPr>
          <w:rFonts w:hint="eastAsia"/>
          <w:lang w:val="en-US" w:eastAsia="zh-CN"/>
        </w:rPr>
        <w:br w:type="textWrapping"/>
      </w:r>
    </w:p>
    <w:p>
      <w:pPr>
        <w:numPr>
          <w:ilvl w:val="0"/>
          <w:numId w:val="1"/>
        </w:numPr>
        <w:tabs>
          <w:tab w:val="left" w:pos="840"/>
        </w:tabs>
        <w:ind w:left="0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高等动物中CDK/Cyclin复合物的活性是如何被调节的？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Cdk 即周期蛋白依赖性蛋白激酶，是一组丝氨酸/苏氨酸蛋白激酶，Cdk通过磷酸化蛋白上丝氨酸/苏氨酸残基驱动细胞周期。和周期蛋白cyclin 形成复合物，Cdk 与细胞cyclin结合才具有激酶的活性。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而在特定的细胞周期中，一种Cyclin 蛋白的含量缓慢升高，在其发挥功能的阶段与相应Cdk 形成功能复合体；到下一个特定的时间，该Cyclin 又急剧下降。一种Cyclin 的下降伴随另一种Cyclin 的上升和另一种Cdk-Cyclin 复合物的形成，后者推进细胞周期下一阶段的前行。具体如下：</w:t>
      </w:r>
    </w:p>
    <w:p>
      <w:pPr>
        <w:numPr>
          <w:numId w:val="0"/>
        </w:numPr>
        <w:tabs>
          <w:tab w:val="left" w:pos="840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 xml:space="preserve">G1 期：CDK2-CyclinE；S 期：CDK2-CyclinA </w:t>
      </w:r>
    </w:p>
    <w:p>
      <w:pPr>
        <w:numPr>
          <w:numId w:val="0"/>
        </w:numPr>
        <w:tabs>
          <w:tab w:val="left" w:pos="840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 xml:space="preserve">G2 期：CDK1-CyclinA；M 期：CDK1-CyclinB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</w:t>
      </w:r>
      <w:r>
        <w:rPr>
          <w:rFonts w:hint="eastAsia"/>
          <w:lang w:val="en-US" w:eastAsia="zh-CN"/>
        </w:rPr>
        <w:t>dk</w:t>
      </w:r>
      <w:r>
        <w:rPr>
          <w:rFonts w:hint="default"/>
          <w:lang w:val="en-US" w:eastAsia="zh-CN"/>
        </w:rPr>
        <w:t xml:space="preserve"> 的活性依赖于其正调节亚基cyclin 的顺序性表达和其负调节亚基CKI(</w:t>
      </w:r>
      <w:r>
        <w:rPr>
          <w:rFonts w:hint="eastAsia"/>
          <w:lang w:val="en-US" w:eastAsia="zh-CN"/>
        </w:rPr>
        <w:t>Cdk</w:t>
      </w:r>
      <w:r>
        <w:rPr>
          <w:rFonts w:hint="default"/>
          <w:lang w:val="en-US" w:eastAsia="zh-CN"/>
        </w:rPr>
        <w:t>抑制因子）的浓度。同时，C</w:t>
      </w:r>
      <w:r>
        <w:rPr>
          <w:rFonts w:hint="eastAsia"/>
          <w:lang w:val="en-US" w:eastAsia="zh-CN"/>
        </w:rPr>
        <w:t>dk</w:t>
      </w:r>
      <w:r>
        <w:rPr>
          <w:rFonts w:hint="default"/>
          <w:lang w:val="en-US" w:eastAsia="zh-CN"/>
        </w:rPr>
        <w:t xml:space="preserve"> 的活性还受到磷酸化和去磷酸化，以及癌基因和抑癌基因的调节。</w:t>
      </w:r>
      <w:r>
        <w:rPr>
          <w:rFonts w:hint="default"/>
          <w:lang w:val="en-US" w:eastAsia="zh-CN"/>
        </w:rPr>
        <w:br w:type="textWrapping"/>
      </w:r>
    </w:p>
    <w:p>
      <w:pPr>
        <w:numPr>
          <w:ilvl w:val="0"/>
          <w:numId w:val="1"/>
        </w:numPr>
        <w:tabs>
          <w:tab w:val="left" w:pos="840"/>
        </w:tabs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简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述细胞周期的检查点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G1 检查点：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是细胞周期的主要检查点，感知细胞生长和环境是否有利。高等哺乳动物还能感知细胞因子信号，细胞密度，DNA突变情况。单细胞生物根据环境选择营养生长（营养充足）或者孢子形成（营养匮乏）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多种信号通路调控Cdk在G1的活性</w:t>
      </w:r>
    </w:p>
    <w:p>
      <w:pPr>
        <w:numPr>
          <w:ilvl w:val="3"/>
          <w:numId w:val="1"/>
        </w:numPr>
        <w:tabs>
          <w:tab w:val="left" w:pos="840"/>
          <w:tab w:val="clear" w:pos="168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生长因子—受体—信号级联—</w:t>
      </w:r>
      <w:r>
        <w:rPr>
          <w:rFonts w:hint="eastAsia"/>
          <w:lang w:val="en-US" w:eastAsia="zh-CN"/>
        </w:rPr>
        <w:t xml:space="preserve">CyclinD </w:t>
      </w:r>
      <w:r>
        <w:rPr>
          <w:rFonts w:hint="default"/>
          <w:lang w:val="en-US" w:eastAsia="zh-CN"/>
        </w:rPr>
        <w:t>表达</w:t>
      </w:r>
      <w:r>
        <w:rPr>
          <w:rFonts w:hint="eastAsia"/>
          <w:lang w:val="en-US" w:eastAsia="zh-CN"/>
        </w:rPr>
        <w:t>↑</w:t>
      </w:r>
      <w:r>
        <w:rPr>
          <w:rFonts w:hint="default"/>
          <w:lang w:val="en-US" w:eastAsia="zh-CN"/>
        </w:rPr>
        <w:t>—促</w:t>
      </w:r>
      <w:r>
        <w:rPr>
          <w:rFonts w:hint="eastAsia"/>
          <w:lang w:val="en-US" w:eastAsia="zh-CN"/>
        </w:rPr>
        <w:t>进CDK4/6-CyclinD</w:t>
      </w:r>
      <w:r>
        <w:rPr>
          <w:rFonts w:hint="default"/>
          <w:lang w:val="en-US" w:eastAsia="zh-CN"/>
        </w:rPr>
        <w:t>活</w:t>
      </w:r>
      <w:r>
        <w:rPr>
          <w:rFonts w:hint="eastAsia"/>
          <w:lang w:val="en-US" w:eastAsia="zh-CN"/>
        </w:rPr>
        <w:t>性</w:t>
      </w:r>
      <w:r>
        <w:rPr>
          <w:rFonts w:hint="default"/>
          <w:lang w:val="en-US" w:eastAsia="zh-CN"/>
        </w:rPr>
        <w:t>。</w:t>
      </w:r>
    </w:p>
    <w:p>
      <w:pPr>
        <w:numPr>
          <w:ilvl w:val="3"/>
          <w:numId w:val="1"/>
        </w:numPr>
        <w:tabs>
          <w:tab w:val="left" w:pos="840"/>
          <w:tab w:val="clear" w:pos="168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抑制因子</w:t>
      </w:r>
      <w:r>
        <w:rPr>
          <w:rFonts w:hint="default"/>
          <w:lang w:val="en-US" w:eastAsia="zh-CN"/>
        </w:rPr>
        <w:t>（如TGFβ）—受</w:t>
      </w:r>
      <w:r>
        <w:rPr>
          <w:rFonts w:hint="eastAsia"/>
          <w:lang w:val="en-US" w:eastAsia="zh-CN"/>
        </w:rPr>
        <w:t>体</w:t>
      </w:r>
      <w:r>
        <w:rPr>
          <w:rFonts w:hint="default"/>
          <w:lang w:val="en-US" w:eastAsia="zh-CN"/>
        </w:rPr>
        <w:t>—</w:t>
      </w:r>
      <w:r>
        <w:rPr>
          <w:rFonts w:hint="eastAsia"/>
          <w:lang w:val="en-US" w:eastAsia="zh-CN"/>
        </w:rPr>
        <w:t>信号级联</w:t>
      </w:r>
      <w:r>
        <w:rPr>
          <w:rFonts w:hint="default"/>
          <w:lang w:val="en-US" w:eastAsia="zh-CN"/>
        </w:rPr>
        <w:t>—</w:t>
      </w:r>
      <w:r>
        <w:rPr>
          <w:rFonts w:hint="eastAsia"/>
          <w:lang w:val="en-US" w:eastAsia="zh-CN"/>
        </w:rPr>
        <w:t xml:space="preserve">p27 </w:t>
      </w:r>
      <w:r>
        <w:rPr>
          <w:rFonts w:hint="default"/>
          <w:lang w:val="en-US" w:eastAsia="zh-CN"/>
        </w:rPr>
        <w:t>上</w:t>
      </w:r>
      <w:r>
        <w:rPr>
          <w:rFonts w:hint="eastAsia"/>
          <w:lang w:val="en-US" w:eastAsia="zh-CN"/>
        </w:rPr>
        <w:t>调</w:t>
      </w:r>
      <w:r>
        <w:rPr>
          <w:rFonts w:hint="default"/>
          <w:lang w:val="en-US" w:eastAsia="zh-CN"/>
        </w:rPr>
        <w:t>—抑</w:t>
      </w:r>
      <w:r>
        <w:rPr>
          <w:rFonts w:hint="eastAsia"/>
          <w:lang w:val="en-US" w:eastAsia="zh-CN"/>
        </w:rPr>
        <w:t>制CDK2 -CyclinE</w:t>
      </w:r>
      <w:r>
        <w:rPr>
          <w:rFonts w:hint="default"/>
          <w:lang w:val="en-US" w:eastAsia="zh-CN"/>
        </w:rPr>
        <w:t>。</w:t>
      </w:r>
    </w:p>
    <w:p>
      <w:pPr>
        <w:numPr>
          <w:ilvl w:val="3"/>
          <w:numId w:val="1"/>
        </w:numPr>
        <w:tabs>
          <w:tab w:val="left" w:pos="840"/>
          <w:tab w:val="clear" w:pos="168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UV/</w:t>
      </w:r>
      <w:r>
        <w:rPr>
          <w:rFonts w:hint="default"/>
          <w:lang w:val="en-US" w:eastAsia="zh-CN"/>
        </w:rPr>
        <w:t>毒</w:t>
      </w:r>
      <w:r>
        <w:rPr>
          <w:rFonts w:hint="eastAsia"/>
          <w:lang w:val="en-US" w:eastAsia="zh-CN"/>
        </w:rPr>
        <w:t>物</w:t>
      </w:r>
      <w:r>
        <w:rPr>
          <w:rFonts w:hint="default"/>
          <w:lang w:val="en-US" w:eastAsia="zh-CN"/>
        </w:rPr>
        <w:t>—</w:t>
      </w:r>
      <w:r>
        <w:rPr>
          <w:rFonts w:hint="eastAsia"/>
          <w:lang w:val="en-US" w:eastAsia="zh-CN"/>
        </w:rPr>
        <w:t xml:space="preserve">DNA </w:t>
      </w:r>
      <w:r>
        <w:rPr>
          <w:rFonts w:hint="default"/>
          <w:lang w:val="en-US" w:eastAsia="zh-CN"/>
        </w:rPr>
        <w:t>损</w:t>
      </w:r>
      <w:r>
        <w:rPr>
          <w:rFonts w:hint="eastAsia"/>
          <w:lang w:val="en-US" w:eastAsia="zh-CN"/>
        </w:rPr>
        <w:t>伤</w:t>
      </w:r>
      <w:r>
        <w:rPr>
          <w:rFonts w:hint="default"/>
          <w:lang w:val="en-US" w:eastAsia="zh-CN"/>
        </w:rPr>
        <w:t>—</w:t>
      </w:r>
      <w:r>
        <w:rPr>
          <w:rFonts w:hint="eastAsia"/>
          <w:lang w:val="en-US" w:eastAsia="zh-CN"/>
        </w:rPr>
        <w:t>p53</w:t>
      </w:r>
      <w:r>
        <w:rPr>
          <w:rFonts w:hint="default"/>
          <w:lang w:val="en-US" w:eastAsia="zh-CN"/>
        </w:rPr>
        <w:t>—</w:t>
      </w:r>
      <w:r>
        <w:rPr>
          <w:rFonts w:hint="eastAsia"/>
          <w:lang w:val="en-US" w:eastAsia="zh-CN"/>
        </w:rPr>
        <w:t xml:space="preserve">p21 </w:t>
      </w:r>
      <w:r>
        <w:rPr>
          <w:rFonts w:hint="default"/>
          <w:lang w:val="en-US" w:eastAsia="zh-CN"/>
        </w:rPr>
        <w:t>上</w:t>
      </w:r>
      <w:r>
        <w:rPr>
          <w:rFonts w:hint="eastAsia"/>
          <w:lang w:val="en-US" w:eastAsia="zh-CN"/>
        </w:rPr>
        <w:t>调</w:t>
      </w:r>
      <w:r>
        <w:rPr>
          <w:rFonts w:hint="default"/>
          <w:lang w:val="en-US" w:eastAsia="zh-CN"/>
        </w:rPr>
        <w:t>—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抑</w:t>
      </w:r>
      <w:r>
        <w:rPr>
          <w:rFonts w:hint="eastAsia"/>
          <w:lang w:val="en-US" w:eastAsia="zh-CN"/>
        </w:rPr>
        <w:t>制CDK2-CyclinE</w:t>
      </w:r>
      <w:r>
        <w:rPr>
          <w:rFonts w:hint="default"/>
          <w:lang w:val="en-US" w:eastAsia="zh-CN"/>
        </w:rPr>
        <w:t>，</w:t>
      </w:r>
      <w:r>
        <w:rPr>
          <w:rFonts w:hint="eastAsia"/>
          <w:lang w:val="en-US" w:eastAsia="zh-CN"/>
        </w:rPr>
        <w:t xml:space="preserve">确保基因组的保真度 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***DNA损伤时，p53稳定性增强，通过下游MDM2，p21引发G1/G2细胞周期阻滞。通过GADD45调动DNA损伤修复；若修复不能完成，则调动Bax等促进细胞凋亡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G1检查点监测细胞大小: </w:t>
      </w:r>
      <w:r>
        <w:rPr>
          <w:rFonts w:hint="default"/>
          <w:lang w:val="en-US" w:eastAsia="zh-CN"/>
        </w:rPr>
        <w:t>细胞体积得到准确控制，可保证所有子代大小适中；但细胞体积失控时，细胞或者过早分裂导致子代不断变小，或者延迟分裂导致子代细胞体积不断变大。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Rb是决定G1检查点能否越过的最关键Cdk底物，Cdk-CyclinD磷酸化Rb后，释放其结合的E2F，E2F入核启动下游基因转录，进入S期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G2检查点没讲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纺锤体组装检查点SAC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阻止染色体分离，直到姐妹染色单体正确地连接于有丝分裂纺锤体上。这一作用是通过使CDC20失活完成的，它是APC/C的一种必要的激活因子。而APC/C 可以促进细胞周期阻滞蛋白的降解。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纺锤形检查点保证了适当的分裂后期起始。任何一个动粒没有正确连接到纺锤体上，都会影响细胞分裂后期的起始，造成分裂周期中断。</w:t>
      </w:r>
    </w:p>
    <w:p>
      <w:pPr>
        <w:numPr>
          <w:numId w:val="0"/>
        </w:numPr>
        <w:tabs>
          <w:tab w:val="left" w:pos="840"/>
        </w:tabs>
        <w:ind w:left="840" w:leftChars="0"/>
        <w:rPr>
          <w:rFonts w:hint="eastAsia"/>
          <w:color w:val="767171" w:themeColor="background2" w:themeShade="80"/>
          <w:sz w:val="20"/>
          <w:szCs w:val="22"/>
          <w:lang w:val="en-US" w:eastAsia="zh-CN"/>
        </w:rPr>
      </w:pPr>
      <w:r>
        <w:rPr>
          <w:rFonts w:hint="eastAsia"/>
          <w:color w:val="767171" w:themeColor="background2" w:themeShade="80"/>
          <w:sz w:val="20"/>
          <w:szCs w:val="22"/>
          <w:lang w:val="en-US" w:eastAsia="zh-CN"/>
        </w:rPr>
        <w:t>（选读）组成性着丝粒相关网络（CCAN）：未结合在微管的动粒上MPS1磷酸化KNL1，磷酸化的KNL1结合Bub1和Bub3，招募BubR1和Mad3；招募Mad1-Mad-2 二聚体；二聚体将开放Mad2催化为关闭Mad2；关闭Mad2结合Cdc20; 进一步结合其他检查点蛋白形成MCC。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简述: 未结合在微管的动粒上MPS1磷酸化KNL1，招募一系列蛋白后，结合Cdc20形成MCC。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SAC在动粒的失活：MPS1脱离动粒，Bub3复合物解离，闭合状Mad2不能产生，无法抑制Cdc20，Cdc20激活APC，降解Securin和CyclinB</w:t>
      </w:r>
      <w:r>
        <w:rPr>
          <w:rFonts w:hint="eastAsia"/>
          <w:lang w:val="en-US" w:eastAsia="zh-CN"/>
        </w:rPr>
        <w:br w:type="textWrapping"/>
      </w:r>
    </w:p>
    <w:p>
      <w:pPr>
        <w:numPr>
          <w:ilvl w:val="0"/>
          <w:numId w:val="1"/>
        </w:numPr>
        <w:tabs>
          <w:tab w:val="left" w:pos="840"/>
        </w:tabs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纺锤体的组装过程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微管的组装与去组装：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α微管蛋白+β微管蛋白--&gt;αβ二聚体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纵向聚合为原纤维，即成核反应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通过两端及侧面增加二聚体，扩展成片状。片状聚合物达13根原纤维，合拢成一段微管，新的二聚体组装到微管两端，使之延长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微管两端具GTP帽（取决于微管蛋白浓度），则继续组装，反之，GDP帽则解聚。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构成纺锤体的纤维由成束的微管和与之结合的蛋白质组成。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基于微管的分子马达对于纺锤体组装具有决定性作用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驱动蛋白（kinesin）从微管的负极移向正极，动力蛋白从微管的正极移向负极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纺锤体基质与微管相辅相成，前者促进后者形成正常的纺锤体结构，后者的聚合增强前者的组装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纺锤体的微管分支提高了正末端密度，有利于寻找动粒</w:t>
      </w:r>
      <w:r>
        <w:rPr>
          <w:rFonts w:hint="eastAsia"/>
          <w:lang w:val="en-US" w:eastAsia="zh-CN"/>
        </w:rPr>
        <w:br w:type="textWrapping"/>
      </w:r>
    </w:p>
    <w:p>
      <w:pPr>
        <w:numPr>
          <w:ilvl w:val="0"/>
          <w:numId w:val="1"/>
        </w:numPr>
        <w:tabs>
          <w:tab w:val="left" w:pos="840"/>
        </w:tabs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微管-动粒相互作用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动粒是染色体上主要的微管附着位点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染色体着丝粒两侧的两层盘状特化</w:t>
      </w:r>
      <w:bookmarkStart w:id="0" w:name="_GoBack"/>
      <w:bookmarkEnd w:id="0"/>
      <w:r>
        <w:rPr>
          <w:rFonts w:hint="eastAsia"/>
          <w:lang w:val="en-US" w:eastAsia="zh-CN"/>
        </w:rPr>
        <w:t>结构，是蛋白质，分为内板、中板、外板和纤维冠；动粒与染色体的移动有关。前、中、后期，纺锤体的纺锤丝（或星射线）附着在动粒上，牵引染色体移动至细胞两级。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着丝粒是染色体的一部分，位于姐妹染色单体的连接处，由高度重复的异染色质组成。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分子马达是染色体运动的关键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染色体朝两极移动时，微管解聚；远离两级时，微管聚合。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（动力蛋白调节因子Nudel的耗竭、动力蛋白的失活都会减弱动粒向两极的拉力）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微管连接动粒时，同极发出的微管可能会黏附在两侧的动粒上，这样就无法将子染色体平均分配，这种不正确的微管-动粒附着会在前中期出现。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Aurora B 复合物帮助矫正错误的附着：同侧附着时无拉力，Aurora B激酶会导致动粒过度磷酸化，此时微管结合亲和力较弱，微管会从动力上脱落。而正确附着时存在拉力，动力磷酸化水平较低，亲和力较强。保证子染色体平均分配给两极。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Segoe UI Symbol">
    <w:panose1 w:val="020B0502040204020203"/>
    <w:charset w:val="86"/>
    <w:family w:val="auto"/>
    <w:pitch w:val="default"/>
    <w:sig w:usb0="800001E3" w:usb1="1200FFEF" w:usb2="00040000" w:usb3="04000000" w:csb0="00000001" w:csb1="4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59602"/>
    <w:multiLevelType w:val="multilevel"/>
    <w:tmpl w:val="07C59602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7E624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Default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eastAsia" w:ascii="仿宋" w:hAnsi="仿宋" w:eastAsia="仿宋"/>
      <w:color w:val="000000"/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75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2020-06-20T12:07:00Z</dcterms:created>
  <dc:creator>Alfred</dc:creator>
  <cp:lastModifiedBy>Alfred</cp:lastModifiedBy>
  <dcterms:modified xsi:type="dcterms:W3CDTF">2020-06-20T13:56:59Z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