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r>
        <w:t>Анализ полноты и непротиворечивости требований системы «Система составления расписания тренировок и питания»</w:t>
      </w:r>
    </w:p>
    <w:p>
      <w:r>
        <w:t>Проверены 44 требования (28 FR, 10 NFR, 6 CON), первичный анализ и пять сценариев UC-1–UC-5. Проверка является анализом документации, а не результатом испытаний реализованного приложения. Основание сверки — ТЗ «ВЕБ_ПРОВЕРЕНО_v5» и проверенные редакции классификации и сценариев v4.</w:t>
      </w:r>
    </w:p>
    <w:p>
      <w:pPr>
        <w:pStyle w:val="1"/>
      </w:pPr>
      <w:r>
        <w:t>1. Проверка полноты по стейкхолдерам</w:t>
      </w:r>
    </w:p>
    <w:p>
      <w:r>
        <w:t>Обе роли первичного анализа имеют покрытие основными требованиями. Внешний платёжный сервис рассмотрен отдельно как участник взаимодействия.</w:t>
      </w:r>
    </w:p>
    <w:p>
      <w:pPr>
        <w:keepNext/>
      </w:pPr>
      <w:r>
        <w:t>Таблица 1 – Полнота требований по стейкхолдерам</w:t>
      </w:r>
    </w:p>
    <w:tbl>
      <w:tblPr>
        <w:tblStyle w:val="aff0"/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324"/>
        <w:gridCol w:w="2324"/>
        <w:gridCol w:w="3175"/>
      </w:tblGrid>
      <w:tr>
        <w:trPr>
          <w:tblHeader/>
          <w:cantSplit/>
        </w:trPr>
        <w:tc>
          <w:tcPr>
            <w:tcW w:type="dxa" w:w="1531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Стейкхолдер</w:t>
            </w:r>
          </w:p>
        </w:tc>
        <w:tc>
          <w:tcPr>
            <w:tcW w:type="dxa" w:w="2324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Ключевая потребность</w:t>
            </w:r>
          </w:p>
        </w:tc>
        <w:tc>
          <w:tcPr>
            <w:tcW w:type="dxa" w:w="2324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Покрывающие требования</w:t>
            </w:r>
          </w:p>
        </w:tc>
        <w:tc>
          <w:tcPr>
            <w:tcW w:type="dxa" w:w="3175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1531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StH-01 — Пользователь</w:t>
            </w:r>
          </w:p>
        </w:tc>
        <w:tc>
          <w:tcPr>
            <w:tcW w:type="dxa" w:w="2324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Индивидуальный план, расписание, корректировка, выполнение и история; получение подписки, рацион и калории.</w:t>
            </w:r>
          </w:p>
        </w:tc>
        <w:tc>
          <w:tcPr>
            <w:tcW w:type="dxa" w:w="2324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FR-01–FR-23; FR-28; NFR-01–NFR-10</w:t>
            </w:r>
          </w:p>
        </w:tc>
        <w:tc>
          <w:tcPr>
            <w:tcW w:type="dxa" w:w="3175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Основные потребности покрыты. Нужно уточнить границы возраста и алгоритмы персонализации.</w:t>
            </w:r>
          </w:p>
        </w:tc>
      </w:tr>
      <w:tr>
        <w:trPr>
          <w:cantSplit/>
        </w:trPr>
        <w:tc>
          <w:tcPr>
            <w:tcW w:type="dxa" w:w="1531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StH-02 — Администратор</w:t>
            </w:r>
          </w:p>
        </w:tc>
        <w:tc>
          <w:tcPr>
            <w:tcW w:type="dxa" w:w="2324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Справочники упражнений и продуктов, цели и правила, пользователи и подписки, платный доступ.</w:t>
            </w:r>
          </w:p>
        </w:tc>
        <w:tc>
          <w:tcPr>
            <w:tcW w:type="dxa" w:w="2324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FR-24–FR-28; NFR-03–NFR-07; CON-02, CON-05</w:t>
            </w:r>
          </w:p>
        </w:tc>
        <w:tc>
          <w:tcPr>
            <w:tcW w:type="dxa" w:w="3175"/>
          </w:tcPr>
          <w:p>
            <w:pPr>
              <w:spacing w:before="0" w:after="4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Основные полномочия отражены. Конкретные тарифы и правила должны быть уточнены до реализации.</w:t>
            </w:r>
          </w:p>
        </w:tc>
      </w:tr>
      <w:tr>
        <w:trPr>
          <w:cantSplit/>
        </w:trPr>
        <w:tc>
          <w:tcPr>
            <w:tcW w:type="dxa" w:w="1531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Внешний платёжный сервис</w:t>
            </w:r>
          </w:p>
        </w:tc>
        <w:tc>
          <w:tcPr>
            <w:tcW w:type="dxa" w:w="2324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Заказ, проверенное подтверждение оплаты, защита от повторной обработки.</w:t>
            </w:r>
          </w:p>
        </w:tc>
        <w:tc>
          <w:tcPr>
            <w:tcW w:type="dxa" w:w="2324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FR-16, FR-17; NFR-05; CON-03</w:t>
            </w:r>
          </w:p>
        </w:tc>
        <w:tc>
          <w:tcPr>
            <w:tcW w:type="dxa" w:w="3175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Покрыто на уровне интерфейса. Конкретный провайдер и протокол подтверждения не выбраны.</w:t>
            </w:r>
          </w:p>
        </w:tc>
      </w:tr>
    </w:tbl>
    <w:p>
      <w:pPr>
        <w:pStyle w:val="1"/>
      </w:pPr>
      <w:r>
        <w:t>2. Проверка полноты по сценариям использования</w:t>
      </w:r>
    </w:p>
    <w:p>
      <w:r>
        <w:t>Рассмотрено 40 шагов основных потоков: по 8 шагов в каждом из пяти сценариев. Все шаги имеют ссылки на требования; для внешней оплаты используется ограничение CON-03 вместе с FR-16. Это подтверждает трассируемость, но не доказывает готовность алгоритмов и интеграций.</w:t>
      </w:r>
    </w:p>
    <w:p>
      <w:pPr>
        <w:keepNext/>
      </w:pPr>
      <w:r>
        <w:t>Таблица 2 – Сопоставление шагов сценариев и требований</w:t>
      </w:r>
    </w:p>
    <w:tbl>
      <w:tblPr>
        <w:tblStyle w:val="aff0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3118"/>
        <w:gridCol w:w="4535"/>
      </w:tblGrid>
      <w:tr>
        <w:trPr>
          <w:tblHeader/>
          <w:cantSplit/>
        </w:trPr>
        <w:tc>
          <w:tcPr>
            <w:tcW w:type="dxa" w:w="1701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Сценарий</w:t>
            </w:r>
          </w:p>
        </w:tc>
        <w:tc>
          <w:tcPr>
            <w:tcW w:type="dxa" w:w="3118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Шаг → требования</w:t>
            </w:r>
          </w:p>
        </w:tc>
        <w:tc>
          <w:tcPr>
            <w:tcW w:type="dxa" w:w="4535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UC-1 — Формирование индивидуального плана тренировок</w:t>
            </w:r>
          </w:p>
        </w:tc>
        <w:tc>
          <w:tcPr>
            <w:tcW w:type="dxa" w:w="3118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1 → FR-02, FR-03; 2 → FR-03; 3 → FR-03, FR-04; 4 → FR-05; 5 → FR-07; 6 → FR-06; 7 → FR-06, FR-07; 8 → FR-08, FR-09</w:t>
            </w:r>
          </w:p>
        </w:tc>
        <w:tc>
          <w:tcPr>
            <w:tcW w:type="dxa" w:w="4535"/>
          </w:tcPr>
          <w:p>
            <w:pPr>
              <w:spacing w:before="0" w:after="4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Все 8 шагов имеют ссылки на требования. Альтернативы: FR-04; FR-06, FR-24, FR-26; NFR-10; FR-14.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UC-2 — Корректировка и выполнение тренировки</w:t>
            </w:r>
          </w:p>
        </w:tc>
        <w:tc>
          <w:tcPr>
            <w:tcW w:type="dxa" w:w="3118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1 → FR-08; 2 → FR-08; 3 → FR-09; 4 → FR-10; 5 → FR-04, FR-10; 6 → FR-11; 7 → FR-12; 8 → FR-12, FR-13</w:t>
            </w:r>
          </w:p>
        </w:tc>
        <w:tc>
          <w:tcPr>
            <w:tcW w:type="dxa" w:w="4535"/>
          </w:tcPr>
          <w:p>
            <w:pPr>
              <w:spacing w:before="0" w:after="4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Все 8 шагов имеют ссылки на требования. Альтернативы: FR-04, FR-10; FR-11; FR-12.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UC-3 — Оформление подписки</w:t>
            </w:r>
          </w:p>
        </w:tc>
        <w:tc>
          <w:tcPr>
            <w:tcW w:type="dxa" w:w="3118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1 → FR-15; 2 → FR-15; 3 → FR-15, FR-16; 4 → FR-16; 5 → CON-03, FR-16; 6 → FR-17; 7 → FR-17; 8 → FR-17, FR-18</w:t>
            </w:r>
          </w:p>
        </w:tc>
        <w:tc>
          <w:tcPr>
            <w:tcW w:type="dxa" w:w="4535"/>
          </w:tcPr>
          <w:p>
            <w:pPr>
              <w:spacing w:before="0" w:after="4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Все 8 шагов имеют ссылки на требования. Альтернативы: FR-16, FR-17; CON-03.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UC-4 — Получение рациона и учёт калорий</w:t>
            </w:r>
          </w:p>
        </w:tc>
        <w:tc>
          <w:tcPr>
            <w:tcW w:type="dxa" w:w="3118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1 → FR-18; 2 → FR-18; 3 → FR-19; 4 → FR-19; 5 → FR-20; 6 → FR-04, FR-21; 7 → FR-20, FR-22; 8 → FR-22, FR-23</w:t>
            </w:r>
          </w:p>
        </w:tc>
        <w:tc>
          <w:tcPr>
            <w:tcW w:type="dxa" w:w="4535"/>
          </w:tcPr>
          <w:p>
            <w:pPr>
              <w:spacing w:before="0" w:after="4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Все 8 шагов имеют ссылки на требования. Альтернативы: FR-18; FR-04; FR-22, FR-23; NFR-07; FR-19, FR-25, FR-26.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UC-5 — Управление справочниками и правилами</w:t>
            </w:r>
          </w:p>
        </w:tc>
        <w:tc>
          <w:tcPr>
            <w:tcW w:type="dxa" w:w="3118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1 → FR-28; 2 → FR-24; 3 → FR-04, FR-24; 4 → FR-25; 5 → FR-04, FR-25; 6 → FR-26; 7 → FR-27; 8 → FR-24, FR-25, FR-26, FR-27, FR-28</w:t>
            </w:r>
          </w:p>
        </w:tc>
        <w:tc>
          <w:tcPr>
            <w:tcW w:type="dxa" w:w="4535"/>
          </w:tcPr>
          <w:p>
            <w:pPr>
              <w:spacing w:before="0" w:after="4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Все 8 шагов имеют ссылки на требования. Альтернативы: FR-04, FR-24, FR-25; FR-28, NFR-07.</w:t>
            </w:r>
          </w:p>
        </w:tc>
      </w:tr>
    </w:tbl>
    <w:p>
      <w:pPr>
        <w:pStyle w:val="1"/>
      </w:pPr>
      <w:r>
        <w:t>3. Проверка на однозначность</w:t>
      </w:r>
    </w:p>
    <w:p>
      <w:r>
        <w:t>Формулировки проверены на определённость состава данных, действий и результатов. Выявленные вопросы приведены ниже; проектные параметры не следует считать уже согласованными с преподавателем.</w:t>
      </w:r>
    </w:p>
    <w:p>
      <w:pPr>
        <w:keepNext/>
      </w:pPr>
      <w:r>
        <w:t>Таблица 3 – Уточнение неоднозначных формулировок</w:t>
      </w:r>
    </w:p>
    <w:tbl>
      <w:tblPr>
        <w:tblStyle w:val="aff0"/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324"/>
        <w:gridCol w:w="2324"/>
        <w:gridCol w:w="3175"/>
      </w:tblGrid>
      <w:tr>
        <w:trPr>
          <w:tblHeader/>
          <w:cantSplit/>
        </w:trPr>
        <w:tc>
          <w:tcPr>
            <w:tcW w:type="dxa" w:w="1531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Требование</w:t>
            </w:r>
          </w:p>
        </w:tc>
        <w:tc>
          <w:tcPr>
            <w:tcW w:type="dxa" w:w="2324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Формулировка / область</w:t>
            </w:r>
          </w:p>
        </w:tc>
        <w:tc>
          <w:tcPr>
            <w:tcW w:type="dxa" w:w="2324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Проблема</w:t>
            </w:r>
          </w:p>
        </w:tc>
        <w:tc>
          <w:tcPr>
            <w:tcW w:type="dxa" w:w="3175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Предлагаемое уточнение</w:t>
            </w:r>
          </w:p>
        </w:tc>
      </w:tr>
      <w:tr>
        <w:trPr>
          <w:cantSplit/>
        </w:trPr>
        <w:tc>
          <w:tcPr>
            <w:tcW w:type="dxa" w:w="1531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FR-04</w:t>
            </w:r>
          </w:p>
        </w:tc>
        <w:tc>
          <w:tcPr>
            <w:tcW w:type="dxa" w:w="2324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Положительные значения профиля</w:t>
            </w:r>
          </w:p>
        </w:tc>
        <w:tc>
          <w:tcPr>
            <w:tcW w:type="dxa" w:w="2324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Не определены верхние границы и допустимый возраст аудитории.</w:t>
            </w:r>
          </w:p>
        </w:tc>
        <w:tc>
          <w:tcPr>
            <w:tcW w:type="dxa" w:w="3175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Согласовать минимальный возраст и диапазоны роста и веса; не подменять их произвольными медицинскими нормами.</w:t>
            </w:r>
          </w:p>
        </w:tc>
      </w:tr>
      <w:tr>
        <w:trPr>
          <w:cantSplit/>
        </w:trPr>
        <w:tc>
          <w:tcPr>
            <w:tcW w:type="dxa" w:w="1531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FR-06, FR-26</w:t>
            </w:r>
          </w:p>
        </w:tc>
        <w:tc>
          <w:tcPr>
            <w:tcW w:type="dxa" w:w="2324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Индивидуальный план по параметрам</w:t>
            </w:r>
          </w:p>
        </w:tc>
        <w:tc>
          <w:tcPr>
            <w:tcW w:type="dxa" w:w="2324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Не задана таблица влияния возраста, роста и веса на нагрузку.</w:t>
            </w:r>
          </w:p>
        </w:tc>
        <w:tc>
          <w:tcPr>
            <w:tcW w:type="dxa" w:w="3175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Утвердить таблицу правил и контрольные профили с ожидаемыми планами.</w:t>
            </w:r>
          </w:p>
        </w:tc>
      </w:tr>
      <w:tr>
        <w:trPr>
          <w:cantSplit/>
        </w:trPr>
        <w:tc>
          <w:tcPr>
            <w:tcW w:type="dxa" w:w="1531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FR-19</w:t>
            </w:r>
          </w:p>
        </w:tc>
        <w:tc>
          <w:tcPr>
            <w:tcW w:type="dxa" w:w="2324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Индивидуальный рацион и энергетическая цель</w:t>
            </w:r>
          </w:p>
        </w:tc>
        <w:tc>
          <w:tcPr>
            <w:tcW w:type="dxa" w:w="2324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Не определены формула, допустимые продукты и ограничения рациона.</w:t>
            </w:r>
          </w:p>
        </w:tc>
        <w:tc>
          <w:tcPr>
            <w:tcW w:type="dxa" w:w="3175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Согласовать метод расчёта и необходимость дополнительных полей профиля; проверить расчёт на контрольных примерах.</w:t>
            </w:r>
          </w:p>
        </w:tc>
      </w:tr>
      <w:tr>
        <w:trPr>
          <w:cantSplit/>
        </w:trPr>
        <w:tc>
          <w:tcPr>
            <w:tcW w:type="dxa" w:w="1531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FR-15, FR-17</w:t>
            </w:r>
          </w:p>
        </w:tc>
        <w:tc>
          <w:tcPr>
            <w:tcW w:type="dxa" w:w="2324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Стоимость и срок подписки</w:t>
            </w:r>
          </w:p>
        </w:tc>
        <w:tc>
          <w:tcPr>
            <w:tcW w:type="dxa" w:w="2324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Не определены тарифы, начало отсчёта срока, продление и возврат.</w:t>
            </w:r>
          </w:p>
        </w:tc>
        <w:tc>
          <w:tcPr>
            <w:tcW w:type="dxa" w:w="3175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Утвердить тарифы и правила жизненного цикла подписки до подключения оплаты.</w:t>
            </w:r>
          </w:p>
        </w:tc>
      </w:tr>
      <w:tr>
        <w:trPr>
          <w:cantSplit/>
        </w:trPr>
        <w:tc>
          <w:tcPr>
            <w:tcW w:type="dxa" w:w="1531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CON-05</w:t>
            </w:r>
          </w:p>
        </w:tc>
        <w:tc>
          <w:tcPr>
            <w:tcW w:type="dxa" w:w="2324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Сроки хранения данных</w:t>
            </w:r>
          </w:p>
        </w:tc>
        <w:tc>
          <w:tcPr>
            <w:tcW w:type="dxa" w:w="2324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Политика хранения и удаления отсутствует.</w:t>
            </w:r>
          </w:p>
        </w:tc>
        <w:tc>
          <w:tcPr>
            <w:tcW w:type="dxa" w:w="3175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Зафиксировать состав, срок хранения и процедуру удаления для профиля, истории и платёжных статусов.</w:t>
            </w:r>
          </w:p>
        </w:tc>
      </w:tr>
    </w:tbl>
    <w:p>
      <w:pPr>
        <w:pStyle w:val="1"/>
      </w:pPr>
      <w:r>
        <w:t>4. Проверка на непротиворечивость</w:t>
      </w:r>
    </w:p>
    <w:p>
      <w:r>
        <w:t>Проверены совместимость требований и расхождения с исходным анализом. Одно смысловое расхождение первичного анализа устранено общей интерпретацией; остальные случаи требуют явных правил реализации.</w:t>
      </w:r>
    </w:p>
    <w:p>
      <w:pPr>
        <w:keepNext/>
      </w:pPr>
      <w:r>
        <w:t>Таблица 4 – Проверка непротиворечивости требований</w:t>
      </w:r>
    </w:p>
    <w:tbl>
      <w:tblPr>
        <w:tblStyle w:val="aff0"/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324"/>
        <w:gridCol w:w="2324"/>
        <w:gridCol w:w="3175"/>
      </w:tblGrid>
      <w:tr>
        <w:trPr>
          <w:tblHeader/>
          <w:cantSplit/>
        </w:trPr>
        <w:tc>
          <w:tcPr>
            <w:tcW w:type="dxa" w:w="1531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№</w:t>
            </w:r>
          </w:p>
        </w:tc>
        <w:tc>
          <w:tcPr>
            <w:tcW w:type="dxa" w:w="2324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Связанные положения</w:t>
            </w:r>
          </w:p>
        </w:tc>
        <w:tc>
          <w:tcPr>
            <w:tcW w:type="dxa" w:w="2324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Потенциальное противоречие</w:t>
            </w:r>
          </w:p>
        </w:tc>
        <w:tc>
          <w:tcPr>
            <w:tcW w:type="dxa" w:w="3175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Стратегия разрешения</w:t>
            </w:r>
          </w:p>
        </w:tc>
      </w:tr>
      <w:tr>
        <w:trPr>
          <w:cantSplit/>
        </w:trPr>
        <w:tc>
          <w:tcPr>
            <w:tcW w:type="dxa" w:w="1531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324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Истории питания ↔ первичное требование 4; FR-18</w:t>
            </w:r>
          </w:p>
        </w:tc>
        <w:tc>
          <w:tcPr>
            <w:tcW w:type="dxa" w:w="2324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Истории добавления еды и просмотра калорий не упоминают подписку; требование 4 относит рацион и расчёт к подписке.</w:t>
            </w:r>
          </w:p>
        </w:tc>
        <w:tc>
          <w:tcPr>
            <w:tcW w:type="dxa" w:w="3175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В текущем комплекте рацион, дневник и калории доступны только при активной подписке. Исходный анализ рекомендуется уточнить аналогично.</w:t>
            </w:r>
          </w:p>
        </w:tc>
      </w:tr>
      <w:tr>
        <w:trPr>
          <w:cantSplit/>
        </w:trPr>
        <w:tc>
          <w:tcPr>
            <w:tcW w:type="dxa" w:w="1531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324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FR-14 ↔ FR-10, FR-13</w:t>
            </w:r>
          </w:p>
        </w:tc>
        <w:tc>
          <w:tcPr>
            <w:tcW w:type="dxa" w:w="2324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Автоматический пересчёт может уничтожить ручные изменения и выполненные занятия.</w:t>
            </w:r>
          </w:p>
        </w:tc>
        <w:tc>
          <w:tcPr>
            <w:tcW w:type="dxa" w:w="3175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Новый план применяется только после подтверждения и только к будущим занятиям; история выполненных сохраняется.</w:t>
            </w:r>
          </w:p>
        </w:tc>
      </w:tr>
      <w:tr>
        <w:trPr>
          <w:cantSplit/>
        </w:trPr>
        <w:tc>
          <w:tcPr>
            <w:tcW w:type="dxa" w:w="1531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324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FR-17 ↔ FR-18</w:t>
            </w:r>
          </w:p>
        </w:tc>
        <w:tc>
          <w:tcPr>
            <w:tcW w:type="dxa" w:w="2324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Успешный возврат из платёжного сервиса может ошибочно считаться активной подпиской.</w:t>
            </w:r>
          </w:p>
        </w:tc>
        <w:tc>
          <w:tcPr>
            <w:tcW w:type="dxa" w:w="3175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Основание активации — проверенное сервером подтверждение оплаты; возврат пользователя не является подтверждением.</w:t>
            </w:r>
          </w:p>
        </w:tc>
      </w:tr>
      <w:tr>
        <w:trPr>
          <w:cantSplit/>
        </w:trPr>
        <w:tc>
          <w:tcPr>
            <w:tcW w:type="dxa" w:w="1531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324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FR-18 ↔ FR-23</w:t>
            </w:r>
          </w:p>
        </w:tc>
        <w:tc>
          <w:tcPr>
            <w:tcW w:type="dxa" w:w="2324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История питания нужна пользователю, но платный доступ заканчивается.</w:t>
            </w:r>
          </w:p>
        </w:tc>
        <w:tc>
          <w:tcPr>
            <w:tcW w:type="dxa" w:w="3175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При неактивной подписке история хранится, однако чтение и изменение дневника закрыты; повторная активация возвращает доступ.</w:t>
            </w:r>
          </w:p>
        </w:tc>
      </w:tr>
      <w:tr>
        <w:trPr>
          <w:cantSplit/>
        </w:trPr>
        <w:tc>
          <w:tcPr>
            <w:tcW w:type="dxa" w:w="1531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2324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FR-25 ↔ FR-21, FR-22</w:t>
            </w:r>
          </w:p>
        </w:tc>
        <w:tc>
          <w:tcPr>
            <w:tcW w:type="dxa" w:w="2324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Изменение калорийности справочника способно изменить прежние итоги.</w:t>
            </w:r>
          </w:p>
        </w:tc>
        <w:tc>
          <w:tcPr>
            <w:tcW w:type="dxa" w:w="3175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В записи дневника сохраняется калорийность продукта на момент записи; обновление справочника влияет на новые записи.</w:t>
            </w:r>
          </w:p>
        </w:tc>
      </w:tr>
      <w:tr>
        <w:trPr>
          <w:cantSplit/>
        </w:trPr>
        <w:tc>
          <w:tcPr>
            <w:tcW w:type="dxa" w:w="1531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2324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FR-24, FR-25 ↔ FR-13, FR-23</w:t>
            </w:r>
          </w:p>
        </w:tc>
        <w:tc>
          <w:tcPr>
            <w:tcW w:type="dxa" w:w="2324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Удаление справочника может нарушить историю.</w:t>
            </w:r>
          </w:p>
        </w:tc>
        <w:tc>
          <w:tcPr>
            <w:tcW w:type="dxa" w:w="3175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Используемые записи деактивируются; исторические названия и параметры сохраняются.</w:t>
            </w:r>
          </w:p>
        </w:tc>
      </w:tr>
    </w:tbl>
    <w:p>
      <w:pPr>
        <w:pStyle w:val="1"/>
      </w:pPr>
      <w:r>
        <w:t>5. Требования, подлежащие уточнению</w:t>
      </w:r>
    </w:p>
    <w:p>
      <w:r>
        <w:t>Ниже перечислены вопросы для следующей редакции. Они не являются реализованными функциями или согласованными параметрами.</w:t>
      </w:r>
    </w:p>
    <w:p>
      <w:pPr>
        <w:keepNext/>
      </w:pPr>
      <w:r>
        <w:t>Таблица 5 – Требования, подлежащие уточнению</w:t>
      </w:r>
    </w:p>
    <w:tbl>
      <w:tblPr>
        <w:tblStyle w:val="aff0"/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324"/>
        <w:gridCol w:w="2324"/>
        <w:gridCol w:w="3175"/>
      </w:tblGrid>
      <w:tr>
        <w:trPr>
          <w:tblHeader/>
          <w:cantSplit/>
        </w:trPr>
        <w:tc>
          <w:tcPr>
            <w:tcW w:type="dxa" w:w="1531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№</w:t>
            </w:r>
          </w:p>
        </w:tc>
        <w:tc>
          <w:tcPr>
            <w:tcW w:type="dxa" w:w="2324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Что уточнить</w:t>
            </w:r>
          </w:p>
        </w:tc>
        <w:tc>
          <w:tcPr>
            <w:tcW w:type="dxa" w:w="2324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Связь</w:t>
            </w:r>
          </w:p>
        </w:tc>
        <w:tc>
          <w:tcPr>
            <w:tcW w:type="dxa" w:w="3175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Порядок уточнения</w:t>
            </w:r>
          </w:p>
        </w:tc>
      </w:tr>
      <w:tr>
        <w:trPr>
          <w:cantSplit/>
        </w:trPr>
        <w:tc>
          <w:tcPr>
            <w:tcW w:type="dxa" w:w="1531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У-1</w:t>
            </w:r>
          </w:p>
        </w:tc>
        <w:tc>
          <w:tcPr>
            <w:tcW w:type="dxa" w:w="2324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Возраст аудитории и диапазоны профиля</w:t>
            </w:r>
          </w:p>
        </w:tc>
        <w:tc>
          <w:tcPr>
            <w:tcW w:type="dxa" w:w="2324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FR-03, FR-04</w:t>
            </w:r>
          </w:p>
        </w:tc>
        <w:tc>
          <w:tcPr>
            <w:tcW w:type="dxa" w:w="3175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Согласовать допустимые значения и сообщения об ошибках.</w:t>
            </w:r>
          </w:p>
        </w:tc>
      </w:tr>
      <w:tr>
        <w:trPr>
          <w:cantSplit/>
        </w:trPr>
        <w:tc>
          <w:tcPr>
            <w:tcW w:type="dxa" w:w="1531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У-2</w:t>
            </w:r>
          </w:p>
        </w:tc>
        <w:tc>
          <w:tcPr>
            <w:tcW w:type="dxa" w:w="2324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Правила подбора упражнений и нагрузки</w:t>
            </w:r>
          </w:p>
        </w:tc>
        <w:tc>
          <w:tcPr>
            <w:tcW w:type="dxa" w:w="2324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FR-06, FR-26; UC-1</w:t>
            </w:r>
          </w:p>
        </w:tc>
        <w:tc>
          <w:tcPr>
            <w:tcW w:type="dxa" w:w="3175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Подготовить версионируемую таблицу правил и ожидаемые результаты.</w:t>
            </w:r>
          </w:p>
        </w:tc>
      </w:tr>
      <w:tr>
        <w:trPr>
          <w:cantSplit/>
        </w:trPr>
        <w:tc>
          <w:tcPr>
            <w:tcW w:type="dxa" w:w="1531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У-3</w:t>
            </w:r>
          </w:p>
        </w:tc>
        <w:tc>
          <w:tcPr>
            <w:tcW w:type="dxa" w:w="2324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Алгоритм рациона и суточная энергетическая цель</w:t>
            </w:r>
          </w:p>
        </w:tc>
        <w:tc>
          <w:tcPr>
            <w:tcW w:type="dxa" w:w="2324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FR-19; UC-4</w:t>
            </w:r>
          </w:p>
        </w:tc>
        <w:tc>
          <w:tcPr>
            <w:tcW w:type="dxa" w:w="3175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Согласовать расчёт, состав входных данных и обработку отсутствия подходящих продуктов.</w:t>
            </w:r>
          </w:p>
        </w:tc>
      </w:tr>
      <w:tr>
        <w:trPr>
          <w:cantSplit/>
        </w:trPr>
        <w:tc>
          <w:tcPr>
            <w:tcW w:type="dxa" w:w="1531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У-4</w:t>
            </w:r>
          </w:p>
        </w:tc>
        <w:tc>
          <w:tcPr>
            <w:tcW w:type="dxa" w:w="2324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Платёжный сервис, тарифы и продление</w:t>
            </w:r>
          </w:p>
        </w:tc>
        <w:tc>
          <w:tcPr>
            <w:tcW w:type="dxa" w:w="2324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FR-15–FR-17; UC-3</w:t>
            </w:r>
          </w:p>
        </w:tc>
        <w:tc>
          <w:tcPr>
            <w:tcW w:type="dxa" w:w="3175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Выбрать провайдера и тестовый режим, описать подтверждение оплаты, срок, продление и возвраты.</w:t>
            </w:r>
          </w:p>
        </w:tc>
      </w:tr>
      <w:tr>
        <w:trPr>
          <w:cantSplit/>
        </w:trPr>
        <w:tc>
          <w:tcPr>
            <w:tcW w:type="dxa" w:w="1531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У-5</w:t>
            </w:r>
          </w:p>
        </w:tc>
        <w:tc>
          <w:tcPr>
            <w:tcW w:type="dxa" w:w="2324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Политика обработки и удаления данных</w:t>
            </w:r>
          </w:p>
        </w:tc>
        <w:tc>
          <w:tcPr>
            <w:tcW w:type="dxa" w:w="2324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CON-05</w:t>
            </w:r>
          </w:p>
        </w:tc>
        <w:tc>
          <w:tcPr>
            <w:tcW w:type="dxa" w:w="3175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Определить сроки хранения, удаление учётной записи и резервных копий.</w:t>
            </w:r>
          </w:p>
        </w:tc>
      </w:tr>
      <w:tr>
        <w:trPr>
          <w:cantSplit/>
        </w:trPr>
        <w:tc>
          <w:tcPr>
            <w:tcW w:type="dxa" w:w="1531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У-6</w:t>
            </w:r>
          </w:p>
        </w:tc>
        <w:tc>
          <w:tcPr>
            <w:tcW w:type="dxa" w:w="2324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Подписка в первичном анализе</w:t>
            </w:r>
          </w:p>
        </w:tc>
        <w:tc>
          <w:tcPr>
            <w:tcW w:type="dxa" w:w="2324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FR-18; истории питания</w:t>
            </w:r>
          </w:p>
        </w:tc>
        <w:tc>
          <w:tcPr>
            <w:tcW w:type="dxa" w:w="3175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Уточнить истории добавления продуктов и суточных калорий словами «с активной подпиской».</w:t>
            </w:r>
          </w:p>
        </w:tc>
      </w:tr>
    </w:tbl>
    <w:p>
      <w:r>
        <w:t>Пять сценариев описывают основные рабочие процессы, но не являются исчерпывающим набором тестов. Отдельно должны проверяться перечисленные ниже требования и уточнения ТЗ.</w:t>
      </w:r>
    </w:p>
    <w:p>
      <w:pPr>
        <w:keepNext/>
      </w:pPr>
      <w:r>
        <w:t>Таблица 6 – Дополнительные проверки полноты</w:t>
      </w:r>
    </w:p>
    <w:tbl>
      <w:tblPr>
        <w:tblStyle w:val="aff0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3118"/>
        <w:gridCol w:w="4535"/>
      </w:tblGrid>
      <w:tr>
        <w:trPr>
          <w:cantSplit/>
          <w:tblHeader/>
        </w:trPr>
        <w:tc>
          <w:tcPr>
            <w:tcW w:type="dxa" w:w="1701"/>
          </w:tcPr>
          <w:p>
            <w:pPr>
              <w:spacing w:before="0" w:after="4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Область</w:t>
            </w:r>
          </w:p>
        </w:tc>
        <w:tc>
          <w:tcPr>
            <w:tcW w:type="dxa" w:w="3118"/>
          </w:tcPr>
          <w:p>
            <w:pPr>
              <w:spacing w:before="0" w:after="4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Связь</w:t>
            </w:r>
          </w:p>
        </w:tc>
        <w:tc>
          <w:tcPr>
            <w:tcW w:type="dxa" w:w="4535"/>
          </w:tcPr>
          <w:p>
            <w:pPr>
              <w:spacing w:before="0" w:after="4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Необходимая проверка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0" w:after="4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Учётная запись</w:t>
            </w:r>
          </w:p>
        </w:tc>
        <w:tc>
          <w:tcPr>
            <w:tcW w:type="dxa" w:w="3118"/>
          </w:tcPr>
          <w:p>
            <w:pPr>
              <w:spacing w:before="0" w:after="4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FR-01, FR-02</w:t>
            </w:r>
          </w:p>
        </w:tc>
        <w:tc>
          <w:tcPr>
            <w:tcW w:type="dxa" w:w="4535"/>
          </w:tcPr>
          <w:p>
            <w:pPr>
              <w:spacing w:before="0" w:after="4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Регистрация, повторный email, неверный пароль, выход и завершение сессии: в пяти сценариях вход преимущественно является предусловием.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0" w:after="4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Пересчёт плана</w:t>
            </w:r>
          </w:p>
        </w:tc>
        <w:tc>
          <w:tcPr>
            <w:tcW w:type="dxa" w:w="3118"/>
          </w:tcPr>
          <w:p>
            <w:pPr>
              <w:spacing w:before="0" w:after="4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FR-14; UC-1, альтернатива 4</w:t>
            </w:r>
          </w:p>
        </w:tc>
        <w:tc>
          <w:tcPr>
            <w:tcW w:type="dxa" w:w="4535"/>
          </w:tcPr>
          <w:p>
            <w:pPr>
              <w:spacing w:before="0" w:after="4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Отказ и подтверждение пересчёта, сохранение выполненных занятий.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0" w:after="4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История и фильтры</w:t>
            </w:r>
          </w:p>
        </w:tc>
        <w:tc>
          <w:tcPr>
            <w:tcW w:type="dxa" w:w="3118"/>
          </w:tcPr>
          <w:p>
            <w:pPr>
              <w:spacing w:before="0" w:after="4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FR-13, FR-23</w:t>
            </w:r>
          </w:p>
        </w:tc>
        <w:tc>
          <w:tcPr>
            <w:tcW w:type="dxa" w:w="4535"/>
          </w:tcPr>
          <w:p>
            <w:pPr>
              <w:spacing w:before="0" w:after="4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Границы выбранного периода, чужие записи, редактирование и удаление питания.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0" w:after="4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Административные операции</w:t>
            </w:r>
          </w:p>
        </w:tc>
        <w:tc>
          <w:tcPr>
            <w:tcW w:type="dxa" w:w="3118"/>
          </w:tcPr>
          <w:p>
            <w:pPr>
              <w:spacing w:before="0" w:after="4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FR-24–FR-28</w:t>
            </w:r>
          </w:p>
        </w:tc>
        <w:tc>
          <w:tcPr>
            <w:tcW w:type="dxa" w:w="4535"/>
          </w:tcPr>
          <w:p>
            <w:pPr>
              <w:spacing w:before="0" w:after="4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Деактивация, изменение правил, блокирование учётной записи, состав платного доступа и журнал.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0" w:after="4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Качество и ограничения</w:t>
            </w:r>
          </w:p>
        </w:tc>
        <w:tc>
          <w:tcPr>
            <w:tcW w:type="dxa" w:w="3118"/>
          </w:tcPr>
          <w:p>
            <w:pPr>
              <w:spacing w:before="0" w:after="4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NFR-01–NFR-10; CON-01–CON-06</w:t>
            </w:r>
          </w:p>
        </w:tc>
        <w:tc>
          <w:tcPr>
            <w:tcW w:type="dxa" w:w="4535"/>
          </w:tcPr>
          <w:p>
            <w:pPr>
              <w:spacing w:before="0" w:after="4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Отдельные испытания производительности, перезапуска, резервирования, доступа, браузеров и инспекция архитектуры.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0" w:after="4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Уточнения полного ТЗ</w:t>
            </w:r>
          </w:p>
        </w:tc>
        <w:tc>
          <w:tcPr>
            <w:tcW w:type="dxa" w:w="3118"/>
          </w:tcPr>
          <w:p>
            <w:pPr>
              <w:spacing w:before="0" w:after="4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ТЗ 6.5.1, 6.5.2.3, 6.5.3, 6.6.4</w:t>
            </w:r>
          </w:p>
        </w:tc>
        <w:tc>
          <w:tcPr>
            <w:tcW w:type="dxa" w:w="4535"/>
          </w:tcPr>
          <w:p>
            <w:pPr>
              <w:spacing w:before="0" w:after="4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Округление калорий до 0,1 ккал, целочисленность подходов и повторений, единый часовой пояс, защита изменяющих запросов. Эти детали раскрывают требования и требуют дополнительных тестов.</w:t>
            </w:r>
          </w:p>
        </w:tc>
      </w:tr>
    </w:tbl>
    <w:p>
      <w:pPr>
        <w:pStyle w:val="1"/>
      </w:pPr>
      <w:r>
        <w:t>6. Итог проверки</w:t>
      </w:r>
    </w:p>
    <w:p>
      <w:r>
        <w:t>Основные потребности пользователя и администратора отражены в перечне требований. Все 40 шагов пяти основных потоков имеют ссылки на требования; альтернативные потоки также сопоставлены с требованиями. Это подтверждает трассируемость, но не заменяет проверку всех функций и испытание реализации. Для питания, оплаты и истории в комплекте приняты единые проектные правила. Полнота деталей алгоритмов и оплаты пока не подтверждена: необходимо решить вопросы У-1–У-6. Дополнительные проверки функций и качества приведены в таблице 6.</w:t>
      </w:r>
    </w:p>
    <w:sectPr w:rsidR="008A251D" w:rsidRPr="009D462A" w:rsidSect="00034616">
      <w:headerReference w:type="even" r:id="rId8"/>
      <w:headerReference w:type="default" r:id="rId9"/>
      <w:headerReference w:type="first" r:id="rId10"/>
      <w:footerReference w:type="default" r:id="rId13"/>
      <w:footerReference w:type="first" r:id="rId14"/>
      <w:footerReference w:type="even" r:id="rId15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8076E" w:rsidRDefault="0098076E">
      <w:pPr>
        <w:spacing w:after="0" w:line="240" w:lineRule="auto"/>
      </w:pPr>
      <w:r>
        <w:separator/>
      </w:r>
    </w:p>
  </w:endnote>
  <w:endnote w:type="continuationSeparator" w:id="0">
    <w:p w:rsidR="0098076E" w:rsidRDefault="009807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ind w:firstLine="0"/>
      <w:jc w:val="center"/>
    </w:pPr>
    <w:fldSimple w:instr=" PAGE 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8076E" w:rsidRDefault="0098076E">
      <w:pPr>
        <w:spacing w:after="0" w:line="240" w:lineRule="auto"/>
      </w:pPr>
      <w:r>
        <w:separator/>
      </w:r>
    </w:p>
  </w:footnote>
  <w:footnote w:type="continuationSeparator" w:id="0">
    <w:p w:rsidR="0098076E" w:rsidRDefault="009807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/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/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A1471"/>
    <w:rsid w:val="0015074B"/>
    <w:rsid w:val="00162A9D"/>
    <w:rsid w:val="00204EB3"/>
    <w:rsid w:val="0029639D"/>
    <w:rsid w:val="00326F90"/>
    <w:rsid w:val="008A251D"/>
    <w:rsid w:val="0098076E"/>
    <w:rsid w:val="009D462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04E6BF"/>
  <w14:defaultImageDpi w14:val="300"/>
  <w15:docId w15:val="{4DEAD19B-C29C-443E-A6A0-3CC9EB7C9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/>
      <w:b/>
      <w:bCs/>
      <w:i/>
      <w:iCs/>
      <w:color w:val="000000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789BE55-0614-4D32-9114-0C3B9E9CE1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1975</Words>
  <Characters>11260</Characters>
  <Application>Microsoft Office Word</Application>
  <DocSecurity>0</DocSecurity>
  <Lines>93</Lines>
  <Paragraphs>26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13209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Верещагин В. И.</dc:creator>
  <cp:keywords/>
  <dc:description>generated by python-docx</dc:description>
  <cp:lastModifiedBy>Широнина Анна Андреевна</cp:lastModifiedBy>
  <cp:revision>3</cp:revision>
  <dcterms:created xsi:type="dcterms:W3CDTF">2013-12-23T23:15:00Z</dcterms:created>
  <dcterms:modified xsi:type="dcterms:W3CDTF">2026-09-30T15:48:00Z</dcterms:modified>
  <cp:category/>
</cp:coreProperties>
</file>