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61D6D">
      <w:pPr>
        <w:spacing w:before="78"/>
        <w:ind w:left="2197" w:right="2003" w:firstLine="0"/>
        <w:jc w:val="center"/>
        <w:rPr>
          <w:b/>
          <w:sz w:val="24"/>
        </w:rPr>
      </w:pPr>
      <w:r>
        <w:rPr>
          <w:b/>
          <w:sz w:val="24"/>
        </w:rPr>
        <w:drawing>
          <wp:anchor distT="0" distB="0" distL="0" distR="0" simplePos="0" relativeHeight="251660288" behindDoc="0" locked="0" layoutInCell="1" allowOverlap="1">
            <wp:simplePos x="0" y="0"/>
            <wp:positionH relativeFrom="page">
              <wp:posOffset>628015</wp:posOffset>
            </wp:positionH>
            <wp:positionV relativeFrom="paragraph">
              <wp:posOffset>231775</wp:posOffset>
            </wp:positionV>
            <wp:extent cx="920115" cy="1362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20115" cy="1361948"/>
                    </a:xfrm>
                    <a:prstGeom prst="rect">
                      <a:avLst/>
                    </a:prstGeom>
                  </pic:spPr>
                </pic:pic>
              </a:graphicData>
            </a:graphic>
          </wp:anchor>
        </w:drawing>
      </w:r>
      <w:r>
        <w:rPr>
          <w:b/>
          <w:sz w:val="24"/>
        </w:rPr>
        <w:t>Universidad</w:t>
      </w:r>
      <w:r>
        <w:rPr>
          <w:b/>
          <w:spacing w:val="-3"/>
          <w:sz w:val="24"/>
        </w:rPr>
        <w:t xml:space="preserve"> </w:t>
      </w:r>
      <w:r>
        <w:rPr>
          <w:b/>
          <w:sz w:val="24"/>
        </w:rPr>
        <w:t>de</w:t>
      </w:r>
      <w:r>
        <w:rPr>
          <w:b/>
          <w:spacing w:val="-1"/>
          <w:sz w:val="24"/>
        </w:rPr>
        <w:t xml:space="preserve"> </w:t>
      </w:r>
      <w:r>
        <w:rPr>
          <w:b/>
          <w:spacing w:val="-2"/>
          <w:sz w:val="24"/>
        </w:rPr>
        <w:t>Guayaquil</w:t>
      </w:r>
    </w:p>
    <w:p w14:paraId="1F20FF7F">
      <w:pPr>
        <w:pStyle w:val="8"/>
        <w:spacing w:before="4"/>
        <w:rPr>
          <w:b/>
        </w:rPr>
      </w:pPr>
    </w:p>
    <w:p w14:paraId="2C30F490">
      <w:pPr>
        <w:spacing w:before="0" w:line="484" w:lineRule="auto"/>
        <w:ind w:left="2189" w:right="2003" w:firstLine="0"/>
        <w:jc w:val="center"/>
        <w:rPr>
          <w:b/>
          <w:sz w:val="24"/>
        </w:rPr>
      </w:pPr>
      <w:r>
        <w:rPr>
          <w:b/>
          <w:sz w:val="24"/>
        </w:rPr>
        <w:drawing>
          <wp:anchor distT="0" distB="0" distL="0" distR="0" simplePos="0" relativeHeight="251659264" behindDoc="0" locked="0" layoutInCell="1" allowOverlap="1">
            <wp:simplePos x="0" y="0"/>
            <wp:positionH relativeFrom="page">
              <wp:posOffset>6232525</wp:posOffset>
            </wp:positionH>
            <wp:positionV relativeFrom="paragraph">
              <wp:posOffset>-27305</wp:posOffset>
            </wp:positionV>
            <wp:extent cx="975360" cy="114363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75283" cy="1143634"/>
                    </a:xfrm>
                    <a:prstGeom prst="rect">
                      <a:avLst/>
                    </a:prstGeom>
                  </pic:spPr>
                </pic:pic>
              </a:graphicData>
            </a:graphic>
          </wp:anchor>
        </w:drawing>
      </w:r>
      <w:r>
        <w:rPr>
          <w:b/>
          <w:sz w:val="24"/>
        </w:rPr>
        <w:t>Facultad</w:t>
      </w:r>
      <w:r>
        <w:rPr>
          <w:b/>
          <w:spacing w:val="-15"/>
          <w:sz w:val="24"/>
        </w:rPr>
        <w:t xml:space="preserve"> </w:t>
      </w:r>
      <w:r>
        <w:rPr>
          <w:b/>
          <w:sz w:val="24"/>
        </w:rPr>
        <w:t>de</w:t>
      </w:r>
      <w:r>
        <w:rPr>
          <w:b/>
          <w:spacing w:val="-15"/>
          <w:sz w:val="24"/>
        </w:rPr>
        <w:t xml:space="preserve"> </w:t>
      </w:r>
      <w:r>
        <w:rPr>
          <w:b/>
          <w:sz w:val="24"/>
        </w:rPr>
        <w:t>Jurisprudencia</w:t>
      </w:r>
      <w:r>
        <w:rPr>
          <w:b/>
          <w:spacing w:val="-15"/>
          <w:sz w:val="24"/>
        </w:rPr>
        <w:t xml:space="preserve"> </w:t>
      </w:r>
      <w:r>
        <w:rPr>
          <w:b/>
          <w:sz w:val="24"/>
        </w:rPr>
        <w:t>y</w:t>
      </w:r>
      <w:r>
        <w:rPr>
          <w:b/>
          <w:spacing w:val="-15"/>
          <w:sz w:val="24"/>
        </w:rPr>
        <w:t xml:space="preserve"> </w:t>
      </w:r>
      <w:r>
        <w:rPr>
          <w:b/>
          <w:sz w:val="24"/>
        </w:rPr>
        <w:t>Ciencias</w:t>
      </w:r>
      <w:r>
        <w:rPr>
          <w:b/>
          <w:spacing w:val="-15"/>
          <w:sz w:val="24"/>
        </w:rPr>
        <w:t xml:space="preserve"> </w:t>
      </w:r>
      <w:r>
        <w:rPr>
          <w:b/>
          <w:sz w:val="24"/>
        </w:rPr>
        <w:t>Sociales</w:t>
      </w:r>
      <w:r>
        <w:rPr>
          <w:b/>
          <w:spacing w:val="-15"/>
          <w:sz w:val="24"/>
        </w:rPr>
        <w:t xml:space="preserve"> </w:t>
      </w:r>
      <w:r>
        <w:rPr>
          <w:b/>
          <w:sz w:val="24"/>
        </w:rPr>
        <w:t>y</w:t>
      </w:r>
      <w:r>
        <w:rPr>
          <w:b/>
          <w:spacing w:val="-15"/>
          <w:sz w:val="24"/>
        </w:rPr>
        <w:t xml:space="preserve"> </w:t>
      </w:r>
      <w:r>
        <w:rPr>
          <w:b/>
          <w:sz w:val="24"/>
        </w:rPr>
        <w:t>Políticas Carrera de Derecho</w:t>
      </w:r>
    </w:p>
    <w:p w14:paraId="26982C1A">
      <w:pPr>
        <w:spacing w:before="0" w:line="266" w:lineRule="exact"/>
        <w:ind w:left="2189" w:right="2021" w:firstLine="0"/>
        <w:jc w:val="center"/>
        <w:rPr>
          <w:b/>
          <w:sz w:val="24"/>
        </w:rPr>
      </w:pPr>
      <w:r>
        <w:rPr>
          <w:b/>
          <w:sz w:val="24"/>
        </w:rPr>
        <w:t>Derecho</w:t>
      </w:r>
      <w:r>
        <w:rPr>
          <w:b/>
          <w:spacing w:val="-5"/>
          <w:sz w:val="24"/>
        </w:rPr>
        <w:t xml:space="preserve"> </w:t>
      </w:r>
      <w:r>
        <w:rPr>
          <w:b/>
          <w:sz w:val="24"/>
        </w:rPr>
        <w:t>Constitucional</w:t>
      </w:r>
      <w:r>
        <w:rPr>
          <w:b/>
          <w:spacing w:val="-8"/>
          <w:sz w:val="24"/>
        </w:rPr>
        <w:t xml:space="preserve"> </w:t>
      </w:r>
      <w:r>
        <w:rPr>
          <w:b/>
          <w:spacing w:val="-5"/>
          <w:sz w:val="24"/>
        </w:rPr>
        <w:t>II</w:t>
      </w:r>
    </w:p>
    <w:p w14:paraId="7295CC77">
      <w:pPr>
        <w:pStyle w:val="8"/>
        <w:rPr>
          <w:b/>
        </w:rPr>
      </w:pPr>
    </w:p>
    <w:p w14:paraId="3A08D55E">
      <w:pPr>
        <w:pStyle w:val="8"/>
        <w:rPr>
          <w:b/>
        </w:rPr>
      </w:pPr>
    </w:p>
    <w:p w14:paraId="49B5FD67">
      <w:pPr>
        <w:pStyle w:val="8"/>
        <w:spacing w:before="6"/>
        <w:rPr>
          <w:b/>
        </w:rPr>
      </w:pPr>
    </w:p>
    <w:p w14:paraId="5D8F4EE4">
      <w:pPr>
        <w:spacing w:before="0"/>
        <w:ind w:left="2189" w:right="2182" w:firstLine="0"/>
        <w:jc w:val="center"/>
        <w:rPr>
          <w:b/>
          <w:sz w:val="24"/>
        </w:rPr>
      </w:pPr>
      <w:r>
        <w:rPr>
          <w:b/>
          <w:spacing w:val="-2"/>
          <w:sz w:val="24"/>
        </w:rPr>
        <w:t>Investigación</w:t>
      </w:r>
    </w:p>
    <w:p w14:paraId="73188EDC">
      <w:pPr>
        <w:pStyle w:val="8"/>
        <w:spacing w:before="271"/>
        <w:ind w:right="2"/>
        <w:jc w:val="center"/>
        <w:rPr>
          <w:rFonts w:hint="default"/>
          <w:lang w:val="es-EC"/>
        </w:rPr>
      </w:pPr>
      <w:r>
        <w:rPr>
          <w:rFonts w:hint="default"/>
          <w:lang w:val="es-EC"/>
        </w:rPr>
        <w:t>Resumen del caso Río Aquepi</w:t>
      </w:r>
      <w:bookmarkStart w:id="7" w:name="_GoBack"/>
      <w:bookmarkEnd w:id="7"/>
    </w:p>
    <w:p w14:paraId="58DF0AC1">
      <w:pPr>
        <w:pStyle w:val="8"/>
        <w:spacing w:before="9"/>
      </w:pPr>
    </w:p>
    <w:p w14:paraId="25D8BCA6">
      <w:pPr>
        <w:pStyle w:val="3"/>
        <w:spacing w:before="1"/>
        <w:ind w:right="2189"/>
      </w:pPr>
      <w:bookmarkStart w:id="0" w:name="Alumno:"/>
      <w:bookmarkEnd w:id="0"/>
      <w:r>
        <w:rPr>
          <w:spacing w:val="-2"/>
        </w:rPr>
        <w:t>Alumno:</w:t>
      </w:r>
    </w:p>
    <w:p w14:paraId="5BDDC3A2">
      <w:pPr>
        <w:pStyle w:val="8"/>
        <w:spacing w:before="271"/>
        <w:ind w:left="2189" w:right="2183"/>
        <w:jc w:val="center"/>
      </w:pPr>
      <w:r>
        <w:t>DANNY</w:t>
      </w:r>
      <w:r>
        <w:rPr>
          <w:spacing w:val="-7"/>
        </w:rPr>
        <w:t xml:space="preserve"> </w:t>
      </w:r>
      <w:r>
        <w:t>PABLO</w:t>
      </w:r>
      <w:r>
        <w:rPr>
          <w:spacing w:val="-1"/>
        </w:rPr>
        <w:t xml:space="preserve"> </w:t>
      </w:r>
      <w:r>
        <w:t>JIMA</w:t>
      </w:r>
      <w:r>
        <w:rPr>
          <w:spacing w:val="-11"/>
        </w:rPr>
        <w:t xml:space="preserve"> </w:t>
      </w:r>
      <w:r>
        <w:rPr>
          <w:spacing w:val="-4"/>
        </w:rPr>
        <w:t>SOLIZ</w:t>
      </w:r>
    </w:p>
    <w:p w14:paraId="28544932">
      <w:pPr>
        <w:pStyle w:val="8"/>
      </w:pPr>
    </w:p>
    <w:p w14:paraId="78BC42FF">
      <w:pPr>
        <w:pStyle w:val="8"/>
      </w:pPr>
    </w:p>
    <w:p w14:paraId="53A16323">
      <w:pPr>
        <w:pStyle w:val="8"/>
        <w:spacing w:before="20"/>
      </w:pPr>
    </w:p>
    <w:p w14:paraId="0331C008">
      <w:pPr>
        <w:pStyle w:val="3"/>
        <w:ind w:right="2187"/>
      </w:pPr>
      <w:bookmarkStart w:id="1" w:name="Curso:"/>
      <w:bookmarkEnd w:id="1"/>
      <w:r>
        <w:rPr>
          <w:spacing w:val="-2"/>
        </w:rPr>
        <w:t>Curso:</w:t>
      </w:r>
    </w:p>
    <w:p w14:paraId="0DC4E2FD">
      <w:pPr>
        <w:pStyle w:val="8"/>
        <w:spacing w:before="267"/>
        <w:ind w:left="2189" w:right="2127"/>
        <w:jc w:val="center"/>
      </w:pPr>
      <w:r>
        <w:t>5-</w:t>
      </w:r>
      <w:r>
        <w:rPr>
          <w:spacing w:val="-5"/>
        </w:rPr>
        <w:t>10</w:t>
      </w:r>
    </w:p>
    <w:p w14:paraId="0939BF14">
      <w:pPr>
        <w:pStyle w:val="8"/>
      </w:pPr>
    </w:p>
    <w:p w14:paraId="324A52B2">
      <w:pPr>
        <w:pStyle w:val="8"/>
      </w:pPr>
    </w:p>
    <w:p w14:paraId="47FC0FD1">
      <w:pPr>
        <w:pStyle w:val="8"/>
        <w:spacing w:before="19"/>
      </w:pPr>
    </w:p>
    <w:p w14:paraId="164DF0ED">
      <w:pPr>
        <w:pStyle w:val="3"/>
        <w:ind w:right="2187"/>
      </w:pPr>
      <w:bookmarkStart w:id="2" w:name="Doctor:"/>
      <w:bookmarkEnd w:id="2"/>
      <w:r>
        <w:rPr>
          <w:spacing w:val="-2"/>
        </w:rPr>
        <w:t>Doctor:</w:t>
      </w:r>
    </w:p>
    <w:p w14:paraId="3C5C8966">
      <w:pPr>
        <w:pStyle w:val="8"/>
        <w:spacing w:before="267"/>
        <w:ind w:left="2189" w:right="2197"/>
        <w:jc w:val="center"/>
      </w:pPr>
      <w:r>
        <w:t>Abg.</w:t>
      </w:r>
      <w:r>
        <w:rPr>
          <w:spacing w:val="-1"/>
        </w:rPr>
        <w:t xml:space="preserve"> </w:t>
      </w:r>
      <w:r>
        <w:t>Baquerizo Bustos</w:t>
      </w:r>
      <w:r>
        <w:rPr>
          <w:spacing w:val="-9"/>
        </w:rPr>
        <w:t xml:space="preserve"> </w:t>
      </w:r>
      <w:r>
        <w:t>Cesar</w:t>
      </w:r>
      <w:r>
        <w:rPr>
          <w:spacing w:val="-1"/>
        </w:rPr>
        <w:t xml:space="preserve"> </w:t>
      </w:r>
      <w:r>
        <w:rPr>
          <w:spacing w:val="-2"/>
        </w:rPr>
        <w:t>Benito</w:t>
      </w:r>
    </w:p>
    <w:p w14:paraId="1CE38801">
      <w:pPr>
        <w:pStyle w:val="8"/>
      </w:pPr>
    </w:p>
    <w:p w14:paraId="55994764">
      <w:pPr>
        <w:pStyle w:val="8"/>
      </w:pPr>
    </w:p>
    <w:p w14:paraId="1B543E88">
      <w:pPr>
        <w:pStyle w:val="8"/>
        <w:spacing w:before="19"/>
      </w:pPr>
    </w:p>
    <w:p w14:paraId="212614ED">
      <w:pPr>
        <w:pStyle w:val="3"/>
        <w:ind w:right="2187"/>
      </w:pPr>
      <w:bookmarkStart w:id="3" w:name="Fecha de entrega:"/>
      <w:bookmarkEnd w:id="3"/>
      <w:r>
        <w:t>Fecha</w:t>
      </w:r>
      <w:r>
        <w:rPr>
          <w:spacing w:val="-1"/>
        </w:rPr>
        <w:t xml:space="preserve"> </w:t>
      </w:r>
      <w:r>
        <w:t xml:space="preserve">de </w:t>
      </w:r>
      <w:r>
        <w:rPr>
          <w:spacing w:val="-2"/>
        </w:rPr>
        <w:t>entrega:</w:t>
      </w:r>
    </w:p>
    <w:p w14:paraId="51380E2B">
      <w:pPr>
        <w:pStyle w:val="8"/>
        <w:spacing w:before="272"/>
        <w:ind w:left="2189" w:right="2195"/>
        <w:jc w:val="center"/>
      </w:pPr>
      <w:r>
        <w:t xml:space="preserve">Guayaquil, </w:t>
      </w:r>
      <w:r>
        <w:rPr>
          <w:rFonts w:hint="default"/>
          <w:lang w:val="es-EC"/>
        </w:rPr>
        <w:t>Lunes</w:t>
      </w:r>
      <w:r>
        <w:rPr>
          <w:spacing w:val="-3"/>
        </w:rPr>
        <w:t xml:space="preserve"> </w:t>
      </w:r>
      <w:r>
        <w:rPr>
          <w:rFonts w:hint="default"/>
          <w:spacing w:val="-3"/>
          <w:lang w:val="es-EC"/>
        </w:rPr>
        <w:t>02</w:t>
      </w:r>
      <w:r>
        <w:rPr>
          <w:spacing w:val="-1"/>
        </w:rPr>
        <w:t xml:space="preserve"> </w:t>
      </w:r>
      <w:r>
        <w:t>de</w:t>
      </w:r>
      <w:r>
        <w:rPr>
          <w:spacing w:val="-2"/>
        </w:rPr>
        <w:t xml:space="preserve"> </w:t>
      </w:r>
      <w:r>
        <w:rPr>
          <w:rFonts w:hint="default"/>
          <w:lang w:val="es-EC"/>
        </w:rPr>
        <w:t>Febrero</w:t>
      </w:r>
      <w:r>
        <w:rPr>
          <w:spacing w:val="3"/>
        </w:rPr>
        <w:t xml:space="preserve"> </w:t>
      </w:r>
      <w:r>
        <w:t>del</w:t>
      </w:r>
      <w:r>
        <w:rPr>
          <w:spacing w:val="-9"/>
        </w:rPr>
        <w:t xml:space="preserve"> </w:t>
      </w:r>
      <w:r>
        <w:rPr>
          <w:spacing w:val="-4"/>
        </w:rPr>
        <w:t>2026</w:t>
      </w:r>
    </w:p>
    <w:p w14:paraId="0DD34D04">
      <w:pPr>
        <w:pStyle w:val="8"/>
      </w:pPr>
    </w:p>
    <w:p w14:paraId="58974ABF">
      <w:pPr>
        <w:pStyle w:val="8"/>
      </w:pPr>
    </w:p>
    <w:p w14:paraId="126D58C5">
      <w:pPr>
        <w:pStyle w:val="8"/>
        <w:spacing w:before="19"/>
      </w:pPr>
    </w:p>
    <w:p w14:paraId="5D9F992F">
      <w:pPr>
        <w:pStyle w:val="3"/>
        <w:ind w:right="2189"/>
      </w:pPr>
      <w:bookmarkStart w:id="4" w:name="Período:"/>
      <w:bookmarkEnd w:id="4"/>
      <w:r>
        <w:rPr>
          <w:spacing w:val="-2"/>
        </w:rPr>
        <w:t>Período:</w:t>
      </w:r>
    </w:p>
    <w:p w14:paraId="30AE273C">
      <w:pPr>
        <w:pStyle w:val="8"/>
        <w:spacing w:before="267"/>
        <w:ind w:left="2189" w:right="2189"/>
        <w:jc w:val="center"/>
      </w:pPr>
      <w:r>
        <w:t>2025-</w:t>
      </w:r>
      <w:r>
        <w:rPr>
          <w:spacing w:val="-4"/>
        </w:rPr>
        <w:t>2026</w:t>
      </w:r>
    </w:p>
    <w:p w14:paraId="25BFDF6F">
      <w:pPr>
        <w:pStyle w:val="8"/>
        <w:spacing w:after="0"/>
        <w:jc w:val="center"/>
        <w:sectPr>
          <w:type w:val="continuous"/>
          <w:pgSz w:w="12240" w:h="15840"/>
          <w:pgMar w:top="1340" w:right="720" w:bottom="280" w:left="720" w:header="720" w:footer="720" w:gutter="0"/>
          <w:cols w:space="720" w:num="1"/>
        </w:sectPr>
      </w:pPr>
    </w:p>
    <w:p w14:paraId="6DA8E410">
      <w:pPr>
        <w:pStyle w:val="7"/>
        <w:keepNext w:val="0"/>
        <w:keepLines w:val="0"/>
        <w:pageBreakBefore w:val="0"/>
        <w:widowControl/>
        <w:suppressLineNumbers w:val="0"/>
        <w:kinsoku/>
        <w:wordWrap/>
        <w:overflowPunct/>
        <w:topLinePunct w:val="0"/>
        <w:bidi w:val="0"/>
        <w:adjustRightInd/>
        <w:snapToGrid/>
        <w:spacing w:beforeAutospacing="0" w:afterAutospacing="0" w:line="480" w:lineRule="auto"/>
        <w:ind w:firstLine="304" w:firstLineChars="126"/>
        <w:textAlignment w:val="auto"/>
        <w:rPr>
          <w:rStyle w:val="6"/>
        </w:rPr>
      </w:pPr>
      <w:bookmarkStart w:id="5" w:name="RESUMEN EJECUTIVO"/>
      <w:bookmarkEnd w:id="5"/>
      <w:r>
        <w:rPr>
          <w:rStyle w:val="6"/>
        </w:rPr>
        <w:t xml:space="preserve">Resumen del Caso Río Aquepi </w:t>
      </w:r>
    </w:p>
    <w:p w14:paraId="3D1231C3">
      <w:pPr>
        <w:pStyle w:val="7"/>
        <w:keepNext w:val="0"/>
        <w:keepLines w:val="0"/>
        <w:pageBreakBefore w:val="0"/>
        <w:widowControl/>
        <w:suppressLineNumbers w:val="0"/>
        <w:kinsoku/>
        <w:wordWrap/>
        <w:overflowPunct/>
        <w:topLinePunct w:val="0"/>
        <w:bidi w:val="0"/>
        <w:adjustRightInd/>
        <w:snapToGrid/>
        <w:spacing w:beforeAutospacing="0" w:afterAutospacing="0" w:line="480" w:lineRule="auto"/>
        <w:ind w:firstLine="302" w:firstLineChars="126"/>
        <w:textAlignment w:val="auto"/>
      </w:pPr>
      <w:r>
        <w:t>El caso del río Aquepi surge a partir de una acción de protección presentada por los habitantes de la comuna Julio Moreno Espinosa y del recinto San Vicente de Aquepi, ubicados en la provincia de Santo Domingo de los Tsáchilas, en contra de la Secretaría Nacional del Agua (SENAGUA) y del Gobierno Autónomo Descentralizado Provincial. Los accionantes alegaron que la autorización otorgada para el aprovechamiento de aproximadamente 400 litros por segundo del caudal del río Aquepi, destinada a la ejecución del proyecto de riego comunitario denominado “Unión Carchense”, vulneró sus derechos constitucionales al agua, a la salud, a vivir en un ambiente sano, a la consulta ambiental y a los derechos de la naturaleza.</w:t>
      </w:r>
    </w:p>
    <w:p w14:paraId="0DE1F5B9">
      <w:pPr>
        <w:pStyle w:val="7"/>
        <w:keepNext w:val="0"/>
        <w:keepLines w:val="0"/>
        <w:pageBreakBefore w:val="0"/>
        <w:widowControl/>
        <w:suppressLineNumbers w:val="0"/>
        <w:kinsoku/>
        <w:wordWrap/>
        <w:overflowPunct/>
        <w:topLinePunct w:val="0"/>
        <w:bidi w:val="0"/>
        <w:adjustRightInd/>
        <w:snapToGrid/>
        <w:spacing w:beforeAutospacing="0" w:afterAutospacing="0" w:line="480" w:lineRule="auto"/>
        <w:ind w:firstLine="302" w:firstLineChars="126"/>
        <w:textAlignment w:val="auto"/>
      </w:pPr>
      <w:r>
        <w:t>Las comunidades que habitan a lo largo de la cuenca del río Aquepi dependen directamente de este recurso hídrico para el consumo humano, así como para actividades agrícolas, ganaderas y turísticas. Según los accionantes, el proyecto de riego fue autorizado sin una adecuada socialización ni consulta ambiental previa, y con base en estudios técnicos que no reflejaban de manera real la disminución del caudal del río, especialmente durante la época de estiaje. Esta situación generó preocupación en la población, ya que consideraban que el proyecto podía afectar gravemente el equilibrio del ecosistema, reducir el caudal ecológico del río y poner en riesgo el acceso al agua para las comunidades ribereñas.</w:t>
      </w:r>
    </w:p>
    <w:p w14:paraId="299AA821">
      <w:pPr>
        <w:pStyle w:val="7"/>
        <w:keepNext w:val="0"/>
        <w:keepLines w:val="0"/>
        <w:pageBreakBefore w:val="0"/>
        <w:widowControl/>
        <w:suppressLineNumbers w:val="0"/>
        <w:kinsoku/>
        <w:wordWrap/>
        <w:overflowPunct/>
        <w:topLinePunct w:val="0"/>
        <w:bidi w:val="0"/>
        <w:adjustRightInd/>
        <w:snapToGrid/>
        <w:spacing w:beforeAutospacing="0" w:afterAutospacing="0" w:line="480" w:lineRule="auto"/>
        <w:ind w:firstLine="302" w:firstLineChars="126"/>
        <w:textAlignment w:val="auto"/>
      </w:pPr>
      <w:r>
        <w:t>En primera instancia, el juez que conoció la causa rechazó la acción de protección, argumentando que se trataba de un asunto de mera legalidad y que no se evidenciaba una vulneración directa de derechos constitucionales. No obstante, esta decisión fue apelada y, en segunda instancia, la Corte Provincial de Santo Domingo de los Tsáchilas revocó la sentencia inicial, aceptó la acción de protección y determinó que se vulneró el derecho a la seguridad jurídica, principalmente por la falta de cumplimiento de las normas relacionadas con la consulta ambiental y la participación de la comunidad.</w:t>
      </w:r>
    </w:p>
    <w:p w14:paraId="68CE7684">
      <w:pPr>
        <w:pStyle w:val="7"/>
        <w:keepNext w:val="0"/>
        <w:keepLines w:val="0"/>
        <w:pageBreakBefore w:val="0"/>
        <w:widowControl/>
        <w:suppressLineNumbers w:val="0"/>
        <w:kinsoku/>
        <w:wordWrap/>
        <w:overflowPunct/>
        <w:topLinePunct w:val="0"/>
        <w:bidi w:val="0"/>
        <w:adjustRightInd/>
        <w:snapToGrid/>
        <w:spacing w:beforeAutospacing="0" w:afterAutospacing="0" w:line="480" w:lineRule="auto"/>
        <w:ind w:firstLine="302" w:firstLineChars="126"/>
        <w:textAlignment w:val="auto"/>
      </w:pPr>
      <w:r>
        <w:t>Posteriormente, el caso fue seleccionado para revisión por la Corte Constitucional del Ecuador, debido a su relevancia y novedad jurídica, especialmente en relación con el reconocimiento y desarrollo de los derechos de la naturaleza. En su análisis, la Corte Constitucional reconoció al río Aquepi como un sujeto de derechos, señalando que la naturaleza tiene derecho a que se respete integralmente su existencia, así como el mantenimiento y la regeneración de sus ciclos vitales, estructura, funciones y procesos evolutivos.</w:t>
      </w:r>
    </w:p>
    <w:p w14:paraId="48DB2FF3">
      <w:pPr>
        <w:pStyle w:val="7"/>
        <w:keepNext w:val="0"/>
        <w:keepLines w:val="0"/>
        <w:pageBreakBefore w:val="0"/>
        <w:widowControl/>
        <w:suppressLineNumbers w:val="0"/>
        <w:kinsoku/>
        <w:wordWrap/>
        <w:overflowPunct/>
        <w:topLinePunct w:val="0"/>
        <w:bidi w:val="0"/>
        <w:adjustRightInd/>
        <w:snapToGrid/>
        <w:spacing w:beforeAutospacing="0" w:afterAutospacing="0" w:line="480" w:lineRule="auto"/>
        <w:ind w:firstLine="302" w:firstLineChars="126"/>
        <w:textAlignment w:val="auto"/>
      </w:pPr>
      <w:r>
        <w:t>La Corte concluyó que la autorización del aprovechamiento del agua para el proyecto de riego no garantizó de forma adecuada el caudal ecológico del río ni la protección integral del ecosistema fluvial. Asimismo, determinó que la ausencia de una consulta ambiental efectiva vulneró derechos constitucionales tanto de la naturaleza como de las comunidades afectadas. En consecuencia, el tribunal enfatizó la obligación del Estado de proteger los recursos hídricos, priorizar el consumo humano y el equilibrio ecológico, y garantizar la participación informada de las comunidades en decisiones que puedan afectar su entorno, disponiendo medidas de reparación orientadas a la protección del río Aquepi y de los derechos de la población ribereña.</w:t>
      </w:r>
    </w:p>
    <w:p w14:paraId="5AF7FE00">
      <w:pPr>
        <w:pStyle w:val="8"/>
        <w:keepNext w:val="0"/>
        <w:keepLines w:val="0"/>
        <w:pageBreakBefore w:val="0"/>
        <w:kinsoku/>
        <w:wordWrap/>
        <w:overflowPunct/>
        <w:topLinePunct w:val="0"/>
        <w:bidi w:val="0"/>
        <w:adjustRightInd/>
        <w:snapToGrid/>
        <w:spacing w:beforeAutospacing="0" w:afterAutospacing="0" w:line="480" w:lineRule="auto"/>
        <w:ind w:firstLine="302" w:firstLineChars="126"/>
        <w:textAlignment w:val="auto"/>
      </w:pPr>
    </w:p>
    <w:p w14:paraId="471326C9">
      <w:pPr>
        <w:pStyle w:val="8"/>
      </w:pPr>
    </w:p>
    <w:p w14:paraId="3169AA53">
      <w:pPr>
        <w:pStyle w:val="8"/>
      </w:pPr>
    </w:p>
    <w:p w14:paraId="0294BD89">
      <w:pPr>
        <w:pStyle w:val="8"/>
      </w:pPr>
    </w:p>
    <w:p w14:paraId="31ED550D">
      <w:pPr>
        <w:pStyle w:val="8"/>
      </w:pPr>
    </w:p>
    <w:p w14:paraId="1E90B488">
      <w:pPr>
        <w:pStyle w:val="8"/>
      </w:pPr>
    </w:p>
    <w:p w14:paraId="2E55B4D2">
      <w:pPr>
        <w:pStyle w:val="8"/>
      </w:pPr>
    </w:p>
    <w:p w14:paraId="21643B55">
      <w:pPr>
        <w:pStyle w:val="8"/>
      </w:pPr>
    </w:p>
    <w:p w14:paraId="5A5CB2FE">
      <w:pPr>
        <w:pStyle w:val="8"/>
      </w:pPr>
    </w:p>
    <w:p w14:paraId="46B273EA">
      <w:pPr>
        <w:pStyle w:val="8"/>
      </w:pPr>
    </w:p>
    <w:p w14:paraId="0842745E">
      <w:pPr>
        <w:pStyle w:val="8"/>
      </w:pPr>
    </w:p>
    <w:p w14:paraId="3A2C1CDC">
      <w:pPr>
        <w:pStyle w:val="8"/>
        <w:spacing w:before="175"/>
      </w:pPr>
    </w:p>
    <w:p w14:paraId="54F49B61">
      <w:pPr>
        <w:pStyle w:val="2"/>
        <w:ind w:left="2189" w:right="2192"/>
        <w:jc w:val="center"/>
      </w:pPr>
      <w:bookmarkStart w:id="6" w:name="BIBLIOGRAFÍA"/>
      <w:bookmarkEnd w:id="6"/>
      <w:r>
        <w:rPr>
          <w:spacing w:val="-2"/>
        </w:rPr>
        <w:t>BIBLIOGRAFÍA</w:t>
      </w:r>
    </w:p>
    <w:p w14:paraId="2E339F9D">
      <w:pPr>
        <w:pStyle w:val="8"/>
        <w:spacing w:before="272" w:line="480" w:lineRule="auto"/>
        <w:ind w:left="1383" w:right="736" w:hanging="303"/>
      </w:pPr>
      <w:r>
        <w:t>Asamblea</w:t>
      </w:r>
      <w:r>
        <w:rPr>
          <w:spacing w:val="-4"/>
        </w:rPr>
        <w:t xml:space="preserve"> </w:t>
      </w:r>
      <w:r>
        <w:t>Nacional</w:t>
      </w:r>
      <w:r>
        <w:rPr>
          <w:spacing w:val="-11"/>
        </w:rPr>
        <w:t xml:space="preserve"> </w:t>
      </w:r>
      <w:r>
        <w:t>del</w:t>
      </w:r>
      <w:r>
        <w:rPr>
          <w:spacing w:val="-11"/>
        </w:rPr>
        <w:t xml:space="preserve"> </w:t>
      </w:r>
      <w:r>
        <w:t>Ecuador.</w:t>
      </w:r>
      <w:r>
        <w:rPr>
          <w:spacing w:val="-6"/>
        </w:rPr>
        <w:t xml:space="preserve"> </w:t>
      </w:r>
      <w:r>
        <w:t>(2014). Código</w:t>
      </w:r>
      <w:r>
        <w:rPr>
          <w:spacing w:val="-3"/>
        </w:rPr>
        <w:t xml:space="preserve"> </w:t>
      </w:r>
      <w:r>
        <w:t>Orgánico Integral</w:t>
      </w:r>
      <w:r>
        <w:rPr>
          <w:spacing w:val="-11"/>
        </w:rPr>
        <w:t xml:space="preserve"> </w:t>
      </w:r>
      <w:r>
        <w:t>Penal,</w:t>
      </w:r>
      <w:r>
        <w:rPr>
          <w:spacing w:val="-1"/>
        </w:rPr>
        <w:t xml:space="preserve"> </w:t>
      </w:r>
      <w:r>
        <w:t>COIP.</w:t>
      </w:r>
      <w:r>
        <w:rPr>
          <w:spacing w:val="-1"/>
        </w:rPr>
        <w:t xml:space="preserve"> </w:t>
      </w:r>
      <w:r>
        <w:t>Registro Oficial Suplemento 180 de 10 de febrero de 2014. Quito, Ecuador.</w:t>
      </w:r>
    </w:p>
    <w:p w14:paraId="355E82A2">
      <w:pPr>
        <w:pStyle w:val="8"/>
        <w:spacing w:line="480" w:lineRule="auto"/>
        <w:ind w:left="1383" w:right="736" w:hanging="303"/>
      </w:pPr>
      <w:r>
        <w:t>Asamblea Nacional</w:t>
      </w:r>
      <w:r>
        <w:rPr>
          <w:spacing w:val="-8"/>
        </w:rPr>
        <w:t xml:space="preserve"> </w:t>
      </w:r>
      <w:r>
        <w:t>del</w:t>
      </w:r>
      <w:r>
        <w:rPr>
          <w:spacing w:val="-8"/>
        </w:rPr>
        <w:t xml:space="preserve"> </w:t>
      </w:r>
      <w:r>
        <w:t>Ecuador.</w:t>
      </w:r>
      <w:r>
        <w:rPr>
          <w:spacing w:val="-2"/>
        </w:rPr>
        <w:t xml:space="preserve"> </w:t>
      </w:r>
      <w:r>
        <w:t>(2019). Ley</w:t>
      </w:r>
      <w:r>
        <w:rPr>
          <w:spacing w:val="-9"/>
        </w:rPr>
        <w:t xml:space="preserve"> </w:t>
      </w:r>
      <w:r>
        <w:t>Reformatoria al</w:t>
      </w:r>
      <w:r>
        <w:rPr>
          <w:spacing w:val="-4"/>
        </w:rPr>
        <w:t xml:space="preserve"> </w:t>
      </w:r>
      <w:r>
        <w:t>Código Orgánico Integral Penal.</w:t>
      </w:r>
      <w:r>
        <w:rPr>
          <w:spacing w:val="-2"/>
        </w:rPr>
        <w:t xml:space="preserve"> </w:t>
      </w:r>
      <w:r>
        <w:t>Registro</w:t>
      </w:r>
      <w:r>
        <w:rPr>
          <w:spacing w:val="3"/>
        </w:rPr>
        <w:t xml:space="preserve"> </w:t>
      </w:r>
      <w:r>
        <w:t>Oficial</w:t>
      </w:r>
      <w:r>
        <w:rPr>
          <w:spacing w:val="-10"/>
        </w:rPr>
        <w:t xml:space="preserve"> </w:t>
      </w:r>
      <w:r>
        <w:t>Suplemento</w:t>
      </w:r>
      <w:r>
        <w:rPr>
          <w:spacing w:val="2"/>
        </w:rPr>
        <w:t xml:space="preserve"> </w:t>
      </w:r>
      <w:r>
        <w:t>107</w:t>
      </w:r>
      <w:r>
        <w:rPr>
          <w:spacing w:val="-6"/>
        </w:rPr>
        <w:t xml:space="preserve"> </w:t>
      </w:r>
      <w:r>
        <w:t>de</w:t>
      </w:r>
      <w:r>
        <w:rPr>
          <w:spacing w:val="-2"/>
        </w:rPr>
        <w:t xml:space="preserve"> </w:t>
      </w:r>
      <w:r>
        <w:t>24</w:t>
      </w:r>
      <w:r>
        <w:rPr>
          <w:spacing w:val="-6"/>
        </w:rPr>
        <w:t xml:space="preserve"> </w:t>
      </w:r>
      <w:r>
        <w:t>de</w:t>
      </w:r>
      <w:r>
        <w:rPr>
          <w:spacing w:val="-2"/>
        </w:rPr>
        <w:t xml:space="preserve"> </w:t>
      </w:r>
      <w:r>
        <w:t>diciembre</w:t>
      </w:r>
      <w:r>
        <w:rPr>
          <w:spacing w:val="-3"/>
        </w:rPr>
        <w:t xml:space="preserve"> </w:t>
      </w:r>
      <w:r>
        <w:t>de</w:t>
      </w:r>
      <w:r>
        <w:rPr>
          <w:spacing w:val="-2"/>
        </w:rPr>
        <w:t xml:space="preserve"> </w:t>
      </w:r>
      <w:r>
        <w:t>2019.</w:t>
      </w:r>
      <w:r>
        <w:rPr>
          <w:spacing w:val="1"/>
        </w:rPr>
        <w:t xml:space="preserve"> </w:t>
      </w:r>
      <w:r>
        <w:t>Quito,</w:t>
      </w:r>
      <w:r>
        <w:rPr>
          <w:spacing w:val="-4"/>
        </w:rPr>
        <w:t xml:space="preserve"> </w:t>
      </w:r>
      <w:r>
        <w:rPr>
          <w:spacing w:val="-2"/>
        </w:rPr>
        <w:t>Ecuador.</w:t>
      </w:r>
    </w:p>
    <w:p w14:paraId="0175A199">
      <w:pPr>
        <w:pStyle w:val="8"/>
        <w:spacing w:line="480" w:lineRule="auto"/>
        <w:ind w:left="1383" w:right="1141" w:hanging="303"/>
      </w:pPr>
      <w:r>
        <w:t>Baquerizo,</w:t>
      </w:r>
      <w:r>
        <w:rPr>
          <w:spacing w:val="-2"/>
        </w:rPr>
        <w:t xml:space="preserve"> </w:t>
      </w:r>
      <w:r>
        <w:t>C.</w:t>
      </w:r>
      <w:r>
        <w:rPr>
          <w:spacing w:val="-7"/>
        </w:rPr>
        <w:t xml:space="preserve"> </w:t>
      </w:r>
      <w:r>
        <w:t>(s.f.). Delitos</w:t>
      </w:r>
      <w:r>
        <w:rPr>
          <w:spacing w:val="-6"/>
        </w:rPr>
        <w:t xml:space="preserve"> </w:t>
      </w:r>
      <w:r>
        <w:t>(COIP)</w:t>
      </w:r>
      <w:r>
        <w:rPr>
          <w:spacing w:val="-3"/>
        </w:rPr>
        <w:t xml:space="preserve"> </w:t>
      </w:r>
      <w:r>
        <w:t>contra</w:t>
      </w:r>
      <w:r>
        <w:rPr>
          <w:spacing w:val="-5"/>
        </w:rPr>
        <w:t xml:space="preserve"> </w:t>
      </w:r>
      <w:r>
        <w:t>el</w:t>
      </w:r>
      <w:r>
        <w:rPr>
          <w:spacing w:val="-9"/>
        </w:rPr>
        <w:t xml:space="preserve"> </w:t>
      </w:r>
      <w:r>
        <w:t>Ambiente y</w:t>
      </w:r>
      <w:r>
        <w:rPr>
          <w:spacing w:val="-9"/>
        </w:rPr>
        <w:t xml:space="preserve"> </w:t>
      </w:r>
      <w:r>
        <w:t>los</w:t>
      </w:r>
      <w:r>
        <w:rPr>
          <w:spacing w:val="-6"/>
        </w:rPr>
        <w:t xml:space="preserve"> </w:t>
      </w:r>
      <w:r>
        <w:t>Recursos</w:t>
      </w:r>
      <w:r>
        <w:rPr>
          <w:spacing w:val="-6"/>
        </w:rPr>
        <w:t xml:space="preserve"> </w:t>
      </w:r>
      <w:r>
        <w:t>Naturales [Material de clase]. Ecuador: Institucionalidad y Exigibilidad.</w:t>
      </w:r>
    </w:p>
    <w:p w14:paraId="17FE11A7">
      <w:pPr>
        <w:pStyle w:val="8"/>
        <w:spacing w:before="1"/>
        <w:ind w:left="1080"/>
      </w:pPr>
      <w:r>
        <w:t>Constitución</w:t>
      </w:r>
      <w:r>
        <w:rPr>
          <w:spacing w:val="-7"/>
        </w:rPr>
        <w:t xml:space="preserve"> </w:t>
      </w:r>
      <w:r>
        <w:t>de</w:t>
      </w:r>
      <w:r>
        <w:rPr>
          <w:spacing w:val="3"/>
        </w:rPr>
        <w:t xml:space="preserve"> </w:t>
      </w:r>
      <w:r>
        <w:t>la</w:t>
      </w:r>
      <w:r>
        <w:rPr>
          <w:spacing w:val="-1"/>
        </w:rPr>
        <w:t xml:space="preserve"> </w:t>
      </w:r>
      <w:r>
        <w:t>República</w:t>
      </w:r>
      <w:r>
        <w:rPr>
          <w:spacing w:val="-1"/>
        </w:rPr>
        <w:t xml:space="preserve"> </w:t>
      </w:r>
      <w:r>
        <w:t>del</w:t>
      </w:r>
      <w:r>
        <w:rPr>
          <w:spacing w:val="-9"/>
        </w:rPr>
        <w:t xml:space="preserve"> </w:t>
      </w:r>
      <w:r>
        <w:t>Ecuador.</w:t>
      </w:r>
      <w:r>
        <w:rPr>
          <w:spacing w:val="-3"/>
        </w:rPr>
        <w:t xml:space="preserve"> </w:t>
      </w:r>
      <w:r>
        <w:t>(2008).</w:t>
      </w:r>
      <w:r>
        <w:rPr>
          <w:spacing w:val="-3"/>
        </w:rPr>
        <w:t xml:space="preserve"> </w:t>
      </w:r>
      <w:r>
        <w:t>Quito,</w:t>
      </w:r>
      <w:r>
        <w:rPr>
          <w:spacing w:val="-2"/>
        </w:rPr>
        <w:t xml:space="preserve"> Ecuador.</w:t>
      </w:r>
    </w:p>
    <w:sectPr>
      <w:pgSz w:w="12240" w:h="15840"/>
      <w:pgMar w:top="1440" w:right="1800" w:bottom="1440" w:left="1800" w:header="720" w:footer="720" w:gutter="0"/>
      <w:paperSrc/>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09C1011"/>
    <w:rsid w:val="51B829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s-ES" w:eastAsia="en-US" w:bidi="ar-SA"/>
    </w:rPr>
  </w:style>
  <w:style w:type="paragraph" w:styleId="2">
    <w:name w:val="heading 1"/>
    <w:basedOn w:val="1"/>
    <w:qFormat/>
    <w:uiPriority w:val="1"/>
    <w:pPr>
      <w:ind w:left="2299"/>
      <w:outlineLvl w:val="1"/>
    </w:pPr>
    <w:rPr>
      <w:rFonts w:ascii="Times New Roman" w:hAnsi="Times New Roman" w:eastAsia="Times New Roman" w:cs="Times New Roman"/>
      <w:b/>
      <w:bCs/>
      <w:sz w:val="24"/>
      <w:szCs w:val="24"/>
      <w:lang w:val="es-ES" w:eastAsia="en-US" w:bidi="ar-SA"/>
    </w:rPr>
  </w:style>
  <w:style w:type="paragraph" w:styleId="3">
    <w:name w:val="heading 2"/>
    <w:basedOn w:val="1"/>
    <w:qFormat/>
    <w:uiPriority w:val="1"/>
    <w:pPr>
      <w:ind w:left="2189"/>
      <w:jc w:val="center"/>
      <w:outlineLvl w:val="2"/>
    </w:pPr>
    <w:rPr>
      <w:rFonts w:ascii="Times New Roman" w:hAnsi="Times New Roman" w:eastAsia="Times New Roman" w:cs="Times New Roman"/>
      <w:b/>
      <w:bCs/>
      <w:sz w:val="24"/>
      <w:szCs w:val="24"/>
      <w:lang w:val="es-ES" w:eastAsia="en-US" w:bidi="ar-SA"/>
    </w:rPr>
  </w:style>
  <w:style w:type="character" w:default="1" w:styleId="4">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Body Text"/>
    <w:basedOn w:val="1"/>
    <w:qFormat/>
    <w:uiPriority w:val="1"/>
    <w:rPr>
      <w:rFonts w:ascii="Times New Roman" w:hAnsi="Times New Roman" w:eastAsia="Times New Roman" w:cs="Times New Roman"/>
      <w:sz w:val="24"/>
      <w:szCs w:val="24"/>
      <w:lang w:val="es-ES" w:eastAsia="en-US" w:bidi="ar-SA"/>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1080" w:firstLine="302"/>
    </w:pPr>
    <w:rPr>
      <w:rFonts w:ascii="Times New Roman" w:hAnsi="Times New Roman" w:eastAsia="Times New Roman" w:cs="Times New Roman"/>
      <w:lang w:val="es-ES" w:eastAsia="en-US" w:bidi="ar-SA"/>
    </w:rPr>
  </w:style>
  <w:style w:type="paragraph" w:customStyle="1" w:styleId="11">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TotalTime>8</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2026-02-03T00:48:00Z</dcterms:created>
  <dc:creator>DELL</dc:creator>
  <cp:lastModifiedBy>Adriandronh777</cp:lastModifiedBy>
  <dcterms:modified xsi:type="dcterms:W3CDTF">2026-02-03T00:58:09Z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2016</vt:lpwstr>
  </property>
  <property fmtid="{D5CDD505-2E9C-101B-9397-08002B2CF9AE}" pid="4" name="LastSaved">
    <vt:filetime>2026-02-03T00:00:00Z</vt:filetime>
  </property>
  <property fmtid="{D5CDD505-2E9C-101B-9397-08002B2CF9AE}" pid="5" name="Producer">
    <vt:lpwstr>www.ilovepdf.com</vt:lpwstr>
  </property>
  <property fmtid="{D5CDD505-2E9C-101B-9397-08002B2CF9AE}" pid="6" name="KSOProductBuildVer">
    <vt:lpwstr>2058-12.2.0.23196</vt:lpwstr>
  </property>
  <property fmtid="{D5CDD505-2E9C-101B-9397-08002B2CF9AE}" pid="7" name="ICV">
    <vt:lpwstr>B4AA82856C6A49CE967C0644B93923AB_13</vt:lpwstr>
  </property>
</Properties>
</file>