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t xml:space="preserve">2      </w:t>
        <w:tab/>
        <w:t xml:space="preserve">A speech in this category is extremely populist and comes very close to the ideal populist discourse. Specifically, the speech expresses all or nearly all of the elements of ideal populist discourse, and has few elements that would be considered non-populist.</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1      </w:t>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