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550918">
        <w:t>Hillary Clinton</w:t>
      </w:r>
    </w:p>
    <w:p w:rsidR="00057330" w:rsidRPr="00F54F64" w:rsidRDefault="00057330" w:rsidP="00057330">
      <w:r w:rsidRPr="00F54F64">
        <w:rPr>
          <w:b/>
        </w:rPr>
        <w:t>Title of Speech:</w:t>
      </w:r>
      <w:r>
        <w:t xml:space="preserve">  </w:t>
      </w:r>
      <w:r w:rsidR="00871DE7">
        <w:t>New York Speech</w:t>
      </w:r>
    </w:p>
    <w:p w:rsidR="00057330" w:rsidRPr="00550918" w:rsidRDefault="00057330" w:rsidP="00057330">
      <w:r>
        <w:rPr>
          <w:b/>
        </w:rPr>
        <w:t>Date of Speech:</w:t>
      </w:r>
      <w:r w:rsidR="00AA0DED">
        <w:rPr>
          <w:b/>
        </w:rPr>
        <w:t xml:space="preserve"> </w:t>
      </w:r>
      <w:r w:rsidR="00871DE7">
        <w:t>September</w:t>
      </w:r>
      <w:r w:rsidR="007432A7">
        <w:t xml:space="preserve"> </w:t>
      </w:r>
      <w:r w:rsidR="00871DE7">
        <w:t>9</w:t>
      </w:r>
      <w:r w:rsidR="00550918">
        <w:t>, 2016.</w:t>
      </w:r>
    </w:p>
    <w:p w:rsidR="00057330" w:rsidRPr="00550918" w:rsidRDefault="00057330" w:rsidP="00057330">
      <w:r>
        <w:rPr>
          <w:b/>
        </w:rPr>
        <w:t>Category:</w:t>
      </w:r>
      <w:r w:rsidR="00550918">
        <w:rPr>
          <w:b/>
        </w:rPr>
        <w:t xml:space="preserve"> </w:t>
      </w:r>
      <w:r w:rsidR="00550918">
        <w:t>Electoral Speech</w:t>
      </w:r>
    </w:p>
    <w:p w:rsidR="00057330" w:rsidRPr="00F54F64" w:rsidRDefault="00057330" w:rsidP="00057330">
      <w:r w:rsidRPr="00F54F64">
        <w:rPr>
          <w:b/>
        </w:rPr>
        <w:t>Grader:</w:t>
      </w:r>
      <w:r>
        <w:t xml:space="preserve">  </w:t>
      </w:r>
      <w:proofErr w:type="spellStart"/>
      <w:r w:rsidR="00550918">
        <w:t>Cristóbal</w:t>
      </w:r>
      <w:proofErr w:type="spellEnd"/>
      <w:r w:rsidR="00550918">
        <w:t xml:space="preserve"> Sandoval</w:t>
      </w:r>
    </w:p>
    <w:p w:rsidR="00057330" w:rsidRPr="00F54F64" w:rsidRDefault="00057330" w:rsidP="00057330">
      <w:r w:rsidRPr="00F54F64">
        <w:rPr>
          <w:b/>
        </w:rPr>
        <w:t>Date of grading:</w:t>
      </w:r>
      <w:r>
        <w:t xml:space="preserve">  </w:t>
      </w:r>
      <w:r w:rsidR="00146BD7">
        <w:t>September 22</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26"/>
        <w:gridCol w:w="3582"/>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F019E2" w:rsidP="00057330">
            <w:pPr>
              <w:rPr>
                <w:rFonts w:eastAsia="Times New Roman"/>
              </w:rPr>
            </w:pPr>
            <w:r>
              <w:rPr>
                <w:rFonts w:eastAsia="Times New Roman"/>
              </w:rPr>
              <w:t>0</w:t>
            </w:r>
            <w:r w:rsidR="008504FF">
              <w:rPr>
                <w:rFonts w:eastAsia="Times New Roman"/>
              </w:rPr>
              <w:t>,2</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871DE7" w:rsidRDefault="00871DE7" w:rsidP="00057330">
            <w:pPr>
              <w:rPr>
                <w:rFonts w:eastAsia="Times New Roman"/>
              </w:rPr>
            </w:pPr>
          </w:p>
          <w:p w:rsidR="00871DE7" w:rsidRDefault="00871DE7" w:rsidP="00871DE7">
            <w:pPr>
              <w:jc w:val="both"/>
              <w:rPr>
                <w:rStyle w:val="s1"/>
                <w:i/>
                <w:color w:val="282828"/>
              </w:rPr>
            </w:pPr>
            <w:r>
              <w:rPr>
                <w:rStyle w:val="s1"/>
                <w:i/>
                <w:color w:val="282828"/>
              </w:rPr>
              <w:t>“</w:t>
            </w:r>
            <w:r w:rsidRPr="00871DE7">
              <w:rPr>
                <w:rStyle w:val="s1"/>
                <w:i/>
                <w:color w:val="282828"/>
              </w:rPr>
              <w:t>And there’s so much more than I find deplorable in his campaign: the way that he cozies up to white supremacist, makes racist attacks, calls women pigs, mocks people with disabilities — you can’t make this up.</w:t>
            </w:r>
            <w:r>
              <w:rPr>
                <w:rStyle w:val="s1"/>
                <w:i/>
                <w:color w:val="282828"/>
              </w:rPr>
              <w:t>”</w:t>
            </w:r>
          </w:p>
          <w:p w:rsidR="008504FF" w:rsidRDefault="008504FF" w:rsidP="00871DE7">
            <w:pPr>
              <w:jc w:val="both"/>
              <w:rPr>
                <w:rStyle w:val="s1"/>
                <w:i/>
                <w:color w:val="282828"/>
              </w:rPr>
            </w:pPr>
          </w:p>
          <w:p w:rsidR="008504FF" w:rsidRPr="008504FF" w:rsidRDefault="008504FF" w:rsidP="008504FF">
            <w:pPr>
              <w:pStyle w:val="p1"/>
              <w:spacing w:before="240" w:beforeAutospacing="0" w:after="0" w:afterAutospacing="0" w:line="276" w:lineRule="auto"/>
              <w:jc w:val="both"/>
              <w:rPr>
                <w:i/>
                <w:color w:val="282828"/>
              </w:rPr>
            </w:pPr>
            <w:r>
              <w:rPr>
                <w:rStyle w:val="s1"/>
                <w:i/>
                <w:color w:val="282828"/>
              </w:rPr>
              <w:t>“</w:t>
            </w:r>
            <w:r w:rsidRPr="008504FF">
              <w:rPr>
                <w:rStyle w:val="s1"/>
                <w:i/>
                <w:color w:val="282828"/>
              </w:rPr>
              <w:t xml:space="preserve">You know, to just be grossly </w:t>
            </w:r>
            <w:proofErr w:type="spellStart"/>
            <w:r w:rsidRPr="008504FF">
              <w:rPr>
                <w:rStyle w:val="s1"/>
                <w:i/>
                <w:color w:val="282828"/>
              </w:rPr>
              <w:t>generalistic</w:t>
            </w:r>
            <w:proofErr w:type="spellEnd"/>
            <w:r w:rsidRPr="008504FF">
              <w:rPr>
                <w:rStyle w:val="s1"/>
                <w:i/>
                <w:color w:val="282828"/>
              </w:rPr>
              <w:t xml:space="preserve">, you could put half of Trump’s supporters into what I call the basket of </w:t>
            </w:r>
            <w:proofErr w:type="spellStart"/>
            <w:r w:rsidRPr="008504FF">
              <w:rPr>
                <w:rStyle w:val="s1"/>
                <w:i/>
                <w:color w:val="282828"/>
              </w:rPr>
              <w:t>deplorables</w:t>
            </w:r>
            <w:proofErr w:type="spellEnd"/>
            <w:r w:rsidRPr="008504FF">
              <w:rPr>
                <w:rStyle w:val="s1"/>
                <w:i/>
                <w:color w:val="282828"/>
              </w:rPr>
              <w:t>. Right?</w:t>
            </w:r>
          </w:p>
          <w:p w:rsidR="008504FF" w:rsidRPr="008504FF" w:rsidRDefault="008504FF" w:rsidP="008504FF">
            <w:pPr>
              <w:spacing w:line="276" w:lineRule="auto"/>
              <w:jc w:val="both"/>
              <w:rPr>
                <w:rFonts w:eastAsia="Times New Roman"/>
                <w:i/>
              </w:rPr>
            </w:pPr>
            <w:r w:rsidRPr="008504FF">
              <w:rPr>
                <w:rStyle w:val="s1"/>
                <w:i/>
                <w:color w:val="282828"/>
              </w:rPr>
              <w:t xml:space="preserve">The racist, sexist, homophobic, </w:t>
            </w:r>
            <w:r w:rsidRPr="008504FF">
              <w:rPr>
                <w:rStyle w:val="s1"/>
                <w:i/>
                <w:color w:val="282828"/>
              </w:rPr>
              <w:lastRenderedPageBreak/>
              <w:t xml:space="preserve">xenophobic, </w:t>
            </w:r>
            <w:proofErr w:type="spellStart"/>
            <w:r w:rsidRPr="008504FF">
              <w:rPr>
                <w:rStyle w:val="s1"/>
                <w:i/>
                <w:color w:val="282828"/>
              </w:rPr>
              <w:t>Islamaphobic</w:t>
            </w:r>
            <w:proofErr w:type="spellEnd"/>
            <w:r w:rsidRPr="008504FF">
              <w:rPr>
                <w:rStyle w:val="s1"/>
                <w:i/>
                <w:color w:val="282828"/>
              </w:rPr>
              <w:t xml:space="preserve"> — you name it. And unfortunately there are people like that. And he has lifted them up.</w:t>
            </w:r>
            <w:r>
              <w:rPr>
                <w:rStyle w:val="s1"/>
                <w:i/>
                <w:color w:val="282828"/>
              </w:rPr>
              <w:t>”</w:t>
            </w:r>
          </w:p>
          <w:p w:rsidR="00973A66" w:rsidRPr="00973A66" w:rsidRDefault="00973A66" w:rsidP="00973A66">
            <w:pPr>
              <w:jc w:val="both"/>
              <w:rPr>
                <w:i/>
              </w:rPr>
            </w:pPr>
          </w:p>
          <w:p w:rsidR="009536F1" w:rsidRPr="00057330" w:rsidRDefault="009536F1" w:rsidP="00FF4E28">
            <w:pPr>
              <w:pStyle w:val="NormalWeb"/>
              <w:spacing w:line="276" w:lineRule="auto"/>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p w:rsidR="008504FF" w:rsidRDefault="008504FF" w:rsidP="00057330">
            <w:pPr>
              <w:rPr>
                <w:rFonts w:eastAsia="Times New Roman"/>
              </w:rPr>
            </w:pPr>
          </w:p>
          <w:p w:rsidR="008504FF" w:rsidRDefault="008504FF" w:rsidP="008504FF">
            <w:pPr>
              <w:pStyle w:val="p1"/>
              <w:spacing w:before="240" w:beforeAutospacing="0" w:after="0" w:afterAutospacing="0" w:line="276" w:lineRule="auto"/>
              <w:jc w:val="both"/>
              <w:rPr>
                <w:rStyle w:val="s1"/>
                <w:i/>
                <w:color w:val="282828"/>
              </w:rPr>
            </w:pPr>
            <w:r>
              <w:rPr>
                <w:rStyle w:val="s1"/>
                <w:i/>
                <w:color w:val="282828"/>
              </w:rPr>
              <w:t>“</w:t>
            </w:r>
            <w:r w:rsidRPr="008504FF">
              <w:rPr>
                <w:rStyle w:val="s1"/>
                <w:i/>
                <w:color w:val="282828"/>
              </w:rPr>
              <w:t>Our campaign slogan is not just words. We really do believe that we are stronger together. We really do believe that showing respect and appreciation for one another lifts us all up.</w:t>
            </w:r>
            <w:r>
              <w:rPr>
                <w:rStyle w:val="s1"/>
                <w:i/>
                <w:color w:val="282828"/>
              </w:rPr>
              <w:t>”</w:t>
            </w:r>
          </w:p>
          <w:p w:rsidR="008504FF" w:rsidRPr="008504FF" w:rsidRDefault="008504FF" w:rsidP="008504FF">
            <w:pPr>
              <w:pStyle w:val="p1"/>
              <w:spacing w:before="240" w:beforeAutospacing="0" w:after="0" w:afterAutospacing="0" w:line="276" w:lineRule="auto"/>
              <w:jc w:val="both"/>
              <w:rPr>
                <w:i/>
                <w:color w:val="282828"/>
              </w:rPr>
            </w:pPr>
            <w:r>
              <w:rPr>
                <w:rStyle w:val="s1"/>
                <w:i/>
                <w:color w:val="282828"/>
              </w:rPr>
              <w:t>“</w:t>
            </w:r>
            <w:r w:rsidRPr="008504FF">
              <w:rPr>
                <w:rStyle w:val="s1"/>
                <w:i/>
                <w:color w:val="282828"/>
              </w:rPr>
              <w:t>And it’s a special commitment that I feel to continuing to fight alongside the LGBT community.</w:t>
            </w:r>
            <w:r>
              <w:rPr>
                <w:rStyle w:val="s1"/>
                <w:i/>
                <w:color w:val="282828"/>
              </w:rPr>
              <w:t>”</w:t>
            </w:r>
          </w:p>
          <w:p w:rsidR="008504FF" w:rsidRDefault="008504FF" w:rsidP="00057330">
            <w:pPr>
              <w:rPr>
                <w:rFonts w:eastAsia="Times New Roman"/>
              </w:rPr>
            </w:pPr>
          </w:p>
          <w:p w:rsidR="00146BD7" w:rsidRDefault="00146BD7" w:rsidP="00057330">
            <w:pPr>
              <w:rPr>
                <w:rFonts w:eastAsia="Times New Roman"/>
              </w:rPr>
            </w:pPr>
          </w:p>
          <w:p w:rsidR="00275059" w:rsidRDefault="00275059" w:rsidP="00057330">
            <w:pPr>
              <w:rPr>
                <w:rFonts w:eastAsia="Times New Roman"/>
              </w:rPr>
            </w:pPr>
          </w:p>
          <w:p w:rsidR="005554CE" w:rsidRDefault="005554CE" w:rsidP="00146BD7">
            <w:pPr>
              <w:jc w:val="both"/>
              <w:rPr>
                <w:i/>
              </w:rPr>
            </w:pPr>
          </w:p>
          <w:p w:rsidR="00CC2945" w:rsidRPr="00CC2945" w:rsidRDefault="00FF4E28" w:rsidP="00CC2945">
            <w:pPr>
              <w:pStyle w:val="NormalWeb"/>
              <w:spacing w:line="276" w:lineRule="auto"/>
              <w:jc w:val="both"/>
              <w:rPr>
                <w:i/>
              </w:rPr>
            </w:pPr>
            <w:r>
              <w:rPr>
                <w:i/>
              </w:rPr>
              <w:t xml:space="preserve"> </w:t>
            </w:r>
          </w:p>
          <w:p w:rsidR="00CC2945" w:rsidRPr="00146BD7" w:rsidRDefault="00CC2945" w:rsidP="00146BD7">
            <w:pPr>
              <w:jc w:val="both"/>
              <w:rPr>
                <w:rFonts w:eastAsia="Times New Roman"/>
                <w:i/>
              </w:rPr>
            </w:pPr>
          </w:p>
          <w:p w:rsidR="004A7104" w:rsidRDefault="004A7104" w:rsidP="00057330">
            <w:pPr>
              <w:rPr>
                <w:rFonts w:eastAsia="Times New Roman"/>
              </w:rPr>
            </w:pPr>
          </w:p>
          <w:p w:rsidR="00F019E2" w:rsidRPr="00057330" w:rsidRDefault="00F019E2" w:rsidP="00146BD7">
            <w:pPr>
              <w:jc w:val="both"/>
              <w:rPr>
                <w:rFonts w:eastAsia="Times New Roman"/>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4B38BA" w:rsidRDefault="004B38BA" w:rsidP="00057330">
            <w:pPr>
              <w:rPr>
                <w:rFonts w:eastAsia="Times New Roman"/>
              </w:rPr>
            </w:pPr>
          </w:p>
          <w:p w:rsidR="004B38BA" w:rsidRDefault="004B38BA" w:rsidP="00057330">
            <w:pPr>
              <w:rPr>
                <w:rFonts w:eastAsia="Times New Roman"/>
              </w:rPr>
            </w:pPr>
          </w:p>
          <w:p w:rsidR="004B38BA" w:rsidRPr="00057330" w:rsidRDefault="004B38BA"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F019E2"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B63ECE" w:rsidRDefault="00B63ECE" w:rsidP="00057330">
            <w:pPr>
              <w:rPr>
                <w:rFonts w:eastAsia="Times New Roman"/>
              </w:rPr>
            </w:pPr>
          </w:p>
          <w:p w:rsidR="00AA0DED" w:rsidRDefault="00AA0DED" w:rsidP="00057330">
            <w:pPr>
              <w:rPr>
                <w:rFonts w:eastAsia="Times New Roman"/>
              </w:rPr>
            </w:pPr>
          </w:p>
          <w:p w:rsidR="009536F1" w:rsidRPr="00057330" w:rsidRDefault="009536F1" w:rsidP="00146BD7">
            <w:pPr>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F019E2" w:rsidRDefault="00F019E2" w:rsidP="00057330">
            <w:pPr>
              <w:rPr>
                <w:rFonts w:eastAsia="Times New Roman"/>
              </w:rPr>
            </w:pPr>
          </w:p>
          <w:p w:rsidR="00F019E2" w:rsidRPr="00F019E2" w:rsidRDefault="00F019E2" w:rsidP="00F019E2">
            <w:pPr>
              <w:pStyle w:val="Body"/>
              <w:jc w:val="both"/>
              <w:rPr>
                <w:i/>
              </w:rPr>
            </w:pPr>
          </w:p>
          <w:p w:rsidR="00F019E2" w:rsidRDefault="00F019E2" w:rsidP="00F019E2">
            <w:pPr>
              <w:pStyle w:val="Body"/>
            </w:pPr>
          </w:p>
          <w:p w:rsidR="00F019E2" w:rsidRPr="00057330" w:rsidRDefault="00F019E2" w:rsidP="00057330">
            <w:pPr>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lastRenderedPageBreak/>
              <w:t>Evil elite</w:t>
            </w:r>
          </w:p>
        </w:tc>
        <w:tc>
          <w:tcPr>
            <w:tcW w:w="979" w:type="dxa"/>
            <w:tcBorders>
              <w:bottom w:val="single" w:sz="4" w:space="0" w:color="auto"/>
            </w:tcBorders>
          </w:tcPr>
          <w:p w:rsidR="009536F1" w:rsidRPr="00057330" w:rsidRDefault="00973A66" w:rsidP="00057330">
            <w:pPr>
              <w:rPr>
                <w:rFonts w:eastAsia="Times New Roman"/>
              </w:rPr>
            </w:pPr>
            <w:r>
              <w:rPr>
                <w:rFonts w:eastAsia="Times New Roman"/>
              </w:rPr>
              <w:t>0</w:t>
            </w:r>
          </w:p>
        </w:tc>
        <w:tc>
          <w:tcPr>
            <w:tcW w:w="0" w:type="auto"/>
            <w:shd w:val="clear" w:color="auto" w:fill="auto"/>
          </w:tcPr>
          <w:p w:rsidR="00146BD7" w:rsidRDefault="009536F1" w:rsidP="00146BD7">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146BD7" w:rsidRDefault="00146BD7" w:rsidP="00146BD7">
            <w:pPr>
              <w:rPr>
                <w:rFonts w:eastAsia="Times New Roman"/>
              </w:rPr>
            </w:pPr>
          </w:p>
          <w:p w:rsidR="00146BD7" w:rsidRDefault="00146BD7" w:rsidP="00057330">
            <w:pPr>
              <w:rPr>
                <w:rFonts w:eastAsia="Times New Roman"/>
              </w:rPr>
            </w:pPr>
          </w:p>
          <w:p w:rsidR="00F019E2" w:rsidRPr="00F019E2" w:rsidRDefault="00FF4E28" w:rsidP="00FF4E28">
            <w:pPr>
              <w:pStyle w:val="NormalWeb"/>
              <w:jc w:val="both"/>
              <w:rPr>
                <w:rFonts w:eastAsia="Times New Roman"/>
                <w:i/>
              </w:rPr>
            </w:pPr>
            <w:r>
              <w:rPr>
                <w:i/>
              </w:rPr>
              <w:t xml:space="preserve"> </w:t>
            </w:r>
          </w:p>
        </w:tc>
        <w:tc>
          <w:tcPr>
            <w:tcW w:w="0" w:type="auto"/>
            <w:shd w:val="clear" w:color="auto" w:fill="auto"/>
          </w:tcPr>
          <w:p w:rsidR="009536F1" w:rsidRDefault="009536F1" w:rsidP="00057330">
            <w:pPr>
              <w:rPr>
                <w:rFonts w:eastAsia="Times New Roman"/>
              </w:rPr>
            </w:pPr>
            <w:r w:rsidRPr="00057330">
              <w:rPr>
                <w:rFonts w:eastAsia="Times New Roman"/>
              </w:rPr>
              <w:t>The discourse avoids a conspiratorial tone and does not single out any evil ruling minority. It avoids labeling opponents as evil and may not even mention them in an effort to maintain a 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The discourse does not argue for systemic change but, as mentioned above, focuses on particular issues. In the words of Laclau, it is a politics of “differences” rather than “hegemony.”</w:t>
            </w:r>
          </w:p>
          <w:p w:rsidR="008504FF" w:rsidRDefault="008504FF" w:rsidP="00057330">
            <w:pPr>
              <w:rPr>
                <w:rFonts w:eastAsia="Times New Roman"/>
              </w:rPr>
            </w:pPr>
          </w:p>
          <w:p w:rsidR="008504FF" w:rsidRPr="008504FF" w:rsidRDefault="008504FF" w:rsidP="008504FF">
            <w:pPr>
              <w:jc w:val="both"/>
              <w:rPr>
                <w:rStyle w:val="s1"/>
                <w:i/>
                <w:color w:val="282828"/>
              </w:rPr>
            </w:pPr>
            <w:r>
              <w:rPr>
                <w:rStyle w:val="s1"/>
                <w:i/>
                <w:color w:val="282828"/>
              </w:rPr>
              <w:t>“</w:t>
            </w:r>
            <w:r w:rsidRPr="008504FF">
              <w:rPr>
                <w:rStyle w:val="s1"/>
                <w:i/>
                <w:color w:val="282828"/>
              </w:rPr>
              <w:t xml:space="preserve">I think we have to do this together. So, together we’re </w:t>
            </w:r>
            <w:proofErr w:type="spellStart"/>
            <w:r w:rsidRPr="008504FF">
              <w:rPr>
                <w:rStyle w:val="s1"/>
                <w:i/>
                <w:color w:val="282828"/>
              </w:rPr>
              <w:t>gonna</w:t>
            </w:r>
            <w:proofErr w:type="spellEnd"/>
            <w:r w:rsidRPr="008504FF">
              <w:rPr>
                <w:rStyle w:val="s1"/>
                <w:i/>
                <w:color w:val="282828"/>
              </w:rPr>
              <w:t xml:space="preserve"> pass the Equality Act to guarantee full equality.</w:t>
            </w:r>
            <w:r>
              <w:rPr>
                <w:rStyle w:val="s1"/>
                <w:i/>
                <w:color w:val="282828"/>
              </w:rPr>
              <w:t>”</w:t>
            </w:r>
            <w:r w:rsidRPr="008504FF">
              <w:rPr>
                <w:rStyle w:val="s1"/>
                <w:i/>
                <w:color w:val="282828"/>
              </w:rPr>
              <w:t xml:space="preserve"> </w:t>
            </w:r>
          </w:p>
          <w:p w:rsidR="008504FF" w:rsidRPr="008504FF" w:rsidRDefault="008504FF" w:rsidP="008504FF">
            <w:pPr>
              <w:jc w:val="both"/>
              <w:rPr>
                <w:rStyle w:val="s1"/>
                <w:i/>
                <w:color w:val="282828"/>
              </w:rPr>
            </w:pPr>
          </w:p>
          <w:p w:rsidR="008504FF" w:rsidRDefault="008504FF" w:rsidP="008504FF">
            <w:pPr>
              <w:jc w:val="both"/>
              <w:rPr>
                <w:rStyle w:val="s1"/>
                <w:i/>
                <w:color w:val="282828"/>
              </w:rPr>
            </w:pPr>
            <w:r>
              <w:rPr>
                <w:rStyle w:val="s1"/>
                <w:i/>
                <w:color w:val="282828"/>
              </w:rPr>
              <w:t>“</w:t>
            </w:r>
            <w:r w:rsidRPr="008504FF">
              <w:rPr>
                <w:rStyle w:val="s1"/>
                <w:i/>
                <w:color w:val="282828"/>
              </w:rPr>
              <w:t>We’re going to put comprehensive quality affordable health care within reach for more people, including for mental health and addiction.</w:t>
            </w:r>
            <w:r>
              <w:rPr>
                <w:rStyle w:val="s1"/>
                <w:i/>
                <w:color w:val="282828"/>
              </w:rPr>
              <w:t>”</w:t>
            </w:r>
          </w:p>
          <w:p w:rsidR="008504FF" w:rsidRDefault="008504FF" w:rsidP="008504FF">
            <w:pPr>
              <w:jc w:val="both"/>
              <w:rPr>
                <w:rStyle w:val="s1"/>
                <w:i/>
                <w:color w:val="282828"/>
              </w:rPr>
            </w:pPr>
          </w:p>
          <w:p w:rsidR="008504FF" w:rsidRPr="008504FF" w:rsidRDefault="008504FF" w:rsidP="008504FF">
            <w:pPr>
              <w:pStyle w:val="p1"/>
              <w:spacing w:before="240" w:beforeAutospacing="0" w:after="0" w:afterAutospacing="0" w:line="403" w:lineRule="atLeast"/>
              <w:jc w:val="both"/>
              <w:rPr>
                <w:i/>
                <w:color w:val="282828"/>
              </w:rPr>
            </w:pPr>
            <w:r>
              <w:rPr>
                <w:rStyle w:val="s1"/>
                <w:i/>
                <w:color w:val="282828"/>
              </w:rPr>
              <w:t>“</w:t>
            </w:r>
            <w:r w:rsidRPr="008504FF">
              <w:rPr>
                <w:rStyle w:val="s1"/>
                <w:i/>
                <w:color w:val="282828"/>
              </w:rPr>
              <w:t>We’re going to keep working toward an AIDS-free generation, a goal that I set as secretary of state, and with your help we’re going to pass comprehensive gun laws…</w:t>
            </w:r>
            <w:r>
              <w:rPr>
                <w:rStyle w:val="s1"/>
                <w:i/>
                <w:color w:val="282828"/>
              </w:rPr>
              <w:t>”</w:t>
            </w:r>
          </w:p>
          <w:p w:rsidR="008504FF" w:rsidRPr="008504FF" w:rsidRDefault="008504FF" w:rsidP="008504FF">
            <w:pPr>
              <w:jc w:val="both"/>
              <w:rPr>
                <w:rFonts w:eastAsia="Times New Roman"/>
                <w:i/>
              </w:rPr>
            </w:pPr>
          </w:p>
          <w:p w:rsidR="008504FF" w:rsidRDefault="008504FF" w:rsidP="00057330">
            <w:pPr>
              <w:rPr>
                <w:rFonts w:eastAsia="Times New Roman"/>
              </w:rPr>
            </w:pPr>
          </w:p>
          <w:p w:rsidR="004962FD" w:rsidRPr="004962FD" w:rsidRDefault="004962FD" w:rsidP="00FF4E28">
            <w:pPr>
              <w:pStyle w:val="NormalWeb"/>
              <w:spacing w:line="276" w:lineRule="auto"/>
              <w:jc w:val="both"/>
              <w:rPr>
                <w:i/>
                <w:color w:val="282828"/>
              </w:rPr>
            </w:pPr>
          </w:p>
          <w:p w:rsidR="004962FD" w:rsidRPr="004962FD" w:rsidRDefault="004962FD" w:rsidP="00FF4E28">
            <w:pPr>
              <w:pStyle w:val="NormalWeb"/>
              <w:spacing w:line="276" w:lineRule="auto"/>
              <w:jc w:val="both"/>
              <w:rPr>
                <w:i/>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w:t>
      </w:r>
      <w:r w:rsidR="007F46B6">
        <w:rPr>
          <w:lang w:val="es-CL"/>
        </w:rPr>
        <w:t>do</w:t>
      </w:r>
      <w:r w:rsidRPr="00F67EFD">
        <w:rPr>
          <w:lang w:val="es-CL"/>
        </w:rPr>
        <w:t xml:space="preserve"> como populista.</w:t>
      </w:r>
      <w:r>
        <w:rPr>
          <w:lang w:val="es-CL"/>
        </w:rPr>
        <w:t xml:space="preserve"> En primer lugar, </w:t>
      </w:r>
      <w:r w:rsidR="008504FF">
        <w:rPr>
          <w:lang w:val="es-CL"/>
        </w:rPr>
        <w:t xml:space="preserve">no </w:t>
      </w:r>
      <w:r>
        <w:rPr>
          <w:lang w:val="es-CL"/>
        </w:rPr>
        <w:t>se reconoce un</w:t>
      </w:r>
      <w:r w:rsidR="007F46B6">
        <w:rPr>
          <w:lang w:val="es-CL"/>
        </w:rPr>
        <w:t>a apelación al pueblo americano</w:t>
      </w:r>
      <w:r w:rsidR="008504FF">
        <w:rPr>
          <w:lang w:val="es-CL"/>
        </w:rPr>
        <w:t xml:space="preserve"> como una entidad virtuosa. </w:t>
      </w:r>
      <w:r>
        <w:rPr>
          <w:lang w:val="es-CL"/>
        </w:rPr>
        <w:t xml:space="preserve">Segundo, </w:t>
      </w:r>
      <w:r w:rsidR="0069063C">
        <w:rPr>
          <w:lang w:val="es-CL"/>
        </w:rPr>
        <w:t xml:space="preserve">no </w:t>
      </w:r>
      <w:r>
        <w:rPr>
          <w:lang w:val="es-CL"/>
        </w:rPr>
        <w:t>se reconoce</w:t>
      </w:r>
      <w:r w:rsidR="0069063C">
        <w:rPr>
          <w:lang w:val="es-CL"/>
        </w:rPr>
        <w:t xml:space="preserve"> claramente la</w:t>
      </w:r>
      <w:r w:rsidR="00C879D8">
        <w:rPr>
          <w:lang w:val="es-CL"/>
        </w:rPr>
        <w:t xml:space="preserve"> identificación de una </w:t>
      </w:r>
      <w:r>
        <w:rPr>
          <w:lang w:val="es-CL"/>
        </w:rPr>
        <w:t xml:space="preserve">elite </w:t>
      </w:r>
      <w:r w:rsidR="0069063C">
        <w:rPr>
          <w:lang w:val="es-CL"/>
        </w:rPr>
        <w:t>minoritaria que atente contra el pueblo</w:t>
      </w:r>
      <w:r w:rsidR="008504FF">
        <w:rPr>
          <w:lang w:val="es-CL"/>
        </w:rPr>
        <w:t xml:space="preserve">. El discurso se concentra en “ataques morales” a la figura de </w:t>
      </w:r>
      <w:proofErr w:type="spellStart"/>
      <w:r w:rsidR="008504FF">
        <w:rPr>
          <w:lang w:val="es-CL"/>
        </w:rPr>
        <w:t>Trump</w:t>
      </w:r>
      <w:proofErr w:type="spellEnd"/>
      <w:r w:rsidR="008504FF">
        <w:rPr>
          <w:lang w:val="es-CL"/>
        </w:rPr>
        <w:t xml:space="preserve"> y sus seguidores.</w:t>
      </w:r>
      <w:r w:rsidR="004962FD">
        <w:rPr>
          <w:lang w:val="es-CL"/>
        </w:rPr>
        <w:t xml:space="preserve"> Po</w:t>
      </w:r>
      <w:r w:rsidR="008504FF">
        <w:rPr>
          <w:lang w:val="es-CL"/>
        </w:rPr>
        <w:t xml:space="preserve">r sobre una visión maniquea, </w:t>
      </w:r>
      <w:r w:rsidR="004962FD">
        <w:rPr>
          <w:lang w:val="es-CL"/>
        </w:rPr>
        <w:t xml:space="preserve">el discurso </w:t>
      </w:r>
      <w:r w:rsidR="008504FF">
        <w:rPr>
          <w:lang w:val="es-CL"/>
        </w:rPr>
        <w:t>de Clinton es predominantemente pluralista y acepta las diferencias de los americanos</w:t>
      </w:r>
      <w:r w:rsidR="004962FD">
        <w:rPr>
          <w:lang w:val="es-CL"/>
        </w:rPr>
        <w:t xml:space="preserve">. </w:t>
      </w:r>
      <w:r w:rsidR="007F46B6">
        <w:rPr>
          <w:lang w:val="es-CL"/>
        </w:rPr>
        <w:t>Finalmente,</w:t>
      </w:r>
      <w:r w:rsidR="00C879D8">
        <w:rPr>
          <w:lang w:val="es-CL"/>
        </w:rPr>
        <w:t xml:space="preserve"> no </w:t>
      </w:r>
      <w:r w:rsidR="00453FE5">
        <w:rPr>
          <w:lang w:val="es-CL"/>
        </w:rPr>
        <w:t xml:space="preserve">se identifica </w:t>
      </w:r>
      <w:r w:rsidR="00C879D8">
        <w:rPr>
          <w:lang w:val="es-CL"/>
        </w:rPr>
        <w:t xml:space="preserve">una </w:t>
      </w:r>
      <w:r w:rsidR="00453FE5">
        <w:rPr>
          <w:lang w:val="es-CL"/>
        </w:rPr>
        <w:t>noción de voluntad general del pueblo como fuente de</w:t>
      </w:r>
      <w:r w:rsidR="007F46B6">
        <w:rPr>
          <w:lang w:val="es-CL"/>
        </w:rPr>
        <w:t xml:space="preserve"> legitimidad política</w:t>
      </w:r>
      <w:r w:rsidR="00453FE5">
        <w:rPr>
          <w:lang w:val="es-CL"/>
        </w:rPr>
        <w:t>.</w:t>
      </w:r>
      <w:r w:rsidR="00F94B84">
        <w:rPr>
          <w:lang w:val="es-CL"/>
        </w:rPr>
        <w:t xml:space="preserve"> </w:t>
      </w:r>
      <w:r w:rsidR="004962FD">
        <w:rPr>
          <w:lang w:val="es-CL"/>
        </w:rPr>
        <w:t>Además, por sobre un cambio radical, el discurso está centrado en políticas específicas para</w:t>
      </w:r>
      <w:r w:rsidR="008504FF">
        <w:rPr>
          <w:lang w:val="es-CL"/>
        </w:rPr>
        <w:t xml:space="preserve"> de equidad, salud pública y políticas sobre tenencia de armas</w:t>
      </w:r>
      <w:r w:rsidR="004962FD">
        <w:rPr>
          <w:lang w:val="es-CL"/>
        </w:rPr>
        <w:t xml:space="preserve">. </w:t>
      </w:r>
      <w:r w:rsidR="00453FE5">
        <w:rPr>
          <w:lang w:val="es-CL"/>
        </w:rPr>
        <w:t xml:space="preserve">Por estas razones el discurso puede ser calificado con una </w:t>
      </w:r>
      <w:r w:rsidR="008504FF">
        <w:rPr>
          <w:b/>
          <w:lang w:val="es-CL"/>
        </w:rPr>
        <w:t>nota de 0,1</w:t>
      </w:r>
      <w:bookmarkStart w:id="0" w:name="_GoBack"/>
      <w:bookmarkEnd w:id="0"/>
      <w:r w:rsidR="00453FE5" w:rsidRPr="00453FE5">
        <w:rPr>
          <w:b/>
          <w:lang w:val="es-CL"/>
        </w:rPr>
        <w:t>.</w:t>
      </w:r>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47A28"/>
    <w:rsid w:val="00057330"/>
    <w:rsid w:val="00146BD7"/>
    <w:rsid w:val="00275059"/>
    <w:rsid w:val="002E1AE5"/>
    <w:rsid w:val="00422BB5"/>
    <w:rsid w:val="00453FE5"/>
    <w:rsid w:val="004962FD"/>
    <w:rsid w:val="004A7104"/>
    <w:rsid w:val="004B38BA"/>
    <w:rsid w:val="00540FFC"/>
    <w:rsid w:val="00550918"/>
    <w:rsid w:val="005554CE"/>
    <w:rsid w:val="0056249D"/>
    <w:rsid w:val="005B271F"/>
    <w:rsid w:val="0069063C"/>
    <w:rsid w:val="006A0C50"/>
    <w:rsid w:val="006B13BD"/>
    <w:rsid w:val="006F1B32"/>
    <w:rsid w:val="00711C1A"/>
    <w:rsid w:val="00722237"/>
    <w:rsid w:val="007432A7"/>
    <w:rsid w:val="00743F8F"/>
    <w:rsid w:val="007F46B6"/>
    <w:rsid w:val="008504FF"/>
    <w:rsid w:val="00871DE7"/>
    <w:rsid w:val="008B013A"/>
    <w:rsid w:val="009038D3"/>
    <w:rsid w:val="009536F1"/>
    <w:rsid w:val="00973A66"/>
    <w:rsid w:val="00AA0DED"/>
    <w:rsid w:val="00B626B0"/>
    <w:rsid w:val="00B63ECE"/>
    <w:rsid w:val="00B94586"/>
    <w:rsid w:val="00C879D8"/>
    <w:rsid w:val="00CC185D"/>
    <w:rsid w:val="00CC2945"/>
    <w:rsid w:val="00CF4E46"/>
    <w:rsid w:val="00E962CC"/>
    <w:rsid w:val="00F019E2"/>
    <w:rsid w:val="00F67EFD"/>
    <w:rsid w:val="00F756DA"/>
    <w:rsid w:val="00F94B84"/>
    <w:rsid w:val="00FF4E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054D"/>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paragraph" w:styleId="NormalWeb">
    <w:name w:val="Normal (Web)"/>
    <w:basedOn w:val="Normal"/>
    <w:uiPriority w:val="99"/>
    <w:unhideWhenUsed/>
    <w:rsid w:val="00146BD7"/>
    <w:pPr>
      <w:spacing w:before="100" w:beforeAutospacing="1" w:after="100" w:afterAutospacing="1"/>
    </w:pPr>
    <w:rPr>
      <w:szCs w:val="24"/>
    </w:rPr>
  </w:style>
  <w:style w:type="character" w:styleId="Hipervnculo">
    <w:name w:val="Hyperlink"/>
    <w:uiPriority w:val="99"/>
    <w:semiHidden/>
    <w:unhideWhenUsed/>
    <w:rsid w:val="00B63ECE"/>
    <w:rPr>
      <w:color w:val="0000FF"/>
      <w:u w:val="single"/>
    </w:rPr>
  </w:style>
  <w:style w:type="character" w:customStyle="1" w:styleId="s1">
    <w:name w:val="s1"/>
    <w:rsid w:val="00871DE7"/>
  </w:style>
  <w:style w:type="paragraph" w:customStyle="1" w:styleId="p1">
    <w:name w:val="p1"/>
    <w:basedOn w:val="Normal"/>
    <w:rsid w:val="008504FF"/>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C047CB-509E-46E8-B940-7CBAD29F6BE2}">
  <ds:schemaRefs>
    <ds:schemaRef ds:uri="http://schemas.microsoft.com/office/2006/metadata/longProperties"/>
  </ds:schemaRefs>
</ds:datastoreItem>
</file>

<file path=customXml/itemProps3.xml><?xml version="1.0" encoding="utf-8"?>
<ds:datastoreItem xmlns:ds="http://schemas.openxmlformats.org/officeDocument/2006/customXml" ds:itemID="{20619AE9-F502-442F-91E6-525637E8C1B8}">
  <ds:schemaRefs>
    <ds:schemaRef ds:uri="http://schemas.microsoft.com/sharepoint/v3/contenttype/forms"/>
  </ds:schemaRefs>
</ds:datastoreItem>
</file>

<file path=customXml/itemProps4.xml><?xml version="1.0" encoding="utf-8"?>
<ds:datastoreItem xmlns:ds="http://schemas.openxmlformats.org/officeDocument/2006/customXml" ds:itemID="{110ACF1C-7AA1-4823-A8FE-E030FA67F9FD}">
  <ds:schemaRefs>
    <ds:schemaRef ds:uri="http://schemas.microsoft.com/office/2006/metadata/properties"/>
  </ds:schemaRefs>
</ds:datastoreItem>
</file>

<file path=customXml/itemProps5.xml><?xml version="1.0" encoding="utf-8"?>
<ds:datastoreItem xmlns:ds="http://schemas.openxmlformats.org/officeDocument/2006/customXml" ds:itemID="{6FAA3203-29B2-4312-A1EB-93A7F72D59B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1073</Words>
  <Characters>5904</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Cristobal Sandoval</cp:lastModifiedBy>
  <cp:revision>3</cp:revision>
  <cp:lastPrinted>2013-09-27T16:44:00Z</cp:lastPrinted>
  <dcterms:created xsi:type="dcterms:W3CDTF">2016-09-22T19:54:00Z</dcterms:created>
  <dcterms:modified xsi:type="dcterms:W3CDTF">2016-09-22T20:13:00Z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