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057330" w:rsidRPr="00F54F64" w:rsidRDefault="00057330" w:rsidP="00057330">
      <w:r w:rsidRPr="00F54F64">
        <w:rPr>
          <w:b/>
        </w:rPr>
        <w:t>Title of Speech:</w:t>
      </w:r>
      <w:r>
        <w:t xml:space="preserve">  </w:t>
      </w:r>
      <w:r w:rsidR="00DE1EFE">
        <w:t xml:space="preserve">Economic </w:t>
      </w:r>
      <w:r w:rsidR="00CD2AFD">
        <w:t>Speech</w:t>
      </w:r>
    </w:p>
    <w:p w:rsidR="00057330" w:rsidRPr="00F77D02" w:rsidRDefault="00057330" w:rsidP="00057330">
      <w:r>
        <w:rPr>
          <w:b/>
        </w:rPr>
        <w:t>Date of Speech:</w:t>
      </w:r>
      <w:r w:rsidR="00DE1EFE">
        <w:t xml:space="preserve"> August 8</w:t>
      </w:r>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DE1EFE">
        <w:t>September 22</w:t>
      </w:r>
      <w:r w:rsidR="00F77D02">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26"/>
        <w:gridCol w:w="3582"/>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974B19" w:rsidP="00057330">
            <w:pPr>
              <w:rPr>
                <w:rFonts w:eastAsia="Times New Roman"/>
              </w:rPr>
            </w:pPr>
            <w:r>
              <w:rPr>
                <w:rFonts w:eastAsia="Times New Roman"/>
              </w:rPr>
              <w:t>0,8</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DE1EFE" w:rsidRDefault="00DE1EFE" w:rsidP="00057330">
            <w:pPr>
              <w:rPr>
                <w:rFonts w:eastAsia="Times New Roman"/>
              </w:rPr>
            </w:pPr>
          </w:p>
          <w:p w:rsidR="00DE1EFE" w:rsidRDefault="00DE1EFE" w:rsidP="00DE1EFE">
            <w:pPr>
              <w:pStyle w:val="NormalWeb"/>
              <w:spacing w:before="0" w:beforeAutospacing="0" w:after="525" w:afterAutospacing="0" w:line="276" w:lineRule="auto"/>
              <w:jc w:val="both"/>
              <w:rPr>
                <w:i/>
                <w:color w:val="151515"/>
              </w:rPr>
            </w:pPr>
            <w:r>
              <w:rPr>
                <w:i/>
                <w:color w:val="151515"/>
              </w:rPr>
              <w:t>“</w:t>
            </w:r>
            <w:r w:rsidRPr="00DE1EFE">
              <w:rPr>
                <w:i/>
                <w:color w:val="151515"/>
              </w:rPr>
              <w:t>She is the candidate of the past.</w:t>
            </w:r>
            <w:r w:rsidRPr="00DE1EFE">
              <w:rPr>
                <w:i/>
                <w:color w:val="151515"/>
              </w:rPr>
              <w:t xml:space="preserve"> </w:t>
            </w:r>
            <w:r w:rsidRPr="00DE1EFE">
              <w:rPr>
                <w:i/>
                <w:color w:val="151515"/>
              </w:rPr>
              <w:t>Ours is the campaign of the future.</w:t>
            </w:r>
            <w:r>
              <w:rPr>
                <w:i/>
                <w:color w:val="151515"/>
              </w:rPr>
              <w:t>”</w:t>
            </w:r>
          </w:p>
          <w:p w:rsidR="00DE1EFE" w:rsidRDefault="00DE1EFE" w:rsidP="00DE1EFE">
            <w:pPr>
              <w:pStyle w:val="NormalWeb"/>
              <w:spacing w:before="0" w:beforeAutospacing="0" w:after="525" w:afterAutospacing="0" w:line="276" w:lineRule="auto"/>
              <w:jc w:val="both"/>
              <w:rPr>
                <w:i/>
                <w:color w:val="151515"/>
              </w:rPr>
            </w:pPr>
            <w:r>
              <w:rPr>
                <w:i/>
                <w:color w:val="151515"/>
              </w:rPr>
              <w:t>“</w:t>
            </w:r>
            <w:r w:rsidRPr="00DE1EFE">
              <w:rPr>
                <w:i/>
                <w:color w:val="151515"/>
              </w:rPr>
              <w:t>As part of this reform, we will eliminate the Carried Interest Deduction and other special interest loopholes that have been so good for Wall</w:t>
            </w:r>
            <w:r w:rsidRPr="00DE1EFE">
              <w:rPr>
                <w:i/>
                <w:color w:val="151515"/>
              </w:rPr>
              <w:br/>
              <w:t xml:space="preserve">Street investors, and people like me, but unfair to American </w:t>
            </w:r>
            <w:r w:rsidRPr="00DE1EFE">
              <w:rPr>
                <w:i/>
                <w:color w:val="151515"/>
              </w:rPr>
              <w:lastRenderedPageBreak/>
              <w:t>workers.</w:t>
            </w:r>
            <w:r>
              <w:rPr>
                <w:i/>
                <w:color w:val="151515"/>
              </w:rPr>
              <w:t>”</w:t>
            </w:r>
          </w:p>
          <w:p w:rsidR="00CD2AFD" w:rsidRDefault="00DE1EFE" w:rsidP="00DE1EFE">
            <w:pPr>
              <w:pStyle w:val="NormalWeb"/>
              <w:spacing w:before="0" w:beforeAutospacing="0" w:after="525" w:afterAutospacing="0" w:line="276" w:lineRule="auto"/>
              <w:jc w:val="both"/>
              <w:rPr>
                <w:i/>
                <w:color w:val="151515"/>
              </w:rPr>
            </w:pPr>
            <w:r>
              <w:rPr>
                <w:i/>
                <w:color w:val="151515"/>
              </w:rPr>
              <w:t>“</w:t>
            </w:r>
            <w:r w:rsidRPr="00DE1EFE">
              <w:rPr>
                <w:i/>
                <w:color w:val="151515"/>
              </w:rPr>
              <w:t>Our opposition, on the other hand, has long ago run out of ideas. All Hillary Clinton has to offer is more of the same: more taxes, more regulations, more bureaucrats, more restrictions on American energy and American production.</w:t>
            </w:r>
            <w:r>
              <w:rPr>
                <w:i/>
                <w:color w:val="151515"/>
              </w:rPr>
              <w:t>”</w:t>
            </w:r>
          </w:p>
          <w:p w:rsid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Americanism, not globalism, will be our new credo.</w:t>
            </w:r>
            <w:r>
              <w:rPr>
                <w:i/>
                <w:color w:val="151515"/>
              </w:rPr>
              <w:t>”</w:t>
            </w:r>
          </w:p>
          <w:p w:rsid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We need to stop believing in politicians, and start believing in America.</w:t>
            </w:r>
            <w:r>
              <w:rPr>
                <w:i/>
                <w:color w:val="151515"/>
              </w:rPr>
              <w:t>”</w:t>
            </w:r>
          </w:p>
          <w:p w:rsidR="009536F1" w:rsidRP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They want you to think small. I am asking you to think big.</w:t>
            </w:r>
            <w:r>
              <w:rPr>
                <w:i/>
                <w:color w:val="151515"/>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lastRenderedPageBreak/>
              <w:t>Populist notion of the people</w:t>
            </w:r>
          </w:p>
        </w:tc>
        <w:tc>
          <w:tcPr>
            <w:tcW w:w="979" w:type="dxa"/>
          </w:tcPr>
          <w:p w:rsidR="009536F1" w:rsidRPr="00057330" w:rsidRDefault="00974B19"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DE1EFE" w:rsidRDefault="00DE1EFE" w:rsidP="00057330">
            <w:pPr>
              <w:rPr>
                <w:rFonts w:eastAsia="Times New Roman"/>
              </w:rPr>
            </w:pPr>
          </w:p>
          <w:p w:rsidR="00DE1EFE" w:rsidRDefault="00DE1EFE" w:rsidP="00DE1EFE">
            <w:pPr>
              <w:jc w:val="both"/>
              <w:rPr>
                <w:i/>
                <w:color w:val="151515"/>
              </w:rPr>
            </w:pPr>
            <w:r>
              <w:rPr>
                <w:i/>
                <w:color w:val="151515"/>
              </w:rPr>
              <w:t>“</w:t>
            </w:r>
            <w:r w:rsidRPr="00DE1EFE">
              <w:rPr>
                <w:i/>
                <w:color w:val="151515"/>
              </w:rPr>
              <w:t>My campaign is about reaching out to everyone as Americans, and returning to a government that puts the American people first.</w:t>
            </w:r>
            <w:r>
              <w:rPr>
                <w:i/>
                <w:color w:val="151515"/>
              </w:rPr>
              <w:t>”</w:t>
            </w:r>
          </w:p>
          <w:p w:rsidR="00DE1EFE" w:rsidRDefault="00DE1EFE" w:rsidP="00DE1EFE">
            <w:pPr>
              <w:jc w:val="both"/>
              <w:rPr>
                <w:i/>
                <w:color w:val="151515"/>
              </w:rPr>
            </w:pPr>
          </w:p>
          <w:p w:rsidR="00DE1EFE" w:rsidRDefault="00DE1EFE" w:rsidP="00DE1EFE">
            <w:pPr>
              <w:jc w:val="both"/>
              <w:rPr>
                <w:i/>
                <w:color w:val="151515"/>
              </w:rPr>
            </w:pPr>
            <w:r>
              <w:rPr>
                <w:i/>
                <w:color w:val="151515"/>
              </w:rPr>
              <w:t>“</w:t>
            </w:r>
            <w:r w:rsidRPr="00DE1EFE">
              <w:rPr>
                <w:i/>
                <w:color w:val="151515"/>
              </w:rPr>
              <w:t>Because my only interest is the American people, I have previously laid out a detailed 7-point plan for trade reform, available on my website.</w:t>
            </w:r>
            <w:r>
              <w:rPr>
                <w:i/>
                <w:color w:val="151515"/>
              </w:rPr>
              <w:t>”</w:t>
            </w:r>
          </w:p>
          <w:p w:rsidR="006502DB" w:rsidRDefault="006502DB" w:rsidP="00DE1EFE">
            <w:pPr>
              <w:jc w:val="both"/>
              <w:rPr>
                <w:i/>
                <w:color w:val="151515"/>
              </w:rPr>
            </w:pPr>
          </w:p>
          <w:p w:rsidR="006502DB" w:rsidRP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It will be American hands that rebuild this country, and it will be American energy – mined from American sources — that powers this country.</w:t>
            </w:r>
            <w:r>
              <w:rPr>
                <w:i/>
                <w:color w:val="151515"/>
              </w:rPr>
              <w:t>”</w:t>
            </w:r>
          </w:p>
          <w:p w:rsidR="006502DB" w:rsidRPr="00DE1EFE" w:rsidRDefault="006502DB" w:rsidP="00DE1EFE">
            <w:pPr>
              <w:jc w:val="both"/>
              <w:rPr>
                <w:rFonts w:eastAsia="Times New Roman"/>
                <w:i/>
              </w:rPr>
            </w:pPr>
          </w:p>
          <w:p w:rsidR="00CD2AFD" w:rsidRDefault="00CD2AFD" w:rsidP="00057330">
            <w:pPr>
              <w:rPr>
                <w:rFonts w:eastAsia="Times New Roman"/>
              </w:rPr>
            </w:pPr>
          </w:p>
          <w:p w:rsidR="00823BF7" w:rsidRDefault="00823BF7" w:rsidP="00057330">
            <w:pPr>
              <w:rPr>
                <w:rFonts w:eastAsia="Times New Roman"/>
              </w:rPr>
            </w:pPr>
          </w:p>
          <w:p w:rsidR="00CD2AFD" w:rsidRDefault="00CD2AFD" w:rsidP="00057330">
            <w:pPr>
              <w:rPr>
                <w:rFonts w:eastAsia="Times New Roman"/>
              </w:rPr>
            </w:pPr>
          </w:p>
          <w:p w:rsidR="006517E6" w:rsidRDefault="006517E6" w:rsidP="00057330">
            <w:pPr>
              <w:rPr>
                <w:rFonts w:eastAsia="Times New Roman"/>
              </w:rPr>
            </w:pPr>
          </w:p>
          <w:p w:rsidR="00213AC5" w:rsidRPr="006B28C9" w:rsidRDefault="00213AC5" w:rsidP="006517E6">
            <w:pPr>
              <w:jc w:val="both"/>
              <w:rPr>
                <w:i/>
                <w:szCs w:val="24"/>
              </w:rPr>
            </w:pPr>
          </w:p>
        </w:tc>
        <w:tc>
          <w:tcPr>
            <w:tcW w:w="0" w:type="auto"/>
            <w:shd w:val="clear" w:color="auto" w:fill="auto"/>
          </w:tcPr>
          <w:p w:rsidR="009536F1" w:rsidRPr="00057330"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DE74CA"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according to context. </w:t>
            </w:r>
            <w:r w:rsidRPr="00057330">
              <w:rPr>
                <w:rFonts w:eastAsia="Times New Roman"/>
              </w:rPr>
              <w:lastRenderedPageBreak/>
              <w:t>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6502DB" w:rsidRDefault="006502DB" w:rsidP="00057330">
            <w:pPr>
              <w:rPr>
                <w:rFonts w:eastAsia="Times New Roman"/>
              </w:rPr>
            </w:pPr>
          </w:p>
          <w:p w:rsid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The next betrayal will be the Trans-Pacific Partnership. Hillary Clinton’s closest friend, Terry McAuliffe, confirmed what I have said on this from the beginning: if sent to the Oval Office, Hillary Clinton will enact the TPP. Guaranteed. Her donors will make sure of it.</w:t>
            </w:r>
            <w:r>
              <w:rPr>
                <w:i/>
                <w:color w:val="151515"/>
              </w:rPr>
              <w:t>”</w:t>
            </w:r>
          </w:p>
          <w:p w:rsid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Hillary Clinton will never withdraw from the TPP. She is bought, controlled and paid-for by her donors and special interests.</w:t>
            </w:r>
            <w:r>
              <w:rPr>
                <w:i/>
                <w:color w:val="151515"/>
              </w:rPr>
              <w:t>”</w:t>
            </w:r>
          </w:p>
          <w:p w:rsidR="00DE1EFE" w:rsidRP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Our party has chosen to make new history by selecting a nominee from outside the rigged and corrupt system.</w:t>
            </w:r>
            <w:r>
              <w:rPr>
                <w:i/>
                <w:color w:val="151515"/>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opponents as </w:t>
            </w:r>
            <w:r w:rsidRPr="00057330">
              <w:rPr>
                <w:rFonts w:eastAsia="Times New Roman"/>
              </w:rPr>
              <w:lastRenderedPageBreak/>
              <w:t>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974B19" w:rsidRPr="00974B19" w:rsidRDefault="00974B19" w:rsidP="00974B19">
            <w:pPr>
              <w:jc w:val="both"/>
              <w:rPr>
                <w:rFonts w:eastAsia="Times New Roman"/>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974B19" w:rsidRDefault="00974B19" w:rsidP="00057330">
            <w:pPr>
              <w:rPr>
                <w:rFonts w:eastAsia="Times New Roman"/>
              </w:rPr>
            </w:pPr>
          </w:p>
          <w:p w:rsidR="006502DB" w:rsidRPr="006502DB" w:rsidRDefault="006502DB" w:rsidP="006502DB">
            <w:pPr>
              <w:pStyle w:val="NormalWeb"/>
              <w:spacing w:before="0" w:beforeAutospacing="0" w:after="525" w:afterAutospacing="0" w:line="276" w:lineRule="auto"/>
              <w:jc w:val="both"/>
              <w:rPr>
                <w:i/>
                <w:color w:val="151515"/>
              </w:rPr>
            </w:pPr>
            <w:r>
              <w:rPr>
                <w:i/>
                <w:color w:val="151515"/>
              </w:rPr>
              <w:t>“</w:t>
            </w:r>
            <w:r w:rsidRPr="006502DB">
              <w:rPr>
                <w:i/>
                <w:color w:val="151515"/>
              </w:rPr>
              <w:t xml:space="preserve">I am proposing an across-the-board income tax reduction, especially for middle-income </w:t>
            </w:r>
            <w:r w:rsidRPr="006502DB">
              <w:rPr>
                <w:i/>
                <w:color w:val="151515"/>
              </w:rPr>
              <w:lastRenderedPageBreak/>
              <w:t>Americans. This will lead to millions of new good-paying jobs.</w:t>
            </w:r>
          </w:p>
          <w:p w:rsidR="006502DB" w:rsidRDefault="006502DB" w:rsidP="006502DB">
            <w:pPr>
              <w:pStyle w:val="NormalWeb"/>
              <w:spacing w:before="0" w:beforeAutospacing="0" w:after="525" w:afterAutospacing="0" w:line="276" w:lineRule="auto"/>
              <w:jc w:val="both"/>
              <w:rPr>
                <w:i/>
                <w:color w:val="151515"/>
              </w:rPr>
            </w:pPr>
            <w:r w:rsidRPr="006502DB">
              <w:rPr>
                <w:i/>
                <w:color w:val="151515"/>
              </w:rPr>
              <w:t>The rich will pay their fair share, but no one will pay so much that it destroys jobs, or undermines our ability to compete.</w:t>
            </w:r>
            <w:r>
              <w:rPr>
                <w:i/>
                <w:color w:val="151515"/>
              </w:rPr>
              <w:t>”</w:t>
            </w:r>
          </w:p>
          <w:p w:rsidR="0007340F" w:rsidRPr="008704FB" w:rsidRDefault="006502DB" w:rsidP="008704FB">
            <w:pPr>
              <w:pStyle w:val="NormalWeb"/>
              <w:spacing w:before="0" w:beforeAutospacing="0" w:after="525" w:afterAutospacing="0" w:line="276" w:lineRule="auto"/>
              <w:jc w:val="both"/>
              <w:rPr>
                <w:i/>
                <w:color w:val="151515"/>
              </w:rPr>
            </w:pPr>
            <w:r>
              <w:rPr>
                <w:i/>
                <w:color w:val="151515"/>
              </w:rPr>
              <w:t>“</w:t>
            </w:r>
            <w:r w:rsidRPr="006502DB">
              <w:rPr>
                <w:i/>
                <w:color w:val="151515"/>
              </w:rPr>
              <w:t>A Trump Administration will end this war on the American worker, and unleash an energy revolution that will bring vast new wealth to our country.</w:t>
            </w:r>
            <w:r w:rsidR="008704FB">
              <w:rPr>
                <w:i/>
                <w:color w:val="151515"/>
              </w:rPr>
              <w:t>”</w:t>
            </w:r>
          </w:p>
          <w:p w:rsidR="0007340F" w:rsidRPr="00057330" w:rsidRDefault="0007340F" w:rsidP="0007340F">
            <w:pPr>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Pr>
          <w:lang w:val="es-CL"/>
        </w:rPr>
        <w:t xml:space="preserve">presenta </w:t>
      </w:r>
      <w:r w:rsidR="008704FB">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8704FB">
        <w:rPr>
          <w:lang w:val="es-CL"/>
        </w:rPr>
        <w:t xml:space="preserve"> como una entidad virtuosa</w:t>
      </w:r>
      <w:r>
        <w:rPr>
          <w:lang w:val="es-CL"/>
        </w:rPr>
        <w:t xml:space="preserve">. </w:t>
      </w:r>
      <w:r w:rsidR="00822CA7">
        <w:rPr>
          <w:lang w:val="es-CL"/>
        </w:rPr>
        <w:t>Segundo, se reconoce de manera clara la identificación de una elite representada por los políticos</w:t>
      </w:r>
      <w:r>
        <w:rPr>
          <w:lang w:val="es-CL"/>
        </w:rPr>
        <w:t xml:space="preserve"> </w:t>
      </w:r>
      <w:r w:rsidR="00BC2F32">
        <w:rPr>
          <w:lang w:val="es-CL"/>
        </w:rPr>
        <w:t>tradicionales</w:t>
      </w:r>
      <w:r w:rsidR="009A743F">
        <w:rPr>
          <w:lang w:val="es-CL"/>
        </w:rPr>
        <w:t xml:space="preserve">, </w:t>
      </w:r>
      <w:r w:rsidR="008704FB">
        <w:rPr>
          <w:lang w:val="es-CL"/>
        </w:rPr>
        <w:t xml:space="preserve">los intereses especiales y en especial la figura de </w:t>
      </w:r>
      <w:r w:rsidR="00BB57BE">
        <w:rPr>
          <w:lang w:val="es-CL"/>
        </w:rPr>
        <w:t>Hillary Clinton</w:t>
      </w:r>
      <w:r w:rsidR="00A74D29">
        <w:rPr>
          <w:lang w:val="es-CL"/>
        </w:rPr>
        <w:t xml:space="preserve"> y el presidente Obama</w:t>
      </w:r>
      <w:r w:rsidR="00822CA7">
        <w:rPr>
          <w:lang w:val="es-CL"/>
        </w:rPr>
        <w:t xml:space="preserve">. </w:t>
      </w:r>
      <w:r w:rsidR="006A426F">
        <w:rPr>
          <w:lang w:val="es-CL"/>
        </w:rPr>
        <w:t>De esta forma, el discurso muestra elementos maniqueos dividiendo la sociedad en dos grupos</w:t>
      </w:r>
      <w:r w:rsidR="008704FB">
        <w:rPr>
          <w:lang w:val="es-CL"/>
        </w:rPr>
        <w:t xml:space="preserve"> antagónicos y en donde el pueblo americano va a prevalecer</w:t>
      </w:r>
      <w:r w:rsidR="006A426F">
        <w:rPr>
          <w:lang w:val="es-CL"/>
        </w:rPr>
        <w:t xml:space="preserve">. </w:t>
      </w:r>
      <w:r w:rsidR="006A198C">
        <w:rPr>
          <w:lang w:val="es-CL"/>
        </w:rPr>
        <w:t xml:space="preserve">En tercer lugar, </w:t>
      </w:r>
      <w:r w:rsidR="009A743F">
        <w:rPr>
          <w:lang w:val="es-CL"/>
        </w:rPr>
        <w:t>se</w:t>
      </w:r>
      <w:r w:rsidR="00107572">
        <w:rPr>
          <w:lang w:val="es-CL"/>
        </w:rPr>
        <w:t xml:space="preserve"> reconoce</w:t>
      </w:r>
      <w:r>
        <w:rPr>
          <w:lang w:val="es-CL"/>
        </w:rPr>
        <w:t xml:space="preserve"> cierta</w:t>
      </w:r>
      <w:r w:rsidR="00107572">
        <w:rPr>
          <w:lang w:val="es-CL"/>
        </w:rPr>
        <w:t xml:space="preserve"> </w:t>
      </w:r>
      <w:r w:rsidR="006A198C">
        <w:rPr>
          <w:lang w:val="es-CL"/>
        </w:rPr>
        <w:t>noción de voluntad general como fuente</w:t>
      </w:r>
      <w:r w:rsidR="00D04157">
        <w:rPr>
          <w:lang w:val="es-CL"/>
        </w:rPr>
        <w:t xml:space="preserve"> de legitimidad política</w:t>
      </w:r>
      <w:r>
        <w:rPr>
          <w:lang w:val="es-CL"/>
        </w:rPr>
        <w:t xml:space="preserve"> para generar los cambios que se necesitan y poner a América primero</w:t>
      </w:r>
      <w:r w:rsidR="00A74D29">
        <w:rPr>
          <w:lang w:val="es-CL"/>
        </w:rPr>
        <w:t xml:space="preserve">. </w:t>
      </w:r>
      <w:r w:rsidR="008704FB">
        <w:rPr>
          <w:lang w:val="es-CL"/>
        </w:rPr>
        <w:t xml:space="preserve">Por sobre una noción de cambio radical, </w:t>
      </w:r>
      <w:proofErr w:type="spellStart"/>
      <w:r w:rsidR="006A426F">
        <w:rPr>
          <w:lang w:val="es-CL"/>
        </w:rPr>
        <w:t>Trump</w:t>
      </w:r>
      <w:proofErr w:type="spellEnd"/>
      <w:r w:rsidR="006A426F">
        <w:rPr>
          <w:lang w:val="es-CL"/>
        </w:rPr>
        <w:t xml:space="preserve"> se concentra en temas específicos como política internacional, baja de impuestos, producción de </w:t>
      </w:r>
      <w:r w:rsidR="006A426F">
        <w:rPr>
          <w:lang w:val="es-CL"/>
        </w:rPr>
        <w:lastRenderedPageBreak/>
        <w:t>empleo y política energética.</w:t>
      </w:r>
      <w:r w:rsidR="00A74D29">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8704FB">
        <w:rPr>
          <w:b/>
          <w:lang w:val="es-CL"/>
        </w:rPr>
        <w:t>1,4</w:t>
      </w:r>
      <w:bookmarkStart w:id="0" w:name="_GoBack"/>
      <w:bookmarkEnd w:id="0"/>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107572"/>
    <w:rsid w:val="00160BDA"/>
    <w:rsid w:val="00213AC5"/>
    <w:rsid w:val="00244D1D"/>
    <w:rsid w:val="0025179E"/>
    <w:rsid w:val="002C7028"/>
    <w:rsid w:val="00333720"/>
    <w:rsid w:val="003507B3"/>
    <w:rsid w:val="00365C62"/>
    <w:rsid w:val="00367377"/>
    <w:rsid w:val="00387487"/>
    <w:rsid w:val="003C682E"/>
    <w:rsid w:val="00422BB5"/>
    <w:rsid w:val="00540FFC"/>
    <w:rsid w:val="00560A97"/>
    <w:rsid w:val="005B1FB5"/>
    <w:rsid w:val="005C21BB"/>
    <w:rsid w:val="006502DB"/>
    <w:rsid w:val="006517E6"/>
    <w:rsid w:val="00682299"/>
    <w:rsid w:val="006A198C"/>
    <w:rsid w:val="006A426F"/>
    <w:rsid w:val="006B07DD"/>
    <w:rsid w:val="006B28C9"/>
    <w:rsid w:val="006F324D"/>
    <w:rsid w:val="007120CF"/>
    <w:rsid w:val="007364F4"/>
    <w:rsid w:val="00743F8F"/>
    <w:rsid w:val="00787CAD"/>
    <w:rsid w:val="00792DBE"/>
    <w:rsid w:val="00822CA7"/>
    <w:rsid w:val="00823BF7"/>
    <w:rsid w:val="008704FB"/>
    <w:rsid w:val="008B013A"/>
    <w:rsid w:val="008D2057"/>
    <w:rsid w:val="008F7DB1"/>
    <w:rsid w:val="009536F1"/>
    <w:rsid w:val="00974B19"/>
    <w:rsid w:val="00980164"/>
    <w:rsid w:val="009A743F"/>
    <w:rsid w:val="00A74D29"/>
    <w:rsid w:val="00AE32A3"/>
    <w:rsid w:val="00BB57BE"/>
    <w:rsid w:val="00BB73EB"/>
    <w:rsid w:val="00BC2F32"/>
    <w:rsid w:val="00CD2AFD"/>
    <w:rsid w:val="00D04157"/>
    <w:rsid w:val="00DE1EFE"/>
    <w:rsid w:val="00DE74CA"/>
    <w:rsid w:val="00E770C4"/>
    <w:rsid w:val="00E83ED3"/>
    <w:rsid w:val="00E948F3"/>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FF2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1258</Words>
  <Characters>6920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3</cp:revision>
  <cp:lastPrinted>2013-09-27T16:44:00Z</cp:lastPrinted>
  <dcterms:created xsi:type="dcterms:W3CDTF">2016-09-22T20:25:00Z</dcterms:created>
  <dcterms:modified xsi:type="dcterms:W3CDTF">2016-09-22T20:50:00Z</dcterms:modified>
</cp:coreProperties>
</file>