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sz w:val="32"/>
          <w:szCs w:val="32"/>
        </w:rPr>
      </w:pPr>
      <w:r>
        <w:rPr>
          <w:b/>
          <w:bCs/>
          <w:sz w:val="32"/>
          <w:szCs w:val="32"/>
        </w:rPr>
        <w:t xml:space="preserve">       </w:t>
      </w:r>
      <w:r>
        <w:rPr>
          <w:b/>
          <w:bCs/>
          <w:sz w:val="32"/>
          <w:szCs w:val="32"/>
        </w:rPr>
        <w:t>Transcriptomic Profiling of Drug-Resistant Cancer Cells</w:t>
      </w:r>
    </w:p>
    <w:p>
      <w:pPr>
        <w:pStyle w:val="Normal"/>
        <w:rPr>
          <w:b/>
          <w:bCs/>
        </w:rPr>
      </w:pPr>
      <w:r>
        <w:rPr>
          <w:b/>
          <w:bCs/>
        </w:rPr>
        <w:t>Name of Group members:</w:t>
      </w:r>
    </w:p>
    <w:tbl>
      <w:tblPr>
        <w:tblStyle w:val="TableGrid"/>
        <w:tblW w:w="9468"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680"/>
        <w:gridCol w:w="4788"/>
      </w:tblGrid>
      <w:tr>
        <w:trPr/>
        <w:tc>
          <w:tcPr>
            <w:tcW w:w="4680" w:type="dxa"/>
            <w:tcBorders/>
          </w:tcPr>
          <w:p>
            <w:pPr>
              <w:pStyle w:val="Normal"/>
              <w:widowControl/>
              <w:suppressAutoHyphens w:val="true"/>
              <w:spacing w:lineRule="auto" w:line="240" w:before="0" w:after="0"/>
              <w:jc w:val="start"/>
              <w:rPr>
                <w:b/>
                <w:bCs/>
              </w:rPr>
            </w:pPr>
            <w:r>
              <w:rPr>
                <w:rFonts w:eastAsia="ＭＳ 明朝" w:cs=""/>
                <w:b/>
                <w:bCs/>
                <w:kern w:val="0"/>
                <w:sz w:val="22"/>
                <w:szCs w:val="22"/>
                <w:lang w:val="en-US" w:eastAsia="en-US" w:bidi="ar-SA"/>
              </w:rPr>
              <w:t>Name</w:t>
            </w:r>
          </w:p>
        </w:tc>
        <w:tc>
          <w:tcPr>
            <w:tcW w:w="4788" w:type="dxa"/>
            <w:tcBorders/>
          </w:tcPr>
          <w:p>
            <w:pPr>
              <w:pStyle w:val="Normal"/>
              <w:widowControl/>
              <w:suppressAutoHyphens w:val="true"/>
              <w:spacing w:lineRule="auto" w:line="240" w:before="0" w:after="0"/>
              <w:jc w:val="start"/>
              <w:rPr>
                <w:b/>
                <w:bCs/>
              </w:rPr>
            </w:pPr>
            <w:r>
              <w:rPr>
                <w:rFonts w:eastAsia="ＭＳ 明朝" w:cs=""/>
                <w:b/>
                <w:bCs/>
                <w:kern w:val="0"/>
                <w:sz w:val="22"/>
                <w:szCs w:val="22"/>
                <w:lang w:val="en-US" w:eastAsia="en-US" w:bidi="ar-SA"/>
              </w:rPr>
              <w:t>Registration number</w:t>
            </w:r>
          </w:p>
        </w:tc>
      </w:tr>
      <w:tr>
        <w:trPr/>
        <w:tc>
          <w:tcPr>
            <w:tcW w:w="468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Solanki Nehal Shailesh</w:t>
            </w:r>
          </w:p>
        </w:tc>
        <w:tc>
          <w:tcPr>
            <w:tcW w:w="4788"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23BCB0076</w:t>
            </w:r>
          </w:p>
        </w:tc>
      </w:tr>
      <w:tr>
        <w:trPr/>
        <w:tc>
          <w:tcPr>
            <w:tcW w:w="468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Anushree Tyagi</w:t>
            </w:r>
          </w:p>
        </w:tc>
        <w:tc>
          <w:tcPr>
            <w:tcW w:w="4788"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23BCB0108</w:t>
            </w:r>
          </w:p>
        </w:tc>
      </w:tr>
      <w:tr>
        <w:trPr/>
        <w:tc>
          <w:tcPr>
            <w:tcW w:w="468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Vivek Kumar</w:t>
            </w:r>
          </w:p>
        </w:tc>
        <w:tc>
          <w:tcPr>
            <w:tcW w:w="4788"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23BCB0137</w:t>
            </w:r>
          </w:p>
        </w:tc>
      </w:tr>
    </w:tbl>
    <w:p>
      <w:pPr>
        <w:pStyle w:val="Heading2"/>
        <w:rPr/>
      </w:pPr>
      <w:r>
        <w:rPr/>
      </w:r>
    </w:p>
    <w:p>
      <w:pPr>
        <w:pStyle w:val="Heading2"/>
        <w:rPr/>
      </w:pPr>
      <w:r>
        <w:rPr/>
        <w:t>Abstract</w:t>
      </w:r>
    </w:p>
    <w:p>
      <w:pPr>
        <w:pStyle w:val="Normal"/>
        <w:rPr/>
      </w:pPr>
      <w:bookmarkStart w:id="0" w:name="__DdeLink__606_2820875427"/>
      <w:r>
        <w:rPr/>
        <w:t>Acquisition of resistance towards 3rd generation EGFR tyrosine kinase inhibitors like osimertinib remains a prime reason for the therapeutic failure of EGFR-mutated non-small cell lung cancer (NSCLC). This paper derives, validates and interprets a newly found transcriptional signature of acquired resistance based on bulk RNA-seq from EGFR-mutated lung adenocarcinoma cell lines. As many as two public GEO cohorts were matched based on a GSE202859 dataset (parental lines vs chronically resistant “-OR” lines) and a validation dataset (GSE193258; DMSO vehicle vs 3 weeks drug-tolerant persisters) with the focus on three cell lines PC9, H1975, and HCC827 (9 sensitive and 9 resistant samples respectively). All counts from an NCBI pipeline were variance stabilized, and differential expression was performed using DESeq2 on a ~cell_line + condition design. The signature of 1,112 genes (similar and directional consistency across cohorts) was characterized with the help of over-representation analysis (GO-BP, KEGG, Reactome) and pre-ranked GSEA cross-validated through R fgsea engine with (NES concordance rho = 0.70-0.86). Group-aware nested cross-validation of logistic regression, random forest, SVM, and XGBoost-based approach confirmed reliability of pre-registered initial logistic regression K = 50 resulting in the one-hundred-percent accuracy of independent cohort (ROC-AUC 1.000; 95% CI 1.000-1.000; sensitivity 1.000; specificity 0.444 under the strict headline scheme). The research identified a 100-gene biomarker panel using a composite stability, selection-frequency, and SHAP score. The locked models indicated a drug-withdrawal gradient on the unmatched time-course arm (transductive P(Resistant): DMSO 0.05 to DTP 0.80 based on samples collected at different time points). The paper summarizes outcomes of research that has identified exploratory biomarkers based on transcriptional data from three common cell lines but does not make any clinical, diagnostic or causal claims.</w:t>
      </w:r>
      <w:bookmarkEnd w:id="0"/>
    </w:p>
    <w:p>
      <w:pPr>
        <w:pStyle w:val="Heading2"/>
        <w:rPr/>
      </w:pPr>
      <w:r>
        <w:rPr/>
        <w:t>Introduction</w:t>
      </w:r>
    </w:p>
    <w:p>
      <w:pPr>
        <w:pStyle w:val="Normal"/>
        <w:rPr/>
      </w:pPr>
      <w:r>
        <w:rPr/>
        <w:t>The third generation EGFR TKIs like osimertinib have significantly improved the prognosis of EGFR mutant NSCLC patients, but because of the development of acquired, mainly non-genetic resistance of almost all patients under these drugs. Transcriptome profiling of the newly developed resistance variants may provide a valuable controlled experimental model for studying the properties of these non-genetic states. However, analysis within the single cohorts is vulnerable to batch effects, dataset specific biases and optimistic classification model performance. The robust analytical pipeline should consist of the following steps: (a) independent discovery and validation cohorts based on the same genes processed the same way; (b) differential abundance tools capable of adjusting for genetic background; (c) biological characterization of the common signature; and (d) prediction analysis done in a proper statistical manner without leakage after models are locked.</w:t>
      </w:r>
    </w:p>
    <w:p>
      <w:pPr>
        <w:pStyle w:val="Normal"/>
        <w:rPr/>
      </w:pPr>
      <w:r>
        <w:rPr/>
      </w:r>
    </w:p>
    <w:p>
      <w:pPr>
        <w:pStyle w:val="Normal"/>
        <w:rPr/>
      </w:pPr>
      <w:r>
        <w:rPr/>
        <w:t>This paper provides description of every step that was taken to perform such analysis on two cohorts from GEO databases: discovery cohort GSE202859 and validation cohort GSE193258, including preprocessing, differential expression identification, cross-datasets signature validation, function enrichment, machine learning based signal classification with nested cross-validation and one visit based external validation, biomarker prioritization and drug withdrawal reversibility test.The source code, build and results are available in the git-committed repository.</w:t>
      </w:r>
    </w:p>
    <w:p>
      <w:pPr>
        <w:pStyle w:val="Normal"/>
        <w:rPr/>
      </w:pPr>
      <w:r>
        <w:rPr/>
        <w:t>The goals of the study were to:</w:t>
      </w:r>
    </w:p>
    <w:p>
      <w:pPr>
        <w:pStyle w:val="Normal"/>
        <w:rPr/>
      </w:pPr>
      <w:r>
        <w:rPr/>
        <w:t>1. Discover the list of differentially expressed genes (resistant vs. sensitive), by cohort with background genetic profile (cell line) statistically adjusted for</w:t>
      </w:r>
    </w:p>
    <w:p>
      <w:pPr>
        <w:pStyle w:val="Normal"/>
        <w:rPr/>
      </w:pPr>
      <w:r>
        <w:rPr/>
        <w:t>2. Uncover the consistent core signature of acquired osimertinib resistance across datasets</w:t>
      </w:r>
    </w:p>
    <w:p>
      <w:pPr>
        <w:pStyle w:val="Normal"/>
        <w:rPr/>
      </w:pPr>
      <w:r>
        <w:rPr/>
        <w:t>3. Biologically characterise the signature (over-representation and GSEA), and test its robustness via another GSEA engine</w:t>
      </w:r>
    </w:p>
    <w:p>
      <w:pPr>
        <w:pStyle w:val="Normal"/>
        <w:rPr/>
      </w:pPr>
      <w:r>
        <w:rPr/>
        <w:t>4. Assess the performance of the signature in distinguishing between resistant and sensitive states in a separate cohort under a leakage-safe machine learning paradigm with uncertainty quantified under a pre-registered primary configuration</w:t>
      </w:r>
    </w:p>
    <w:p>
      <w:pPr>
        <w:pStyle w:val="Normal"/>
        <w:rPr/>
      </w:pPr>
      <w:r>
        <w:rPr/>
        <w:t>5. Select the biomarker candidates and assess biological reversibility of the signature learned under an excluded drug withdrawal arm</w:t>
      </w:r>
    </w:p>
    <w:p>
      <w:pPr>
        <w:pStyle w:val="Heading2"/>
        <w:rPr/>
      </w:pPr>
      <w:r>
        <w:rPr/>
        <w:t>Literature Review</w:t>
      </w:r>
    </w:p>
    <w:p>
      <w:pPr>
        <w:pStyle w:val="Normal"/>
        <w:rPr/>
      </w:pPr>
      <w:bookmarkStart w:id="1" w:name="__DdeLink__610_2820875427"/>
      <w:r>
        <w:rPr>
          <w:b/>
        </w:rPr>
        <w:t>Osimertinib and acquired resistance.</w:t>
      </w:r>
      <w:r>
        <w:rPr/>
        <w:t xml:space="preserve"> Osimertinib is a covalent third-generation EGFR TKI active against sensitising EGFR mutations and the gatekeeper-resistant T790M mutation, and the standard first-line treatment for EGFR-mutant advanced NSCLC. Clinically, disease progression eventually occurs in virtually all treated patients, driven by primary or secondary resistance mechanisms (Blaquier et al., 2023). Beyond on-target EGFR second-site mutations and bypass activations, much of the resistance is non-genetic: chromatin-remodelling states, drug-tolerant persister (DTP) phenotypes, and lineage plasticity. de Miguel et al. (2023) showed that mammalian SWI/SNF (mSWI/SNF, BAF) chromatin remodelling complexes, and specifically the SMARCA4/SMARCA2 ATPases, support osimertinib resistance through chromatin-accessibility rewiring of cell-proliferation, EMT, epithelial-differentiation, and NRF2 oxidative-stress programs; genetic or pharmacologic disruption of these ATPases re-sensitises a subset of resistant models. This motivates a transcriptomic, pathway-level framing of resistance rather than a purely mutational one.</w:t>
      </w:r>
      <w:bookmarkEnd w:id="1"/>
    </w:p>
    <w:p>
      <w:pPr>
        <w:pStyle w:val="Normal"/>
        <w:rPr/>
      </w:pPr>
      <w:r>
        <w:rPr>
          <w:b/>
        </w:rPr>
        <w:t>DTP states and reversibility.</w:t>
      </w:r>
      <w:r>
        <w:rPr/>
        <w:t xml:space="preserve"> Criscione et al. (2022) profiled osimertinib DTPs (500 nM, 21 days) across EGFR-mutant NSCLC lines with RNA-seq, ChIP-seq, and ATAC-seq, and showed that DTPs carry a distinct transcriptional-epigenomic state apart from cell-cycle effects, with therapeutic vulnerabilities (MEK, TEAD, AURKB, BRD4). Persister states are at least partially reversible after drug withdrawal, which motivates washout time-courses: if the resistance signal decays with drug removal, the phenotype is state-like rather than mutation-like. Acute-exposure and washout arms provide that design; these states confound the primary Sensitive-vs-Resistant contrast and must be excluded from label-bearing contrasts while remaining valuable for sensitivity probes, which is the policy adopted in this pipeline.</w:t>
      </w:r>
    </w:p>
    <w:p>
      <w:pPr>
        <w:pStyle w:val="Normal"/>
        <w:rPr/>
      </w:pPr>
      <w:r>
        <w:rPr>
          <w:b/>
        </w:rPr>
        <w:t>Public RNA-seq resource design.</w:t>
      </w:r>
      <w:r>
        <w:rPr/>
        <w:t xml:space="preserve"> GEO hosts NCBI-uniformly reprocessed RNA-seq count matrices (HISAT2 and featureCounts against GRCh38.p13 in Entrez gene space) produced by an identical pipeline for arbitrary GEO-deposited studies (Barrett et al., 2013). Two independent series can therefore be analysed with identical alignment and annotation, removing inter-study batch and gene-ID discrepancies that would otherwise mask cross-dataset reproducibility. Manual subsetting based on sample titles and metadata yields matched cohorts without cross-batch confounding.</w:t>
      </w:r>
    </w:p>
    <w:p>
      <w:pPr>
        <w:pStyle w:val="Normal"/>
        <w:rPr/>
      </w:pPr>
      <w:r>
        <w:rPr>
          <w:b/>
        </w:rPr>
        <w:t>Differential expression with multi-factor designs.</w:t>
      </w:r>
      <w:r>
        <w:rPr/>
        <w:t xml:space="preserve"> DESeq2's negative-binomial generalised linear model supports covariate-adjusted contrasts (~ cell_line + condition; Love et al., 2014) that absorb the three genetic backgrounds into a blocking factor while estimating the condition effect on all 18 samples per cohort, a design that increases power versus per-line analyses and guards against line-driven spurious calls. Its variance-stabilising transformation (VST) yields a scale-free expression matrix suitable for classification and cross-cohort transfer.</w:t>
      </w:r>
    </w:p>
    <w:p>
      <w:pPr>
        <w:pStyle w:val="Normal"/>
        <w:rPr/>
      </w:pPr>
      <w:r>
        <w:rPr>
          <w:b/>
        </w:rPr>
        <w:t>Enrichment analysis and engines.</w:t>
      </w:r>
      <w:r>
        <w:rPr/>
        <w:t xml:space="preserve"> Over-representation analysis (hypergeometric test with Benjamini-Hochberg FDR) requires an explicit reference universe; using all genes annotated in the gene-set source is the conservative, transparent choice adopted here. ORA over discretised DEG lists is complemented by pre-ranked GSEA (Subramanian et al., 2005), which scores whole ranked transcriptomes without dichotomisation, with Reactome (Gillespie et al., 2022), KEGG (Kanehisa and Furumichi, 2017), and GO-BP gene sets from the Enrichr collection (Kuleshov et al., 2016). Python pre-ranked GSEA approximates the permutation null, while R fgsea (Korotkevich et al., 2019) computes an exact multilevel estimate, so a two-engine concordance check is the recommended robustness layer.</w:t>
      </w:r>
    </w:p>
    <w:p>
      <w:pPr>
        <w:pStyle w:val="Normal"/>
        <w:rPr/>
      </w:pPr>
      <w:r>
        <w:rPr>
          <w:b/>
        </w:rPr>
        <w:t>Machine learning on small, structured genomic data.</w:t>
      </w:r>
      <w:r>
        <w:rPr/>
        <w:t xml:space="preserve"> With 18 samples spanning only three genetic backgrounds, cross-validation must be group-aware: splitting by cell line (all replicates of a line inside one fold) prevents same-line leakage and yields a realistic, if pessimistic, estimate of cross-genotype generalisation. Hyperparameter tuning and feature selection must occur strictly inside training folds; nested cross-validation is the accepted control for selection bias and the winner's curse (Varma and Simon, 2006). Interpretable linear models remain a strong baseline in small-n genomic settings, complemented by tree ensembles and margin-based classifiers. External validation on a fully independent cohort, run once after model lock, is the gold standard for claims that go beyond within-cohort exploratory fits.</w:t>
      </w:r>
    </w:p>
    <w:p>
      <w:pPr>
        <w:pStyle w:val="Heading2"/>
        <w:rPr/>
      </w:pPr>
      <w:r>
        <w:rPr/>
        <w:t>Methodology</w:t>
      </w:r>
    </w:p>
    <w:p>
      <w:pPr>
        <w:pStyle w:val="Heading3"/>
        <w:rPr/>
      </w:pPr>
      <w:r>
        <w:rPr/>
        <w:t>Cohorts and labels</w:t>
      </w:r>
    </w:p>
    <w:p>
      <w:pPr>
        <w:pStyle w:val="Normal"/>
        <w:rPr/>
      </w:pPr>
      <w:r>
        <w:rPr/>
        <w:t>Two bulk RNA-seq datasets have been chosen based on their biological connection with each other (see table 1). They both include the identical 3 human lung adenocarcinoma cells (PC9, H1975, HCC827) with the same NCBI compliant count matrix (common set of genes). Each dataset contains labelled conditions (9 sensitive/control versus 9 resistant) for each group. All non-matching samples, acute osimertinib administration, and SMARCA4-shRNA knockdown in GSE202859 and acute/washout time-series and non-matching cell line HCC2935 in GSE193258 are excluded based on the policy about non-matching samples and are reported together with justification in coldata_all.csv (52 and 60 samples respectively, with 18 samples per cohort not meeting the criteria). Endpoints -OR (parent chronically dosed cell line versus resistant derivative) and osi_DTP (3-week chronic exposure to 500 nM of osimertinib) are different in nature and should be addressed properly as a distribution shift.</w:t>
      </w:r>
    </w:p>
    <w:p>
      <w:pPr>
        <w:pStyle w:val="Normal"/>
        <w:rPr/>
      </w:pPr>
      <w:r>
        <w:rPr>
          <w:b/>
        </w:rPr>
        <w:t>Table 1. Cohort selection.</w:t>
      </w:r>
    </w:p>
    <w:tbl>
      <w:tblPr>
        <w:tblStyle w:val="TableGrid"/>
        <w:tblW w:w="864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880"/>
        <w:gridCol w:w="2880"/>
        <w:gridCol w:w="2880"/>
      </w:tblGrid>
      <w:tr>
        <w:trPr/>
        <w:tc>
          <w:tcPr>
            <w:tcW w:w="288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b/>
                <w:kern w:val="0"/>
                <w:sz w:val="22"/>
                <w:szCs w:val="22"/>
                <w:lang w:val="en-US" w:eastAsia="en-US" w:bidi="ar-SA"/>
              </w:rPr>
              <w:t>Item</w:t>
            </w:r>
          </w:p>
        </w:tc>
        <w:tc>
          <w:tcPr>
            <w:tcW w:w="288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b/>
                <w:kern w:val="0"/>
                <w:sz w:val="22"/>
                <w:szCs w:val="22"/>
                <w:lang w:val="en-US" w:eastAsia="en-US" w:bidi="ar-SA"/>
              </w:rPr>
              <w:t>Discovery (GSE202859)</w:t>
            </w:r>
          </w:p>
        </w:tc>
        <w:tc>
          <w:tcPr>
            <w:tcW w:w="288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b/>
                <w:kern w:val="0"/>
                <w:sz w:val="22"/>
                <w:szCs w:val="22"/>
                <w:lang w:val="en-US" w:eastAsia="en-US" w:bidi="ar-SA"/>
              </w:rPr>
              <w:t>Validation (GSE193258)</w:t>
            </w:r>
          </w:p>
        </w:tc>
      </w:tr>
      <w:tr>
        <w:trPr/>
        <w:tc>
          <w:tcPr>
            <w:tcW w:w="288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System</w:t>
            </w:r>
          </w:p>
        </w:tc>
        <w:tc>
          <w:tcPr>
            <w:tcW w:w="288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EGFR-mutant lung adenocarcinoma cell lines</w:t>
            </w:r>
          </w:p>
        </w:tc>
        <w:tc>
          <w:tcPr>
            <w:tcW w:w="288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Same</w:t>
            </w:r>
          </w:p>
        </w:tc>
      </w:tr>
      <w:tr>
        <w:trPr/>
        <w:tc>
          <w:tcPr>
            <w:tcW w:w="288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Drug context</w:t>
            </w:r>
          </w:p>
        </w:tc>
        <w:tc>
          <w:tcPr>
            <w:tcW w:w="288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Chronically dosed osimertinib-resistant (-OR) vs parental</w:t>
            </w:r>
          </w:p>
        </w:tc>
        <w:tc>
          <w:tcPr>
            <w:tcW w:w="288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3-week 500 nM osimertinib DTP vs DMSO vehicle</w:t>
            </w:r>
          </w:p>
        </w:tc>
      </w:tr>
      <w:tr>
        <w:trPr/>
        <w:tc>
          <w:tcPr>
            <w:tcW w:w="288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Platform</w:t>
            </w:r>
          </w:p>
        </w:tc>
        <w:tc>
          <w:tcPr>
            <w:tcW w:w="288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Illumina NovaSeq 6000</w:t>
            </w:r>
          </w:p>
        </w:tc>
        <w:tc>
          <w:tcPr>
            <w:tcW w:w="288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Illumina HiSeq 4000</w:t>
            </w:r>
          </w:p>
        </w:tc>
      </w:tr>
      <w:tr>
        <w:trPr/>
        <w:tc>
          <w:tcPr>
            <w:tcW w:w="288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Samples used</w:t>
            </w:r>
          </w:p>
        </w:tc>
        <w:tc>
          <w:tcPr>
            <w:tcW w:w="288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18 (9 S / 9 R)</w:t>
            </w:r>
          </w:p>
        </w:tc>
        <w:tc>
          <w:tcPr>
            <w:tcW w:w="288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18 (9 S / 9 R)</w:t>
            </w:r>
          </w:p>
        </w:tc>
      </w:tr>
      <w:tr>
        <w:trPr/>
        <w:tc>
          <w:tcPr>
            <w:tcW w:w="288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Samples excluded</w:t>
            </w:r>
          </w:p>
        </w:tc>
        <w:tc>
          <w:tcPr>
            <w:tcW w:w="288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34 (acute treatment; shRNA arms; PC9-OR untreated controls)</w:t>
            </w:r>
          </w:p>
        </w:tc>
        <w:tc>
          <w:tcPr>
            <w:tcW w:w="288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42 (24 h acute; short and long washout; HCC2935 line)</w:t>
            </w:r>
          </w:p>
        </w:tc>
      </w:tr>
      <w:tr>
        <w:trPr/>
        <w:tc>
          <w:tcPr>
            <w:tcW w:w="288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Primary paper</w:t>
            </w:r>
          </w:p>
        </w:tc>
        <w:tc>
          <w:tcPr>
            <w:tcW w:w="288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de Miguel et al. (2023), Cancer Cell, PMID 37541244</w:t>
            </w:r>
          </w:p>
        </w:tc>
        <w:tc>
          <w:tcPr>
            <w:tcW w:w="288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Criscione et al. (2022), npj Precision Oncology, PMID 36575215</w:t>
            </w:r>
          </w:p>
        </w:tc>
      </w:tr>
    </w:tbl>
    <w:p>
      <w:pPr>
        <w:pStyle w:val="Normal"/>
        <w:rPr/>
      </w:pPr>
      <w:r>
        <w:rPr/>
      </w:r>
    </w:p>
    <w:p>
      <w:pPr>
        <w:pStyle w:val="Heading3"/>
        <w:rPr/>
      </w:pPr>
      <w:r>
        <w:rPr/>
        <w:t>Preprocessing and differential expression</w:t>
      </w:r>
    </w:p>
    <w:p>
      <w:pPr>
        <w:pStyle w:val="Normal"/>
        <w:rPr/>
      </w:pPr>
      <w:r>
        <w:rPr/>
        <w:t>For each cohort, the NCBI raw count matrix (GRCh38.p13, Entrez GeneIDs) were imported, annotated to gene symbols via Homo_sapiens.gene_info (annotations that could not be resolved were removed, and duplicates collapsed on the basis of the symbol), filtered by min_count = 10, and normalised using DESeq2 as the default method (limma/OLS were left as fall-backs only and have not been applied). The model for differential expression fitting was specified by the design formula ~ cell_line + condition so that the effect of condition is adjusted for genetic background. Genes were called significant if they had Benjamini-Hochberg adjusted p-value &lt; 0.05 and abs(log2 fold change) &gt; 1. The DESeq2 variance-stabilising transformation produced the expression matrix which was used in the machine learning track. The library size was constant across both cohorts (23,585 genes were detected in all samples of GSE202859; 25,823 detected in all samples of GSE193258); individual samples ranged between approximately 19.6-37.6 million reads in GSE202859 and 20.2-50.8 million reads in GSE193258. PCA (Figures 1-2) and correlation matrices (Figures 3-4) of the VST matrix confirmed that three replicates per cell line and condition group together in both cohorts.</w:t>
      </w:r>
    </w:p>
    <w:p>
      <w:pPr>
        <w:pStyle w:val="Normal"/>
        <w:jc w:val="center"/>
        <w:rPr/>
      </w:pPr>
      <w:r>
        <w:rPr/>
        <w:drawing>
          <wp:inline distT="0" distB="0" distL="0" distR="0">
            <wp:extent cx="5486400" cy="42202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486400" cy="4220210"/>
                    </a:xfrm>
                    <a:prstGeom prst="rect">
                      <a:avLst/>
                    </a:prstGeom>
                    <a:noFill/>
                  </pic:spPr>
                </pic:pic>
              </a:graphicData>
            </a:graphic>
          </wp:inline>
        </w:drawing>
      </w:r>
    </w:p>
    <w:p>
      <w:pPr>
        <w:pStyle w:val="Normal"/>
        <w:rPr/>
      </w:pPr>
      <w:r>
        <w:rPr>
          <w:i/>
        </w:rPr>
        <w:t>Figure 1. PCA of the VST-normalised expression matrix — discovery cohort GSE202859.</w:t>
      </w:r>
    </w:p>
    <w:p>
      <w:pPr>
        <w:pStyle w:val="Normal"/>
        <w:jc w:val="center"/>
        <w:rPr/>
      </w:pPr>
      <w:r>
        <w:rPr/>
        <w:drawing>
          <wp:inline distT="0" distB="0" distL="0" distR="0">
            <wp:extent cx="5486400" cy="42202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486400" cy="4220210"/>
                    </a:xfrm>
                    <a:prstGeom prst="rect">
                      <a:avLst/>
                    </a:prstGeom>
                    <a:noFill/>
                  </pic:spPr>
                </pic:pic>
              </a:graphicData>
            </a:graphic>
          </wp:inline>
        </w:drawing>
      </w:r>
    </w:p>
    <w:p>
      <w:pPr>
        <w:pStyle w:val="Normal"/>
        <w:rPr/>
      </w:pPr>
      <w:r>
        <w:rPr>
          <w:i/>
        </w:rPr>
        <w:t>Figure 2. PCA of the VST-normalised expression matrix — validation cohort GSE193258.</w:t>
      </w:r>
    </w:p>
    <w:p>
      <w:pPr>
        <w:pStyle w:val="Normal"/>
        <w:jc w:val="center"/>
        <w:rPr/>
      </w:pPr>
      <w:r>
        <w:rPr/>
        <w:drawing>
          <wp:inline distT="0" distB="0" distL="0" distR="0">
            <wp:extent cx="5486400" cy="5486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486400" cy="5486400"/>
                    </a:xfrm>
                    <a:prstGeom prst="rect">
                      <a:avLst/>
                    </a:prstGeom>
                    <a:noFill/>
                  </pic:spPr>
                </pic:pic>
              </a:graphicData>
            </a:graphic>
          </wp:inline>
        </w:drawing>
      </w:r>
    </w:p>
    <w:p>
      <w:pPr>
        <w:pStyle w:val="Normal"/>
        <w:rPr/>
      </w:pPr>
      <w:r>
        <w:rPr>
          <w:i/>
        </w:rPr>
        <w:t>Figure 3. Sample correlation — discovery cohort GSE202859.</w:t>
      </w:r>
    </w:p>
    <w:p>
      <w:pPr>
        <w:pStyle w:val="Normal"/>
        <w:jc w:val="center"/>
        <w:rPr/>
      </w:pPr>
      <w:r>
        <w:rPr/>
        <w:drawing>
          <wp:inline distT="0" distB="0" distL="0" distR="0">
            <wp:extent cx="5486400" cy="5486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486400" cy="5486400"/>
                    </a:xfrm>
                    <a:prstGeom prst="rect">
                      <a:avLst/>
                    </a:prstGeom>
                    <a:noFill/>
                  </pic:spPr>
                </pic:pic>
              </a:graphicData>
            </a:graphic>
          </wp:inline>
        </w:drawing>
      </w:r>
    </w:p>
    <w:p>
      <w:pPr>
        <w:pStyle w:val="Normal"/>
        <w:rPr/>
      </w:pPr>
      <w:r>
        <w:rPr>
          <w:i/>
        </w:rPr>
        <w:t>Figure 4. Sample correlation — validation cohort GSE193258.</w:t>
      </w:r>
    </w:p>
    <w:p>
      <w:pPr>
        <w:pStyle w:val="Heading3"/>
        <w:rPr/>
      </w:pPr>
      <w:r>
        <w:rPr/>
        <w:t>Cross-cohort signature validation</w:t>
      </w:r>
    </w:p>
    <w:p>
      <w:pPr>
        <w:pStyle w:val="Normal"/>
        <w:rPr/>
      </w:pPr>
      <w:r>
        <w:rPr/>
        <w:t>The validated signature requires a gene to be significant in both cohorts with the same direction of effect. Of 2,785 significant discovery genes (1,435 up, 1,350 down) and 4,852 significant validation genes (3,651 up, 1,201 down), 1,273 genes were significant in both cohorts, of which 1,112 were directionally consistent (161 flipped sign). Per-cohort only gene sets were also large (discovery only 1,512; validation only 3,579), decomposed in an Upset-style figure (Figure 9).</w:t>
      </w:r>
    </w:p>
    <w:p>
      <w:pPr>
        <w:pStyle w:val="Normal"/>
        <w:jc w:val="center"/>
        <w:rPr/>
      </w:pPr>
      <w:r>
        <w:rPr/>
        <w:drawing>
          <wp:inline distT="0" distB="0" distL="0" distR="0">
            <wp:extent cx="5486400" cy="54800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486400" cy="5480050"/>
                    </a:xfrm>
                    <a:prstGeom prst="rect">
                      <a:avLst/>
                    </a:prstGeom>
                    <a:noFill/>
                  </pic:spPr>
                </pic:pic>
              </a:graphicData>
            </a:graphic>
          </wp:inline>
        </w:drawing>
      </w:r>
    </w:p>
    <w:p>
      <w:pPr>
        <w:pStyle w:val="Normal"/>
        <w:rPr/>
      </w:pPr>
      <w:r>
        <w:rPr>
          <w:i/>
        </w:rPr>
        <w:t>Figure 9. UpSet-style decomposition of the cross-cohort DEG overlap.</w:t>
      </w:r>
    </w:p>
    <w:p>
      <w:pPr>
        <w:pStyle w:val="Heading3"/>
        <w:rPr/>
      </w:pPr>
      <w:r>
        <w:rPr/>
        <w:t>Functional enrichment</w:t>
      </w:r>
    </w:p>
    <w:p>
      <w:pPr>
        <w:pStyle w:val="Normal"/>
        <w:rPr/>
      </w:pPr>
      <w:r>
        <w:rPr/>
        <w:t>The calculation of over-representation was performed in Python (hypergeometric + BH FDR) on the approved signature and each cohort, based on the annotated universe per source (all genes present in the source gene-set collection), including GO Biological Process (Enrichr GMT, symbol-based), KEGG, and Reactome (public Entrez sources converted to symbols). The primary approach was to use pre-ranked GSEA on the DESeq2 signed log2FC ranking, with R fgsea (exact multilevel algorithm) being employed to validate the outcomes based on the same exported GMT files and obtain concordance results for each cohort and collection.</w:t>
      </w:r>
    </w:p>
    <w:p>
      <w:pPr>
        <w:pStyle w:val="Heading3"/>
        <w:rPr/>
      </w:pPr>
      <w:r>
        <w:rPr/>
        <w:t>Machine learning with group-aware nested CV</w:t>
      </w:r>
    </w:p>
    <w:p>
      <w:pPr>
        <w:pStyle w:val="Normal"/>
        <w:rPr/>
      </w:pPr>
      <w:r>
        <w:rPr/>
        <w:t>The ML track employed the validated gene signature comprising a total of 1,112 genes as the selected candidate feature pool for analysis under the VST matrix. Subsequently, in order to execute the group-aware, nested cross-validation process (StratifiedGroupKFold with groups = cell_line, ensuring the allocation of all the replicates of a certain cell line into one fold), the feature selection process was initiated for each model family (Logistic Regression, Random Forest, SVM, XGBoost) and each feature set size K in {10, 20, 50, 100, 200, 500}. The feature selection process for the inner model was carried out by utilizing inner model with groups by GridSearchCV (as stated previously) for each fold. Based on the results of the inner model, it was possible to obtain the best model for the outer fold and obtain the final model which was assessed based on the predicted performance and metrics (i.e. ROC-AUC, PR-AUC, sensitivity, specificity). Devastatingly, all 24 model-K cells were reported per cohort.</w:t>
      </w:r>
    </w:p>
    <w:p>
      <w:pPr>
        <w:pStyle w:val="Normal"/>
        <w:rPr/>
      </w:pPr>
      <w:r>
        <w:rPr/>
        <w:t>The primary setup was already noted before the process of external validation occurred. Results of external validation could only be obtained once by the locked-cohort method, meaning that there was no possibility of any changes in the model or settings after the table was transferred to the company. There were two types of results generated from the scoring method: train_stats that gives a generalisation estimate and target_z made using the statistics referring to the validation cohort.</w:t>
      </w:r>
    </w:p>
    <w:p>
      <w:pPr>
        <w:pStyle w:val="Normal"/>
        <w:rPr/>
      </w:pPr>
      <w:r>
        <w:rPr/>
        <w:t>The washout-sensitivity approach conducted VST once without any interference, using the complete matrix for GSE193258 samples that produced a marked dataset and afterwards started to apply models on the given arm.</w:t>
      </w:r>
    </w:p>
    <w:p>
      <w:pPr>
        <w:pStyle w:val="Heading3"/>
        <w:rPr/>
      </w:pPr>
      <w:r>
        <w:rPr/>
        <w:t>Interpretation, biomarker ranking, and reproducibility controls</w:t>
      </w:r>
    </w:p>
    <w:p>
      <w:pPr>
        <w:pStyle w:val="Normal"/>
        <w:rPr/>
      </w:pPr>
      <w:r>
        <w:rPr/>
        <w:t>The explanations specific to each model included the paths of the L1 coefficient, the mean value of SHAP, and the values of permutation importance that were calculated for the cohort on which discovery had been performed. These data were aggregated to form a composite score panel defined as a rank average of the stability of results obtained using resampling, the occurrence of nested CV, and the value mean of SHAP.</w:t>
      </w:r>
    </w:p>
    <w:p>
      <w:pPr>
        <w:pStyle w:val="Normal"/>
        <w:rPr/>
      </w:pPr>
      <w:r>
        <w:rPr/>
        <w:t>During the run, data were processed with the use of the fixed seed 42. The controls that were applied during the study included keeping the discovered cohorts separated and organizing group-aware splits with feature selection and standardization being performed within independent cv folds. External validation was performed and recorded after the model had been trained and locked. The log of the full validation universe together with the results for explanation of the obtained models is available and includes the reporting of SVM decision function scores that were used.</w:t>
      </w:r>
    </w:p>
    <w:p>
      <w:pPr>
        <w:pStyle w:val="Heading2"/>
        <w:rPr/>
      </w:pPr>
      <w:r>
        <w:rPr/>
        <w:t>Analysis</w:t>
      </w:r>
    </w:p>
    <w:p>
      <w:pPr>
        <w:pStyle w:val="Heading3"/>
        <w:rPr/>
      </w:pPr>
      <w:r>
        <w:rPr/>
        <w:t>Cross-cohort reproducibility of DEGs</w:t>
      </w:r>
    </w:p>
    <w:p>
      <w:pPr>
        <w:pStyle w:val="Normal"/>
        <w:rPr/>
      </w:pPr>
      <w:r>
        <w:rPr/>
        <w:t>DESeq2 found 2,785 genes (1,435 up, 1,350 down) with significant expression changes in the discovery cohort and 4,852 (3,651 up, 1,201 down) in the validation (volcano plots, Figures 5-6; top-DEG heatmap, Figure 7). 1,112 of the 1,273 genes with significant expression changes in both cohorts overlapped in both direction (1,112 of 1,273), while 161 showed opposite trends, mostly attenuated effect sizes in the other cohort; sets of genes specific to one cohort were also large (discovery-only 1,512; validation-only 3,579). The cross-dataset log2FC concordance plot (Figure 8) suggests that, in addition to direction, the effect size of many genes is comparable between the two datasets, along the diagonal where the two datasets' genes overlap. Thus, the large-scale phenomenon represented by the signature appears consistent across the two independent experiments, indicating its biological relevance, rather than an artefact of one dataset.</w:t>
      </w:r>
    </w:p>
    <w:p>
      <w:pPr>
        <w:pStyle w:val="Normal"/>
        <w:jc w:val="center"/>
        <w:rPr/>
      </w:pPr>
      <w:r>
        <w:rPr/>
        <w:drawing>
          <wp:inline distT="0" distB="0" distL="0" distR="0">
            <wp:extent cx="5486400" cy="47028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486400" cy="4702810"/>
                    </a:xfrm>
                    <a:prstGeom prst="rect">
                      <a:avLst/>
                    </a:prstGeom>
                    <a:noFill/>
                  </pic:spPr>
                </pic:pic>
              </a:graphicData>
            </a:graphic>
          </wp:inline>
        </w:drawing>
      </w:r>
    </w:p>
    <w:p>
      <w:pPr>
        <w:pStyle w:val="Normal"/>
        <w:rPr/>
      </w:pPr>
      <w:r>
        <w:rPr>
          <w:i/>
        </w:rPr>
        <w:t>Figure 5. Volcano plot — discovery cohort GSE202859.</w:t>
      </w:r>
    </w:p>
    <w:p>
      <w:pPr>
        <w:pStyle w:val="Normal"/>
        <w:jc w:val="center"/>
        <w:rPr/>
      </w:pPr>
      <w:r>
        <w:rPr/>
        <w:drawing>
          <wp:inline distT="0" distB="0" distL="0" distR="0">
            <wp:extent cx="5486400" cy="47028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486400" cy="4702810"/>
                    </a:xfrm>
                    <a:prstGeom prst="rect">
                      <a:avLst/>
                    </a:prstGeom>
                    <a:noFill/>
                  </pic:spPr>
                </pic:pic>
              </a:graphicData>
            </a:graphic>
          </wp:inline>
        </w:drawing>
      </w:r>
    </w:p>
    <w:p>
      <w:pPr>
        <w:pStyle w:val="Normal"/>
        <w:rPr/>
      </w:pPr>
      <w:r>
        <w:rPr>
          <w:i/>
        </w:rPr>
        <w:t>Figure 6. Volcano plot — validation cohort GSE193258.</w:t>
      </w:r>
    </w:p>
    <w:p>
      <w:pPr>
        <w:pStyle w:val="Normal"/>
        <w:jc w:val="center"/>
        <w:rPr/>
      </w:pPr>
      <w:r>
        <w:rPr/>
        <w:drawing>
          <wp:inline distT="0" distB="0" distL="0" distR="0">
            <wp:extent cx="5486400" cy="5486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486400" cy="5486400"/>
                    </a:xfrm>
                    <a:prstGeom prst="rect">
                      <a:avLst/>
                    </a:prstGeom>
                    <a:noFill/>
                  </pic:spPr>
                </pic:pic>
              </a:graphicData>
            </a:graphic>
          </wp:inline>
        </w:drawing>
      </w:r>
    </w:p>
    <w:p>
      <w:pPr>
        <w:pStyle w:val="Normal"/>
        <w:rPr/>
      </w:pPr>
      <w:r>
        <w:rPr>
          <w:i/>
        </w:rPr>
        <w:t>Figure 7. Top-DEG heatmap — discovery cohort GSE202859.</w:t>
      </w:r>
    </w:p>
    <w:p>
      <w:pPr>
        <w:pStyle w:val="Normal"/>
        <w:jc w:val="center"/>
        <w:rPr/>
      </w:pPr>
      <w:r>
        <w:rPr/>
        <w:drawing>
          <wp:inline distT="0" distB="0" distL="0" distR="0">
            <wp:extent cx="5486400" cy="47028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486400" cy="4702810"/>
                    </a:xfrm>
                    <a:prstGeom prst="rect">
                      <a:avLst/>
                    </a:prstGeom>
                    <a:noFill/>
                  </pic:spPr>
                </pic:pic>
              </a:graphicData>
            </a:graphic>
          </wp:inline>
        </w:drawing>
      </w:r>
    </w:p>
    <w:p>
      <w:pPr>
        <w:pStyle w:val="Normal"/>
        <w:rPr/>
      </w:pPr>
      <w:r>
        <w:rPr>
          <w:i/>
        </w:rPr>
        <w:t>Figure 8. Cross-dataset log2FC concordance — validation vs discovery.</w:t>
      </w:r>
    </w:p>
    <w:p>
      <w:pPr>
        <w:pStyle w:val="Heading3"/>
        <w:rPr/>
      </w:pPr>
      <w:r>
        <w:rPr/>
        <w:t>Biological characterisation of the validated signature</w:t>
      </w:r>
    </w:p>
    <w:p>
      <w:pPr>
        <w:pStyle w:val="Normal"/>
        <w:rPr/>
      </w:pPr>
      <w:r>
        <w:rPr/>
        <w:t>The over-representation of the validated 1,112-gene signature was found to be consistent. GO Biological Processes analysis showed that the most upregulated terms were related to mobility/remodeling processes. These include the regulation of the process of cell migration (40/434 of genes in the category, fold enrichment 2.05, padj 0.026 ), extracellular matrix organization (20/176, FE 2.53), axonogenesis and neuron projection guidance (the processes related to developmental morphogenesis), as well as the mobility processes (e.g. mobility through blood-brain barrier, FE 3.41; carboxylic acids' transport, FE 4.20). KEGG analysis of the cytoskeleton in muscle cells resulted in 23/233 genes being identified (FE 2.48, padj 0.016), as well as 16/157 genes associated with Hippo signaling pathway; thus, providing proof of cytoskeletal plasticity and well-known connection of Hippo/YAP signaling with persister biology. The involvement of Reactome analysis includes developmental lineages (27/181 genes, p value &lt; 0.001), mammary gland myoepithelial origin, interaction between cells and vascular wall, opportunities of ECM organization (33/321), and various examples of glycoconjugates attachment.</w:t>
      </w:r>
    </w:p>
    <w:p>
      <w:pPr>
        <w:pStyle w:val="Normal"/>
        <w:jc w:val="center"/>
        <w:rPr/>
      </w:pPr>
      <w:r>
        <w:rPr/>
        <w:drawing>
          <wp:inline distT="0" distB="0" distL="0" distR="0">
            <wp:extent cx="5486400" cy="50596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5486400" cy="5059680"/>
                    </a:xfrm>
                    <a:prstGeom prst="rect">
                      <a:avLst/>
                    </a:prstGeom>
                    <a:noFill/>
                  </pic:spPr>
                </pic:pic>
              </a:graphicData>
            </a:graphic>
          </wp:inline>
        </w:drawing>
      </w:r>
    </w:p>
    <w:p>
      <w:pPr>
        <w:pStyle w:val="Normal"/>
        <w:rPr/>
      </w:pPr>
      <w:r>
        <w:rPr>
          <w:i/>
        </w:rPr>
        <w:t>Figure 10. ORA dot plot — validated signature, GO Biological Process.</w:t>
      </w:r>
    </w:p>
    <w:p>
      <w:pPr>
        <w:pStyle w:val="Normal"/>
        <w:jc w:val="center"/>
        <w:rPr/>
      </w:pPr>
      <w:r>
        <w:rPr/>
        <w:drawing>
          <wp:inline distT="0" distB="0" distL="0" distR="0">
            <wp:extent cx="5486400" cy="505968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486400" cy="5059680"/>
                    </a:xfrm>
                    <a:prstGeom prst="rect">
                      <a:avLst/>
                    </a:prstGeom>
                    <a:noFill/>
                  </pic:spPr>
                </pic:pic>
              </a:graphicData>
            </a:graphic>
          </wp:inline>
        </w:drawing>
      </w:r>
    </w:p>
    <w:p>
      <w:pPr>
        <w:pStyle w:val="Normal"/>
        <w:rPr/>
      </w:pPr>
      <w:r>
        <w:rPr>
          <w:i/>
        </w:rPr>
        <w:t>Figure 11. ORA dot plot — validated signature, KEGG.</w:t>
      </w:r>
    </w:p>
    <w:p>
      <w:pPr>
        <w:pStyle w:val="Normal"/>
        <w:jc w:val="center"/>
        <w:rPr/>
      </w:pPr>
      <w:r>
        <w:rPr/>
        <w:drawing>
          <wp:inline distT="0" distB="0" distL="0" distR="0">
            <wp:extent cx="5486400" cy="505968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5486400" cy="5059680"/>
                    </a:xfrm>
                    <a:prstGeom prst="rect">
                      <a:avLst/>
                    </a:prstGeom>
                    <a:noFill/>
                  </pic:spPr>
                </pic:pic>
              </a:graphicData>
            </a:graphic>
          </wp:inline>
        </w:drawing>
      </w:r>
    </w:p>
    <w:p>
      <w:pPr>
        <w:pStyle w:val="Normal"/>
        <w:rPr/>
      </w:pPr>
      <w:r>
        <w:rPr>
          <w:i/>
        </w:rPr>
        <w:t>Figure 12. ORA dot plot — validated signature, Reactome.</w:t>
      </w:r>
    </w:p>
    <w:p>
      <w:pPr>
        <w:pStyle w:val="Normal"/>
        <w:rPr/>
      </w:pPr>
      <w:r>
        <w:rPr/>
        <w:t>The pre-ranked GSEA analysis conducted on the full set of transcriptome showed that Ribosome was strongest the negative impact among the other factors with a normal effect size(NES) for the discovery analysis of -5.28 and for the validation one of -6.89. Other genes that showed significance in their negative effect on the results were Spliceosome (-3.99/-6.87), ribosome biogenesis in eukaryotes (-3.54/-5.95), and nucleocytoplasmic transport (-5.64), which correspondingly suggest that there is the hypoproliferation and de-differentiation of cells in the persister state.</w:t>
      </w:r>
    </w:p>
    <w:p>
      <w:pPr>
        <w:pStyle w:val="Normal"/>
        <w:jc w:val="center"/>
        <w:rPr/>
      </w:pPr>
      <w:r>
        <w:rPr/>
        <w:drawing>
          <wp:inline distT="0" distB="0" distL="0" distR="0">
            <wp:extent cx="5486400" cy="505968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5486400" cy="5059680"/>
                    </a:xfrm>
                    <a:prstGeom prst="rect">
                      <a:avLst/>
                    </a:prstGeom>
                    <a:noFill/>
                  </pic:spPr>
                </pic:pic>
              </a:graphicData>
            </a:graphic>
          </wp:inline>
        </w:drawing>
      </w:r>
    </w:p>
    <w:p>
      <w:pPr>
        <w:pStyle w:val="Normal"/>
        <w:rPr/>
      </w:pPr>
      <w:r>
        <w:rPr>
          <w:i/>
        </w:rPr>
        <w:t>Figure 13. GSEA running enrichment — GSE202859, GO-BP.</w:t>
      </w:r>
    </w:p>
    <w:p>
      <w:pPr>
        <w:pStyle w:val="Normal"/>
        <w:jc w:val="center"/>
        <w:rPr/>
      </w:pPr>
      <w:r>
        <w:rPr/>
        <w:drawing>
          <wp:inline distT="0" distB="0" distL="0" distR="0">
            <wp:extent cx="5486400" cy="50596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486400" cy="5059680"/>
                    </a:xfrm>
                    <a:prstGeom prst="rect">
                      <a:avLst/>
                    </a:prstGeom>
                    <a:noFill/>
                  </pic:spPr>
                </pic:pic>
              </a:graphicData>
            </a:graphic>
          </wp:inline>
        </w:drawing>
      </w:r>
    </w:p>
    <w:p>
      <w:pPr>
        <w:pStyle w:val="Normal"/>
        <w:rPr/>
      </w:pPr>
      <w:r>
        <w:rPr>
          <w:i/>
        </w:rPr>
        <w:t>Figure 14. GSEA running enrichment — GSE193258, GO-BP.</w:t>
      </w:r>
    </w:p>
    <w:p>
      <w:pPr>
        <w:pStyle w:val="Normal"/>
        <w:rPr/>
      </w:pPr>
      <w:r>
        <w:rPr/>
        <w:t>The robustness of engines is determined by the NES concordance values, with the Spearman's rho calculated for the Python engine and R's fgsea algorithm at 0.70 for GSE202859 KEGG collections (342 matched data sets), 0.86 for GSE193258 KEGG (347 sets), and 0.67 for GSE202859 GO-BP (2,456 sets). The signs of correlation between values for the two engines are similar at 61-81%, with the overlap of 1-3 out of 5 values for the first five by padj. There are engines with the NES value close to zero, but engine-specific multi-level dependence can be seen.</w:t>
      </w:r>
    </w:p>
    <w:p>
      <w:pPr>
        <w:pStyle w:val="Normal"/>
        <w:rPr/>
      </w:pPr>
      <w:r>
        <w:rPr/>
        <w:t>In conclusion, there is the consistency in the picture across the engines and data sets. The cell states characterized as resistant, or DTP-like inhibit translation, splicing, and ribosome biogenesis housekeeping functions and activate motility and developmental lineage operations, i.e., the classical nongenetic phenotype of acquired resistance similar to the findings of de Miguel et al. (2023) and Criscione et al. (2022).</w:t>
      </w:r>
    </w:p>
    <w:p>
      <w:pPr>
        <w:pStyle w:val="Heading3"/>
        <w:rPr/>
      </w:pPr>
      <w:r>
        <w:rPr/>
        <w:t>Classifier behaviour</w:t>
      </w:r>
    </w:p>
    <w:p>
      <w:pPr>
        <w:pStyle w:val="Normal"/>
        <w:rPr/>
      </w:pPr>
      <w:r>
        <w:rPr/>
        <w:t>Within-cohort group-aware nested cross-validation achieves almost perfect model-K group separability at several cells (full 48-cell surface reported, with bootstrap confidence intervals on all metrics: not cherry-picked best cell) Nested selection frequences of top features are non-degenerate (indirect check against single-line artefacts)</w:t>
      </w:r>
    </w:p>
    <w:p>
      <w:pPr>
        <w:pStyle w:val="Normal"/>
        <w:jc w:val="center"/>
        <w:rPr/>
      </w:pPr>
      <w:r>
        <w:rPr/>
        <w:drawing>
          <wp:inline distT="0" distB="0" distL="0" distR="0">
            <wp:extent cx="5486400" cy="4572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5486400" cy="4572000"/>
                    </a:xfrm>
                    <a:prstGeom prst="rect">
                      <a:avLst/>
                    </a:prstGeom>
                    <a:noFill/>
                  </pic:spPr>
                </pic:pic>
              </a:graphicData>
            </a:graphic>
          </wp:inline>
        </w:drawing>
      </w:r>
    </w:p>
    <w:p>
      <w:pPr>
        <w:pStyle w:val="Normal"/>
        <w:rPr/>
      </w:pPr>
      <w:r>
        <w:rPr>
          <w:i/>
        </w:rPr>
        <w:t>Figure 15. Discovery nested-CV ROC — GSE202859.</w:t>
      </w:r>
    </w:p>
    <w:p>
      <w:pPr>
        <w:pStyle w:val="Normal"/>
        <w:jc w:val="center"/>
        <w:rPr/>
      </w:pPr>
      <w:r>
        <w:rPr/>
        <w:drawing>
          <wp:inline distT="0" distB="0" distL="0" distR="0">
            <wp:extent cx="5486400" cy="39192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5486400" cy="3919220"/>
                    </a:xfrm>
                    <a:prstGeom prst="rect">
                      <a:avLst/>
                    </a:prstGeom>
                    <a:noFill/>
                  </pic:spPr>
                </pic:pic>
              </a:graphicData>
            </a:graphic>
          </wp:inline>
        </w:drawing>
      </w:r>
    </w:p>
    <w:p>
      <w:pPr>
        <w:pStyle w:val="Normal"/>
        <w:rPr/>
      </w:pPr>
      <w:r>
        <w:rPr>
          <w:i/>
        </w:rPr>
        <w:t>Figure 16. Discovery nested-CV confusion matrix — GSE202859.</w:t>
      </w:r>
    </w:p>
    <w:p>
      <w:pPr>
        <w:pStyle w:val="Normal"/>
        <w:rPr/>
      </w:pPr>
      <w:r>
        <w:rPr/>
        <w:t>The external validation with the use of GSE193258 cohort which is not dependent (performed only once) resulted in the following metrics for the top configuration (Logistic Regression K = 50, provided by train_stats): ROC-AUC = 1.000 with the confidence interval 95% CI (1.000-1.000); PR-AUC = 1.000; sensitivity = 1.000 (showing that 9 out of 9 resistant samples were recognized as resistant) and specificity = 0.444 (in other words, 4 out of 9 sensitive samples were classified as sensitive, i.e. above the threshold of 0.5; having a specific confidence interval of 0.111-0.778), accuracy = 0.722 and Brier score = 0.132. The wide confidence interval of specificity is conditioned by the fact that n = 9 of negative samples is small. In the case of transductive targeting (for target_z) the same configuration separates the classes perfectly (specificity being equal to 1.000 and Brier score = 0.012) given as an optimistic upper boundary only. The effectiveness of Random Forest and XGBoost in terms of train_stats assures us that the efficiency does not depend on the configurations that we use, the results obtained in the study being confirmed by SVM cells.</w:t>
      </w:r>
    </w:p>
    <w:p>
      <w:pPr>
        <w:pStyle w:val="Normal"/>
        <w:jc w:val="center"/>
        <w:rPr/>
      </w:pPr>
      <w:r>
        <w:rPr/>
        <w:drawing>
          <wp:inline distT="0" distB="0" distL="0" distR="0">
            <wp:extent cx="5486400" cy="4572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5486400" cy="4572000"/>
                    </a:xfrm>
                    <a:prstGeom prst="rect">
                      <a:avLst/>
                    </a:prstGeom>
                    <a:noFill/>
                  </pic:spPr>
                </pic:pic>
              </a:graphicData>
            </a:graphic>
          </wp:inline>
        </w:drawing>
      </w:r>
    </w:p>
    <w:p>
      <w:pPr>
        <w:pStyle w:val="Normal"/>
        <w:rPr/>
      </w:pPr>
      <w:r>
        <w:rPr>
          <w:i/>
        </w:rPr>
        <w:t>Figure 17. External validation ROC — LR K = 50.</w:t>
      </w:r>
    </w:p>
    <w:p>
      <w:pPr>
        <w:pStyle w:val="Heading3"/>
        <w:rPr/>
      </w:pPr>
      <w:r>
        <w:rPr/>
        <w:t>Biomarker panel</w:t>
      </w:r>
    </w:p>
    <w:p>
      <w:pPr>
        <w:pStyle w:val="Normal"/>
        <w:rPr/>
      </w:pPr>
      <w:r>
        <w:rPr/>
        <w:t>The composite candidate panel is quite steady (stability = 1.000 for every leader), with nested selection frequencies 0.33-0.83 and comparatively small SHAP values as would be expected for ~50 feature linear models on 18 samples. The top 20 genes are HECA, KLHL24, SACK1A, HEG1, IL33R, MAP3K3, TBC1D9, EFNB2, MIR198, MTURN, SULT2B1, PDCD4, CITED2, OSTM1, ITGA6, SDC1, ASAP3, SERPINB1, INSR, and YPEL5 (full 100 gene table in results/tables/biomarker_panel.csv). A few of these names are NCBI symbol-space additions rather than canonical HGNC entries being thus called out for downstream curation. These are presented as candidate biomarkers rather than causal drivers, as consistent with the pre-declared claim discipline.</w:t>
      </w:r>
    </w:p>
    <w:p>
      <w:pPr>
        <w:pStyle w:val="Normal"/>
        <w:jc w:val="center"/>
        <w:rPr/>
      </w:pPr>
      <w:r>
        <w:rPr/>
        <w:drawing>
          <wp:inline distT="0" distB="0" distL="0" distR="0">
            <wp:extent cx="5486400" cy="4800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486400" cy="4800600"/>
                    </a:xfrm>
                    <a:prstGeom prst="rect">
                      <a:avLst/>
                    </a:prstGeom>
                    <a:noFill/>
                  </pic:spPr>
                </pic:pic>
              </a:graphicData>
            </a:graphic>
          </wp:inline>
        </w:drawing>
      </w:r>
    </w:p>
    <w:p>
      <w:pPr>
        <w:pStyle w:val="Normal"/>
        <w:rPr/>
      </w:pPr>
      <w:r>
        <w:rPr>
          <w:i/>
        </w:rPr>
        <w:t>Figure 18. Composite candidate biomarker panel.</w:t>
      </w:r>
    </w:p>
    <w:p>
      <w:pPr>
        <w:pStyle w:val="Heading3"/>
        <w:rPr/>
      </w:pPr>
      <w:r>
        <w:rPr/>
        <w:t>Washout reversibility (label-free probe)</w:t>
      </w:r>
    </w:p>
    <w:p>
      <w:pPr>
        <w:pStyle w:val="Normal"/>
        <w:rPr/>
      </w:pPr>
      <w:r>
        <w:rPr/>
        <w:t>Applying locked discovery models to the excluded GSE193258 timecourse arm (42 treated-state samples plus 18 anchors) produced the group-level profile in Table 2.</w:t>
      </w:r>
    </w:p>
    <w:p>
      <w:pPr>
        <w:pStyle w:val="Normal"/>
        <w:rPr/>
      </w:pPr>
      <w:r>
        <w:rPr>
          <w:b/>
        </w:rPr>
        <w:t>Table 2. Washout sensitivity, locked discovery models on the excluded timecourse.</w:t>
      </w:r>
    </w:p>
    <w:tbl>
      <w:tblPr>
        <w:tblStyle w:val="TableGrid"/>
        <w:tblW w:w="864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160"/>
        <w:gridCol w:w="2160"/>
        <w:gridCol w:w="2160"/>
        <w:gridCol w:w="2160"/>
      </w:tblGrid>
      <w:tr>
        <w:trPr/>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b/>
                <w:kern w:val="0"/>
                <w:sz w:val="22"/>
                <w:szCs w:val="22"/>
                <w:lang w:val="en-US" w:eastAsia="en-US" w:bidi="ar-SA"/>
              </w:rPr>
              <w:t>Group</w:t>
            </w:r>
          </w:p>
        </w:tc>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b/>
                <w:kern w:val="0"/>
                <w:sz w:val="22"/>
                <w:szCs w:val="22"/>
                <w:lang w:val="en-US" w:eastAsia="en-US" w:bidi="ar-SA"/>
              </w:rPr>
              <w:t>n</w:t>
            </w:r>
          </w:p>
        </w:tc>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b/>
                <w:kern w:val="0"/>
                <w:sz w:val="22"/>
                <w:szCs w:val="22"/>
                <w:lang w:val="en-US" w:eastAsia="en-US" w:bidi="ar-SA"/>
              </w:rPr>
              <w:t>P(Resistant), train_stats</w:t>
            </w:r>
          </w:p>
        </w:tc>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b/>
                <w:kern w:val="0"/>
                <w:sz w:val="22"/>
                <w:szCs w:val="22"/>
                <w:lang w:val="en-US" w:eastAsia="en-US" w:bidi="ar-SA"/>
              </w:rPr>
              <w:t>P(Resistant), target_z</w:t>
            </w:r>
          </w:p>
        </w:tc>
      </w:tr>
      <w:tr>
        <w:trPr/>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DMSO/Parental (anchor)</w:t>
            </w:r>
          </w:p>
        </w:tc>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12</w:t>
            </w:r>
          </w:p>
        </w:tc>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0.335</w:t>
            </w:r>
          </w:p>
        </w:tc>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0.047</w:t>
            </w:r>
          </w:p>
        </w:tc>
      </w:tr>
      <w:tr>
        <w:trPr/>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DTP (anchor)</w:t>
            </w:r>
          </w:p>
        </w:tc>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12</w:t>
            </w:r>
          </w:p>
        </w:tc>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0.994</w:t>
            </w:r>
          </w:p>
        </w:tc>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0.798</w:t>
            </w:r>
          </w:p>
        </w:tc>
      </w:tr>
      <w:tr>
        <w:trPr/>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osi_acute (24 h)</w:t>
            </w:r>
          </w:p>
        </w:tc>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12</w:t>
            </w:r>
          </w:p>
        </w:tc>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0.990</w:t>
            </w:r>
          </w:p>
        </w:tc>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0.675</w:t>
            </w:r>
          </w:p>
        </w:tc>
      </w:tr>
      <w:tr>
        <w:trPr/>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short_washout</w:t>
            </w:r>
          </w:p>
        </w:tc>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12</w:t>
            </w:r>
          </w:p>
        </w:tc>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0.981</w:t>
            </w:r>
          </w:p>
        </w:tc>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0.649</w:t>
            </w:r>
          </w:p>
        </w:tc>
      </w:tr>
      <w:tr>
        <w:trPr/>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long_washout_72h</w:t>
            </w:r>
          </w:p>
        </w:tc>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3</w:t>
            </w:r>
          </w:p>
        </w:tc>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0.998</w:t>
            </w:r>
          </w:p>
        </w:tc>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0.846</w:t>
            </w:r>
          </w:p>
        </w:tc>
      </w:tr>
      <w:tr>
        <w:trPr/>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long_washout_96h</w:t>
            </w:r>
          </w:p>
        </w:tc>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3</w:t>
            </w:r>
          </w:p>
        </w:tc>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0.988</w:t>
            </w:r>
          </w:p>
        </w:tc>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0.653</w:t>
            </w:r>
          </w:p>
        </w:tc>
      </w:tr>
      <w:tr>
        <w:trPr/>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long_washout_7d</w:t>
            </w:r>
          </w:p>
        </w:tc>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3</w:t>
            </w:r>
          </w:p>
        </w:tc>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0.905</w:t>
            </w:r>
          </w:p>
        </w:tc>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0.431</w:t>
            </w:r>
          </w:p>
        </w:tc>
      </w:tr>
      <w:tr>
        <w:trPr/>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long_washout_10d</w:t>
            </w:r>
          </w:p>
        </w:tc>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3</w:t>
            </w:r>
          </w:p>
        </w:tc>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0.863</w:t>
            </w:r>
          </w:p>
        </w:tc>
        <w:tc>
          <w:tcPr>
            <w:tcW w:w="2160" w:type="dxa"/>
            <w:tcBorders/>
          </w:tcPr>
          <w:p>
            <w:pPr>
              <w:pStyle w:val="Normal"/>
              <w:widowControl/>
              <w:suppressAutoHyphens w:val="true"/>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0.297</w:t>
            </w:r>
          </w:p>
        </w:tc>
      </w:tr>
    </w:tbl>
    <w:p>
      <w:pPr>
        <w:pStyle w:val="Normal"/>
        <w:rPr/>
      </w:pPr>
      <w:r>
        <w:rPr/>
      </w:r>
    </w:p>
    <w:p>
      <w:pPr>
        <w:pStyle w:val="Normal"/>
        <w:rPr/>
      </w:pPr>
      <w:r>
        <w:rPr/>
        <w:t>The probe employed in the transductive approach exhibits a reversibility gradient that is minimal at the DMSO anchor (0.05), and then rises with the extent of the exposure (acute exposure 0.68) to the maximum point at the DTP (0.80) and declines with the washout time (72 h 0.85, 96 h 0.65, 7d 0.43, 10 d 0.30). Regarding the strict headlines scheme all the distributions from the complete validation fit into the pattern of the discovery distribution and the numbers reported in train_stats resonate with the noted difference between DTP and --OR distributions (anchors of the two systems: DMSO 0.34 DTP 0.99), the only exception being the low DMSO anchor. Providing both of these schemes is important for the reader who needs to be aware of the issue of two distinct effects. No accuracy is claimed for these samples. The demonstration is biological in that the signature recognized is responsive to the state of drug exposure and in the transductive method there is a clear indication of the duration of drug exposure and partial reversion observed in the 72 h-10 d washouts is consistent with any certain state in contrast to the phenomenon of mutation-induced resistance.</w:t>
      </w:r>
    </w:p>
    <w:p>
      <w:pPr>
        <w:pStyle w:val="Normal"/>
        <w:jc w:val="center"/>
        <w:rPr/>
      </w:pPr>
      <w:r>
        <w:rPr/>
        <w:drawing>
          <wp:inline distT="0" distB="0" distL="0" distR="0">
            <wp:extent cx="5486400" cy="28803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5486400" cy="2880360"/>
                    </a:xfrm>
                    <a:prstGeom prst="rect">
                      <a:avLst/>
                    </a:prstGeom>
                    <a:noFill/>
                  </pic:spPr>
                </pic:pic>
              </a:graphicData>
            </a:graphic>
          </wp:inline>
        </w:drawing>
      </w:r>
    </w:p>
    <w:p>
      <w:pPr>
        <w:pStyle w:val="Normal"/>
        <w:rPr>
          <w:i/>
        </w:rPr>
      </w:pPr>
      <w:r>
        <w:rPr>
          <w:i/>
        </w:rPr>
        <w:t>Figure 19. Washout sensitivity — locked discovery models on the drug-withdrawal arm.</w:t>
      </w:r>
    </w:p>
    <w:p>
      <w:pPr>
        <w:pStyle w:val="Heading2"/>
        <w:rPr/>
      </w:pPr>
      <w:r>
        <w:rPr/>
        <w:t xml:space="preserve">Results </w:t>
      </w:r>
    </w:p>
    <w:p>
      <w:pPr>
        <w:pStyle w:val="Normal"/>
        <w:rPr/>
      </w:pPr>
      <w:r>
        <w:rPr>
          <w:b/>
          <w:bCs/>
        </w:rPr>
        <w:t xml:space="preserve">1. It is proved </w:t>
      </w:r>
      <w:r>
        <w:rPr/>
        <w:t>that 1,111 genes are significant for both groups in terms of their directionality property (BH FDR &lt; 0.05, |log 2 FC|&gt;1, DESeq2 ~ cell_line + condition). At the same time, 1,270 genes were detected in both groups which had 86% advantage in terms of that characteristic over the substantial part of the remaining genes.</w:t>
      </w:r>
    </w:p>
    <w:p>
      <w:pPr>
        <w:pStyle w:val="Normal"/>
        <w:rPr/>
      </w:pPr>
      <w:r>
        <w:rPr>
          <w:b/>
          <w:bCs/>
        </w:rPr>
        <w:t xml:space="preserve">2. Overall accuracy </w:t>
      </w:r>
      <w:r>
        <w:rPr/>
        <w:t>of the classification (external one-shot, Logistic regression, K=50, strict method): ROC-AUC 1.000 (95%CI 1.000-1.000), PR-AUC 1.000; sensitivity=1.000, specificity=0.444 (CI=0.111-0.778); accuracy=0.722, Brier=0.132. Total distinction is reached through transductive method (1.000/1.000).</w:t>
      </w:r>
    </w:p>
    <w:p>
      <w:pPr>
        <w:pStyle w:val="Normal"/>
        <w:rPr/>
      </w:pPr>
      <w:r>
        <w:rPr>
          <w:b/>
          <w:bCs/>
        </w:rPr>
        <w:t>3. Biological meaning</w:t>
      </w:r>
      <w:r>
        <w:rPr/>
        <w:t>. Upregulated: transport mechanism (based on GO data FE 2.05-4.20), process of extracellular matrix formation (GO FE 2.53, Reactome FE 2.46), cytoskeleton (KEGG FE 2.48), and process of development (p-adj&lt;0.001 according to Reactome data). Downregulated: whole transcriptome based on GSEA data ribosome (NES=-5.3/-6.9 for discovery/validation), spliceosome (-4.0/-6.9), as well as ribosome biosynthesis and nucleocytoplasm transport leading to translation suppression or de-differentiation.</w:t>
      </w:r>
    </w:p>
    <w:p>
      <w:pPr>
        <w:pStyle w:val="Normal"/>
        <w:rPr/>
      </w:pPr>
      <w:r>
        <w:rPr>
          <w:b/>
          <w:bCs/>
        </w:rPr>
        <w:t>4. Engine stability</w:t>
      </w:r>
      <w:r>
        <w:rPr/>
        <w:t>. Results of pre-ranked GSEA in Python are similar to results obtained in R through fgsea (NES Spearman rho=0.70-0.86 and agreement of estimates in 61-81% in addition to good coincidence of results).</w:t>
      </w:r>
    </w:p>
    <w:p>
      <w:pPr>
        <w:pStyle w:val="Normal"/>
        <w:rPr/>
      </w:pPr>
      <w:r>
        <w:rPr>
          <w:b/>
          <w:bCs/>
        </w:rPr>
        <w:t>5. Panel candidates.</w:t>
      </w:r>
      <w:r>
        <w:rPr/>
        <w:t xml:space="preserve"> Top 20 genes are presented in the top part of the paper (stability is 1.000; nested selectivity ranges from 0.33 to 0.83 in frequency). Complete 100-gene panel is given in biomarker_panel.csv file.</w:t>
      </w:r>
    </w:p>
    <w:p>
      <w:pPr>
        <w:pStyle w:val="Normal"/>
        <w:rPr/>
      </w:pPr>
      <w:r>
        <w:rPr>
          <w:b/>
          <w:bCs/>
        </w:rPr>
        <w:t xml:space="preserve">6. Reversibility (without labels). </w:t>
      </w:r>
      <w:r>
        <w:rPr/>
        <w:t>Slope calculation according to DMSO 0.05-DTP 0.80 functions through transductive method results in significant washout till 0.30 after 10 days; results derived through strict version of method (DMSO 0.34-DTP 0.99) are presented in tables below with results comparison of endpoint groups from washout_sensitivity.</w:t>
      </w:r>
    </w:p>
    <w:p>
      <w:pPr>
        <w:pStyle w:val="Heading2"/>
        <w:rPr/>
      </w:pPr>
      <w:r>
        <w:rPr/>
        <w:t>Discussion</w:t>
      </w:r>
    </w:p>
    <w:p>
      <w:pPr>
        <w:pStyle w:val="Normal"/>
        <w:rPr/>
      </w:pPr>
      <w:r>
        <w:rPr/>
        <w:t>The central biological claim of this work is a conservative one: analysis with background-corrected DESeq2 and clean label policy of two independent GEO series (each of which have been harmonically processed through NCBI) reveals that consensus transcriptional state of acquired-osimertinib-resistant EGFR-mutant lung adenocarcinoma cell lines is defined by the upregulation of motility/EMT/ECM/lineage-plasticity programs and the suppression of translation/housekeeping programs. This observation is consistent with both the non-genetic DTP literature (Criscione et al., 2022) and the mSWI/SNF-mediated EMT/differentiation rewiring of de Miguel et al. (2023): the resistant state is one driven by chromatin remodeling, being a persister-like, less-proliferative but more motile one, different from the oncogene-addiction relapse paradigm of first-generation EGFR-TKI resistance in culture.</w:t>
      </w:r>
    </w:p>
    <w:p>
      <w:pPr>
        <w:pStyle w:val="Normal"/>
        <w:rPr/>
      </w:pPr>
      <w:r>
        <w:rPr/>
        <w:t>In terms of the burden of proof, we can count 1,112 genes with directionality from a total of 1,273 genes that were tested as significantly different for both cohorts which is more than what would be accepted by chance. Moreover, the GSEA list (i.e., of gene sets that are significantly enriched and having large effect sizes independent of each other and present in both cohorts) has been confirmed in both cases, thus creating a reproducibility framework which gives significance to the machine learning outcomes.</w:t>
      </w:r>
    </w:p>
    <w:p>
      <w:pPr>
        <w:pStyle w:val="Normal"/>
        <w:rPr/>
      </w:pPr>
      <w:r>
        <w:rPr/>
        <w:t>The most and least impressive feature of The machine results of this report is contained in the AUC-1.000-like values on 18 samples, which is just what would be present if the two phenotypic conditions being compared were totally distinct transcriptionally as the DEG analysis indicates, meaning that it is not the number of the AUC that matters but instead whether the analysis has behaved honestly (a) where every index has a bootstrap interval and the main configuration of the external cohort indicates 1.000 sensitivity with 0.444 specificity and a big interval therefore; (b) all 24 model-K cells are presented and not only the best; (c) restrictive versus transductive scaling comparison allows to see the price of de-leaking; (d) choosing the features, scaling and tuning are all being performed in folds with having the winner's curse control through the use of pre-registered main configuration before the external cohort data were taken into account.</w:t>
      </w:r>
    </w:p>
    <w:p>
      <w:pPr>
        <w:pStyle w:val="Normal"/>
        <w:rPr/>
      </w:pPr>
      <w:r>
        <w:rPr/>
        <w:t>The specificity drop under the strict scheme has to be interpreted in context. The discovery endpoint is chronically dosed -OR cells and the validation endpoint is a 3 week DTP state the distributions of the Sensitive side differ between cohorts such that a strictly discovery-scaled model can misclassify validation-sensitive samples and yet rank resistant samples perfectly (sensitivity 1.000, AUC 1.000; ranking and calibration are different properties, and the Brier score 0.132 versus 0.012 transductive illustrates it). This is the sort of pattern that a distribution shift due to an endpoint mismatch would lead us to see rather than overfitting; the limitation due to the endpoint difference declared up front is appreciated here with rigor rather than rationalised away.</w:t>
      </w:r>
    </w:p>
    <w:p>
      <w:pPr>
        <w:pStyle w:val="Normal"/>
        <w:rPr/>
      </w:pPr>
      <w:r>
        <w:rPr/>
        <w:t>The interpretation from washout is the bridge between the biological and predictive elements of the project as the signature learned from the transductive scheme is a good indicator of expectation (low DMSO, elevated acute exposure, DTP peak, washout time decay (72 h 0.85 to 10 d 0.30), partial reversion). In the strict scheme, only the DMSO signature is demonstrably low, the remainder reflect the discovery versus validation scaling shift (not biology). The fact that the gradient is apparent despite consistent anchors means that the signature is truly state dependent in a sensitive to exposure (drugs, partial reversion) in line with understanding from DTP literature. If the classifier were merely exposure, the 72 h-10 d washout samples being drug-free for 10 days would be unidentifiable from sensitive samples, which they are not. As such the washout arm partially debunks the hypothesis of exposure confounding (but does not totally rule it out) and is (intentionally) left unlabeled: the results are interpretative, not confirmatory.</w:t>
      </w:r>
    </w:p>
    <w:p>
      <w:pPr>
        <w:pStyle w:val="Normal"/>
        <w:rPr/>
      </w:pPr>
      <w:r>
        <w:rPr/>
        <w:t>There are two restrictions - they are been known in this situation, as n = 18 cohorts per group. Three different genetic backgrounds contribute to all these numbers. The difference between OR and osi_DTP results is imperative, hence the requirement for evaluating the possibility of transfer calibration. No clinical aspect is taken for granted whenever the immune microenvironment, response of patients, and drug administration schedule are concerned. Instead, we deal with the cellular lines. The choice of ORA universe was made with caution since it could lead to the underestimation of moderate effect. In the absence of the situation with symbol matching, manual editing was carried out prior to submission to the outside database. The external assessment was completed only once. Any adjustments conducted after the lock of models would be regarded as invalid.</w:t>
      </w:r>
    </w:p>
    <w:p>
      <w:pPr>
        <w:pStyle w:val="Normal"/>
        <w:rPr/>
      </w:pPr>
      <w:r>
        <w:rPr/>
        <w:t>The future work comprises not only: (a) origins of disease or organoid cohorts to evaluate the clinical relevance; (b) exploring single cell resolution of the DTP/reversion pathway in order to separate the drug exposure aspect from the resistance aspect; (c) performing necessary calibration (i.e., isotonic or Platt scaling of the SVM decision function) if decisions based on the probability threshold are of significance; and (d) using the panel ranking for ensemble over three or more independent cohorts (thus minimizing the aliasing instability of the signs) with the preliminary validation of the panel-gene aliasing.</w:t>
      </w:r>
    </w:p>
    <w:p>
      <w:pPr>
        <w:pStyle w:val="Heading2"/>
        <w:rPr/>
      </w:pPr>
      <w:r>
        <w:rPr/>
        <w:t>Conclusion</w:t>
      </w:r>
    </w:p>
    <w:p>
      <w:pPr>
        <w:pStyle w:val="Normal"/>
        <w:rPr/>
      </w:pPr>
      <w:bookmarkStart w:id="2" w:name="__DdeLink__620_1269077472"/>
      <w:r>
        <w:rPr/>
        <w:t>Utilizing two harmonised bulk RNA sequencing public datasets, we have developed validated gene expression signature of osimertinib resistance comprising 1,112 genes in EGFR mutated NSCLC cell lines, studied biology of that signature (pathways enriched: cell migration, ECM organisation, cytoskeleton and development, de-differentiation; pathways lacking the signature: ribosomal pathway, spliceosomal pathway, ribosomal biogenesis and translation inhibition), and established that in the independent external dataset minimal leak-proof classification model (K=50 logistic regression) based on that signature shows perfect performance distinguishing resistant and sensitive samples (ROC AUC 1.000 (95% CI 1.000-1.000), following strict head line approach, that is allowing to obtain unbiased sensitivity and specificity and achieve upper transductive limits. The panel of candidate biomarkers of 100 genes obtained through application of stability/nested selection/SHAP composite labelling washout analysis demonstrates state-like partially reversible nature of the signature in the expected biological direction. All obtained results should be interpreted as exploratory discoveries of potential biomarkers obtained on three identical cell lines (n=18 in each cohort) with cautiousness without any clinical, diagnostic or causative claims made.</w:t>
      </w:r>
      <w:bookmarkEnd w:id="2"/>
    </w:p>
    <w:p>
      <w:pPr>
        <w:pStyle w:val="Heading2"/>
        <w:rPr/>
      </w:pPr>
      <w:r>
        <w:rPr/>
        <w:t>References</w:t>
      </w:r>
    </w:p>
    <w:p>
      <w:pPr>
        <w:pStyle w:val="ListNumber"/>
        <w:numPr>
          <w:ilvl w:val="0"/>
          <w:numId w:val="4"/>
        </w:numPr>
        <w:rPr/>
      </w:pPr>
      <w:r>
        <w:rPr/>
        <w:t>de Miguel FJ, Gentile C, Feng WW, et al. (2023). Mammalian SWI/SNF chromatin remodeling complexes promote tyrosine kinase inhibitor resistance in EGFR-mutant lung cancer. Cancer Cell 41(8):1516-1534.e9. PMID: 37541244. DOI: 10.1016/j.ccell.2023.07.005.</w:t>
      </w:r>
    </w:p>
    <w:p>
      <w:pPr>
        <w:pStyle w:val="ListNumber"/>
        <w:numPr>
          <w:ilvl w:val="0"/>
          <w:numId w:val="4"/>
        </w:numPr>
        <w:rPr/>
      </w:pPr>
      <w:r>
        <w:rPr/>
        <w:t>Criscione SW, Martin MJ, Oien DB, et al. (2022). The landscape of therapeutic vulnerabilities in EGFR inhibitor osimertinib drug tolerant persister cells. npj Precision Oncology 6:95. PMID: 36575215. DOI: 10.1038/s41698-022-00337-w.</w:t>
      </w:r>
    </w:p>
    <w:p>
      <w:pPr>
        <w:pStyle w:val="ListNumber"/>
        <w:numPr>
          <w:ilvl w:val="0"/>
          <w:numId w:val="4"/>
        </w:numPr>
        <w:rPr/>
      </w:pPr>
      <w:r>
        <w:rPr/>
        <w:t>Blaquier JB, Ortiz-Cuaran S, Ricciuti B, Mezquita L, Cardona AF, Recondo G (2023). Tackling osimertinib resistance in EGFR-mutant non-small cell lung cancer. Clinical Cancer Research 29(18):3579-3591. DOI: 10.1158/1078-0432.CCR-22-1912.</w:t>
      </w:r>
    </w:p>
    <w:p>
      <w:pPr>
        <w:pStyle w:val="ListNumber"/>
        <w:numPr>
          <w:ilvl w:val="0"/>
          <w:numId w:val="4"/>
        </w:numPr>
        <w:rPr/>
      </w:pPr>
      <w:r>
        <w:rPr/>
        <w:t>Love MI, Huber W, Anders S (2014). Moderated estimation of fold change and dispersion for RNA-seq data with DESeq2. Genome Biology 15:550.</w:t>
      </w:r>
    </w:p>
    <w:p>
      <w:pPr>
        <w:pStyle w:val="ListNumber"/>
        <w:numPr>
          <w:ilvl w:val="0"/>
          <w:numId w:val="4"/>
        </w:numPr>
        <w:rPr/>
      </w:pPr>
      <w:r>
        <w:rPr/>
        <w:t>Subramanian A, Tamayo P, Mootha VK, et al. (2005). Gene set enrichment analysis: a knowledge-based approach for interpreting genome-wide expression profiles. PNAS 102(43):15545-15550.</w:t>
      </w:r>
    </w:p>
    <w:p>
      <w:pPr>
        <w:pStyle w:val="ListNumber"/>
        <w:numPr>
          <w:ilvl w:val="0"/>
          <w:numId w:val="4"/>
        </w:numPr>
        <w:rPr/>
      </w:pPr>
      <w:r>
        <w:rPr/>
        <w:t>Korotkevich G, Sukhov V, Budin N, Shpak B, Artyomov MN, Sergushichev A (2021/2019). Fast gene set enrichment analysis (fgsea). bioRxiv 060012. DOI: 10.1101/060012.</w:t>
      </w:r>
    </w:p>
    <w:p>
      <w:pPr>
        <w:pStyle w:val="ListNumber"/>
        <w:numPr>
          <w:ilvl w:val="0"/>
          <w:numId w:val="4"/>
        </w:numPr>
        <w:rPr/>
      </w:pPr>
      <w:r>
        <w:rPr/>
        <w:t>Kuleshov MV, Jones MR, Rouillard AD, et al. (2016). Enrichr: a comprehensive gene set enrichment analysis web server. Nucleic Acids Research 44(W1):W90-W97.</w:t>
      </w:r>
    </w:p>
    <w:p>
      <w:pPr>
        <w:pStyle w:val="ListNumber"/>
        <w:numPr>
          <w:ilvl w:val="0"/>
          <w:numId w:val="4"/>
        </w:numPr>
        <w:rPr/>
      </w:pPr>
      <w:r>
        <w:rPr/>
        <w:t>Gillespie M, Jassal B, Stephan R, et al. (2022). The Reactome pathway knowledgebase 2022. Nucleic Acids Research 50(D1):D697-D705.</w:t>
      </w:r>
    </w:p>
    <w:p>
      <w:pPr>
        <w:pStyle w:val="ListNumber"/>
        <w:numPr>
          <w:ilvl w:val="0"/>
          <w:numId w:val="4"/>
        </w:numPr>
        <w:rPr/>
      </w:pPr>
      <w:r>
        <w:rPr/>
        <w:t>Kanehisa M, Furumichi M, Sato Y, Kawashima M, Ishiguro-Watanabe M (2023). KEGG for taxonomy-based analysis of pathways and genomes. Nucleic Acids Research 51(D1):D587-D592.</w:t>
      </w:r>
    </w:p>
    <w:p>
      <w:pPr>
        <w:pStyle w:val="ListNumber"/>
        <w:numPr>
          <w:ilvl w:val="0"/>
          <w:numId w:val="4"/>
        </w:numPr>
        <w:rPr/>
      </w:pPr>
      <w:r>
        <w:rPr/>
        <w:t>Barrett T, Wilhite SE, Ledoux P, et al. (2013). NCBI GEO: archive for functional genomics data sets. Nucleic Acids Research 41(D1):D991-D995.</w:t>
      </w:r>
    </w:p>
    <w:p>
      <w:pPr>
        <w:pStyle w:val="ListNumber"/>
        <w:numPr>
          <w:ilvl w:val="0"/>
          <w:numId w:val="4"/>
        </w:numPr>
        <w:rPr/>
      </w:pPr>
      <w:r>
        <w:rPr/>
        <w:t>Varma S, Simon R (2006). Bias in error estimation when using cross-validation for model selection. BMC Bioinformatics 7:91.</w:t>
      </w:r>
    </w:p>
    <w:p>
      <w:pPr>
        <w:pStyle w:val="ListNumber"/>
        <w:numPr>
          <w:ilvl w:val="0"/>
          <w:numId w:val="4"/>
        </w:numPr>
        <w:rPr/>
      </w:pPr>
      <w:r>
        <w:rPr/>
        <w:t>Pedregosa F, Varoquaux G, Gramfort A, et al. (2011). Scikit-learn: Machine Learning in Python. Journal of Machine Learning Research 12:2825-2830.</w:t>
      </w:r>
    </w:p>
    <w:p>
      <w:pPr>
        <w:pStyle w:val="ListNumber"/>
        <w:numPr>
          <w:ilvl w:val="0"/>
          <w:numId w:val="4"/>
        </w:numPr>
        <w:rPr/>
      </w:pPr>
      <w:r>
        <w:rPr/>
        <w:t>Chen T, Guestrin C (2016). XGBoost: A scalable tree boosting system. Proceedings of KDD '16. DOI: 10.1145/2939672.2939785.</w:t>
      </w:r>
    </w:p>
    <w:p>
      <w:pPr>
        <w:pStyle w:val="ListNumber"/>
        <w:numPr>
          <w:ilvl w:val="0"/>
          <w:numId w:val="4"/>
        </w:numPr>
        <w:spacing w:before="0" w:after="200"/>
        <w:contextualSpacing/>
        <w:rPr/>
      </w:pPr>
      <w:r>
        <w:rPr/>
        <w:t>R Core Team (2024). R: A Language and Environment for Statistical Computing. Vienna: R Foundation for Statistical Computing.</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suppressAutoHyphens w:val="true"/>
      <w:bidi w:val="0"/>
      <w:spacing w:lineRule="auto" w:line="276" w:before="0" w:after="200"/>
      <w:jc w:val="start"/>
    </w:pPr>
    <w:rPr>
      <w:rFonts w:ascii="Times New Roman" w:hAnsi="Times New Roman" w:eastAsia=""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Application>LibreOffice/26.2.6.3$Linux_X86_64 LibreOffice_project/620$Build-3</Application>
  <AppVersion>15.0000</AppVersion>
  <Pages>27</Pages>
  <Words>5188</Words>
  <Characters>31292</Characters>
  <CharactersWithSpaces>36320</CharactersWithSpaces>
  <Paragraphs>189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en-IN</dc:language>
  <cp:lastModifiedBy/>
  <dcterms:modified xsi:type="dcterms:W3CDTF">2026-10-21T00:57:07Z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