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t>о проведении мероприятия с целью повышения информированности и сбора данных об эффективности лечения, нежелательных реакциях по препарату «Вессел»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>В целях сбора информации по препарату  Вессел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1. Установить срок проведения мероприятия: «29 декабря 2024 г.»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t>2. Место проведения мероприятия «ААААААААААААААААААА»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IT Department - John Doe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t>4. Обсуждение на тему «ААААААААААААААААА»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80102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Иванов Пётр Борисович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B94F3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Директор коммерческого отдела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</w:t>
            </w:r>
          </w:p>
        </w:tc>
      </w:tr>
      <w:tr w:rsidR="00013ABE" w:rsidRPr="005B3D09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12:50 - 13:50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>
        <w:t xml:space="preserve"> Бюджет встречи не превышает: «1 000,00 рублей (Одна тысяча рублей 00 копеек)»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4620A"/>
    <w:rsid w:val="00654E51"/>
    <w:rsid w:val="00732AF6"/>
    <w:rsid w:val="008171E9"/>
    <w:rsid w:val="00B337A5"/>
    <w:rsid w:val="00B94B9A"/>
    <w:rsid w:val="00CD7B13"/>
    <w:rsid w:val="00ED60EF"/>
    <w:rsid w:val="00EF6FF4"/>
    <w:rsid w:val="00F308F2"/>
    <w:rsid w:val="00F847C7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16</cp:revision>
  <dcterms:created xsi:type="dcterms:W3CDTF">2025-03-10T20:21:00Z</dcterms:created>
  <dcterms:modified xsi:type="dcterms:W3CDTF">2025-03-11T09:07:00Z</dcterms:modified>
</cp:coreProperties>
</file>