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Summary</w:t>
      </w:r>
    </w:p>
    <w:p>
      <w:r>
        <w:t>The matter involves allegations of misconduct by Whitmore Capital Advisors LLC (WCA) and its key personnel, primarily focusing on cherry-picking trade allocations and favoritism towards specific client accounts from January 1, 2021 through December 31, 2023. The principal allegations include violations of Sections 206(1) and 206(2) of the Advisers Act by directing profitable trades disproportionately to Oceanic Fund I LP and Diana L. Chao's personal account, resulting in excess profits totaling $8,238,000. Additionally, WCA is accused of failing to maintain adequate compliance policies and contemporaneous trade allocation records, leading to an estimated financial harm of $8,622,000 for its clients.</w:t>
      </w:r>
    </w:p>
    <w:p>
      <w:r>
        <w:t>The key figures involved are Kevin Whitmore (CEO/CIO), Diana L. Chao, Marcus T. Bellini, and Kevin Ostrowski. The violations stem from WCA’s failure to adhere to regulatory requirements under the Advisers Act, including Rule 206(4)-7 and Rule 204-2(a)(3). These failures not only compromised client interests but also exposed WCA to potential legal risks, fines, and reputational damage. The overall posture indicates a systemic breakdown in compliance and ethical standards at WCA, necessitating comprehensive remediation efforts to address the identified issues and prevent future violations.</w:t>
      </w:r>
    </w:p>
    <w:p>
      <w:r>
        <w:t>Figure roll-up (computed from the grounded record):</w:t>
      </w:r>
    </w:p>
    <w:p>
      <w:pPr>
        <w:pStyle w:val="ListBullet"/>
      </w:pPr>
      <w:r>
        <w:t>$8,238,000 + $291,400 + $92,600 = $8,622,000 (components on the grounded record sum to the stated aggregate)</w:t>
      </w:r>
    </w:p>
    <w:p>
      <w:pPr>
        <w:pStyle w:val="ListBullet"/>
      </w:pPr>
      <w:r>
        <w:t>$7,800,000 + $438,000 = $8,238,000 (components on the grounded record sum to the stated aggregate)</w:t>
      </w:r>
    </w:p>
    <w:p>
      <w:pPr>
        <w:pStyle w:val="ListBullet"/>
      </w:pPr>
      <w:r>
        <w:t>$3,100,000 + $2,900,000 + $1,800,000 = $7,800,000 (components on the grounded record sum to the stated aggregate)</w:t>
      </w:r>
    </w:p>
    <w:p>
      <w:pPr>
        <w:pStyle w:val="ListBullet"/>
      </w:pPr>
      <w:r>
        <w:t>$189,000 + $162,000 + $87,000 = $438,000 (components on the grounded record sum to the stated aggregate)</w:t>
      </w:r>
    </w:p>
    <w:p>
      <w:pPr>
        <w:pStyle w:val="Heading2"/>
      </w:pPr>
      <w:r>
        <w:t>WCA engaging in cherry-picking trade allocations</w:t>
      </w:r>
    </w:p>
    <w:p>
      <w:r>
        <w:t>WCA is alleged to have engaged in cherry-picking trade allocations, which violates Sections 206(1) and 206(2) of the Advisers Act. According to the findings, Whitmore and Chao directed profitable trades to specific client accounts at a higher rate than others during the review period from January 1, 2021 through December 31, 2023.</w:t>
      </w:r>
    </w:p>
    <w:p>
      <w:r>
        <w:t>The cherry-picking scheme resulted in excess profits allocated to Oceanic Fund I LP totaling $7,800,000. Additionally, Chao's personal account received excess profits of approximately $438,000 over the same period. The total alleged ill-gotten gains from this practice amounted to $8,238,000.</w:t>
      </w:r>
    </w:p>
    <w:p>
      <w:r>
        <w:t>This conduct harmed multiple advisory clients, including Crescent Bay Municipal Pension Fund and Whitmore Strategic Credit Fund LP. Oceanic Fund I LP, managed by Whitmore's firm, received a disproportionately high number of profitable trades compared to other client accounts. Specifically, the profitable allocation rate for Oceanic Fund I LP was 68.4%, while the overall average for all other client accounts (excluding Chao’s personal account) was only 41.2%. Chao's personal brokerage account also received a notably high number of profitable allocations, with an 81.6% rate over the review period.</w:t>
      </w:r>
    </w:p>
    <w:p>
      <w:r>
        <w:t>The Division estimates that these excess profits were calculated by comparing actual returns on trades allocated to favored accounts against hypothetical pro rata allocation scenarios based on each account’s target allocation percentage and available cash. This methodology revealed significant disparities in profitability between favored and other client accounts, indicating direct financial harm to WCA's clients who received a disproportionate share of unprofitable or less profitable trade allocations.</w:t>
      </w:r>
    </w:p>
    <w:p>
      <w:r>
        <w:t>These findings suggest that the cherry-picking pattern caused substantial financial harm to WCA's advisory clients while benefiting Oceanic Fund I LP and Chao’s personal account disproportionately.</w:t>
      </w:r>
    </w:p>
    <w:p>
      <w:r>
        <w:t>Key figures:</w:t>
      </w:r>
    </w:p>
    <w:p>
      <w:pPr>
        <w:pStyle w:val="ListBullet"/>
      </w:pPr>
      <w:r>
        <w:t>Lakeshore Trading charged WCA's clients commissions averaging: $291,400 (sec-enforcement-referral-notice.docx)</w:t>
      </w:r>
    </w:p>
    <w:p>
      <w:pPr>
        <w:pStyle w:val="ListBullet"/>
      </w:pPr>
      <w:r>
        <w:t>figure: $1,704,000 (sec-quantitative-analysis-summary.xlsx)</w:t>
      </w:r>
    </w:p>
    <w:p>
      <w:pPr>
        <w:pStyle w:val="ListBullet"/>
      </w:pPr>
      <w:r>
        <w:t>Observation on Trade Count The omnibus trade dataset contains: 4,312 (sec-quantitative-analysis-summary.xlsx)</w:t>
      </w:r>
    </w:p>
    <w:p>
      <w:pPr>
        <w:pStyle w:val="ListBullet"/>
      </w:pPr>
      <w:r>
        <w:t>Total Equity Trades (All Execution Methods) Includes omnibus: 7,412 (sec-quantitative-analysis-summary.xlsx)</w:t>
      </w:r>
    </w:p>
    <w:p>
      <w:pPr>
        <w:pStyle w:val="ListBullet"/>
      </w:pPr>
      <w:r>
        <w:t>Specifically, WCA executed equity trades through the omnibus: 5,776 (sec-enforcement-referral-notice.docx)</w:t>
      </w:r>
    </w:p>
    <w:p>
      <w:pPr>
        <w:pStyle w:val="ListBullet"/>
      </w:pPr>
      <w:r>
        <w:t>(b) Monthly membership dues of per month for a period of 17: $2,800 (sec-enforcement-referral-notice.docx)</w:t>
      </w:r>
    </w:p>
    <w:p>
      <w:pPr>
        <w:pStyle w:val="ListBullet"/>
      </w:pPr>
      <w:r>
        <w:t>Scope of Analysis This analysis covers all equity trades: 78% (sec-quantitative-analysis-summary.xlsx)</w:t>
      </w:r>
    </w:p>
    <w:p>
      <w:pPr>
        <w:pStyle w:val="ListBullet"/>
      </w:pPr>
      <w:r>
        <w:t>During the Review Period, WCA executed the majority of its: 73% (sec-enforcement-referral-notice.docx)</w:t>
      </w:r>
    </w:p>
    <w:p>
      <w:pPr>
        <w:pStyle w:val="ListBullet"/>
      </w:pPr>
      <w:r>
        <w:t>For 2,614 of the 5,776 omnibus equity trades executed during: 45.2% (sec-enforcement-referral-notice.docx)</w:t>
      </w:r>
    </w:p>
    <w:p>
      <w:pPr>
        <w:pStyle w:val="Heading2"/>
      </w:pPr>
      <w:r>
        <w:t>favoringOceanicFundAndChaoAccount</w:t>
      </w:r>
    </w:p>
    <w:p>
      <w:r>
        <w:t>The SEC enforcement referral alleges that Whitmore favored Oceanic Fund I LP and Diana L. Chao's personal brokerage account, resulting in harm to WCA’s other advisory clients. According to the referral, this conduct is quantified as a total excess profit of $8,238,000.</w:t>
      </w:r>
    </w:p>
    <w:p>
      <w:r>
        <w:t>Under Section 209(e) of the Advisers Act, investment advisers are required to act with the care, skill, prudence, and diligence that a prudent person would exercise under similar circumstances. The referral indicates that Whitmore committed acts in favoring Oceanic Fund I LP by allocating trades disproportionately to this fund compared to other WCA advisory clients.</w:t>
      </w:r>
    </w:p>
    <w:p>
      <w:r>
        <w:t>Oceanic Fund I LP is managed by Whitmore GP Holdings LLC, which holds management authority and fiduciary duties over the fund. Chao’s personal brokerage account at Meridian Clearing Corp. received allocations from the firm's trading desk that were more profitable than those allocated to other clients. Specifically, Chao’s account had an omnibus allocation count of 87 trades, with a profitable allocation rate of 81.6%.</w:t>
      </w:r>
    </w:p>
    <w:p>
      <w:r>
        <w:t>The referral highlights that Oceanic Fund I LP had a same-day profitable trade rate of 68.4%, which was significantly higher compared to the overall performance of other WCA advisory clients. This discrepancy suggests that Whitmore’s favoritism towards Oceanic Fund I LP and Chao's account resulted in substantial excess profits for these entities at the expense of other clients.</w:t>
      </w:r>
    </w:p>
    <w:p>
      <w:r>
        <w:t>The referral quantifies the total excess profit generated by this conduct as $7,800,000 for Oceanic Fund I LP alone. Additionally, the combined impact on WCA’s other advisory clients is estimated to be an additional $438,000 in lost opportunities and reduced performance. This harm underscores the significant financial implications of Whitmore's alleged favoritism towards Oceanic Fund I LP and Chao’s account.</w:t>
      </w:r>
    </w:p>
    <w:p>
      <w:r>
        <w:t>In summary, the referral alleges that Whitmore violated his fiduciary duty by disproportionately allocating profitable trades to Oceanic Fund I LP and Chao’s personal brokerage account, resulting in a total excess profit of $8,238,000. This conduct is quantified as causing harm to WCA's other advisory clients, thereby breaching the standards set forth under Section 209(e) of the Advisers Act.</w:t>
      </w:r>
    </w:p>
    <w:p>
      <w:r>
        <w:t>Oceanic Fund I LP had approximately Crescent Bay Municipal Pension Fund measures net assets ($185 million) [wca-form-adv-part2a-march2023.docx] as of December 31, 2022. Oceanic Offshore Fund Ltd., a parallel offshore vehicle to Oceanic Fund I LP and designed to serve non-U.S. and tax-exempt investors, had approximately $92 million in net assets as of the same date [sec-enforcement-referral-notice.docx].</w:t>
      </w:r>
    </w:p>
    <w:p>
      <w:pPr>
        <w:pStyle w:val="Heading2"/>
      </w:pPr>
      <w:r>
        <w:t>WCA's written compliance policies</w:t>
      </w:r>
    </w:p>
    <w:p>
      <w:r>
        <w:t>WCA's Compliance Manual, last updated on November 15, 2022, outlines the firm’s written policies and procedures as required by Rule 206(4)-7 under the Advisers Act. According to Rule 206(4)-7, these policies must be reasonably designed to prevent violations of the Advisers Act and its rules. However, the Division alleges that WCA's Compliance Manual was not adequately designed to prevent certain violations described in the enforcement referral notice.</w:t>
      </w:r>
    </w:p>
    <w:p>
      <w:r>
        <w:t>Specifically, the manual lacks omnibus allocation procedures as required by Section 7.3, which created conditions enabling a cherry-picking scheme. Additionally, the absence of restrictions on employee receipt of omnibus allocations under Section 9.1 allowed for self-dealing activities. The Compliance Manual also prohibits employees from receiving omnibus allocations in their personal accounts but fails to address systematic post-trade allocation reviews and written methodologies for omnibus trades.</w:t>
      </w:r>
    </w:p>
    <w:p>
      <w:r>
        <w:t>Whitmore, a significant stakeholder with a 62% ownership interest in WCA and substantial assets under management ($2.3 billion), is implicated in these allegations. Whitmore instructed the deletion of trade allocation records from the firm’s shared drive, which could be seen as an attempt to cover up the cherry-picking scheme. This conduct raises concerns about compliance with Rule 206(4)-7 and the broader fiduciary duty obligations under Sections 206(1) and 206(2).</w:t>
      </w:r>
    </w:p>
    <w:p>
      <w:r>
        <w:t>The alleged ill-gotten gains from these violations total $8,622,000, including excess profits of $8,238,000 generated through cherry-picking trades. Whitmore also failed to disclose $92,600 in undisclosed compensation received by Bellini and $291,400 in excess commissions paid to Lakeshore Trading LLC.</w:t>
      </w:r>
    </w:p>
    <w:p>
      <w:r>
        <w:t>These findings suggest that WCA’s Compliance Manual deviates from Rule 206(4)-7 requirements, potentially exposing the firm and its key personnel to significant legal and financial risks. Defenses may focus on demonstrating that the manual was reasonably designed at the time of implementation and that subsequent updates were not required until violations occurred. Additionally, efforts should be made to show that any deviations from best practices did not result in actual harm or material breaches of fiduciary duty.</w:t>
      </w:r>
    </w:p>
    <w:p>
      <w:pPr>
        <w:pStyle w:val="Heading2"/>
      </w:pPr>
      <w:r>
        <w:t>Section 7.3 of the Compliance Manual</w:t>
      </w:r>
    </w:p>
    <w:p>
      <w:r>
        <w:t>Section 7 of the Compliance Manual addresses the Firm's policies and procedures governing the allocation of investment opportunities among client accounts. Specifically, Section 7.3 sets forth a "rotation" methodology for the allocation of Initial Public Offerings (IPOs) and secondary offering shares among eligible client accounts. Under this methodology, allocations are made on a rotating basis to ensure equitable distribution over time, taking into account each account’s investment objectives, risk tolerance, and available cash.</w:t>
      </w:r>
    </w:p>
    <w:p>
      <w:r>
        <w:t>Hargrove &amp; Tilton's compliance review found the rotation methodology for IPO and secondary offering allocations to be clearly articulated and consistent with the Firm's fiduciary obligations. However, Hargrove &amp; Tilton also identified that Section 7.3 does not address allocation procedures for equity trades executed through omnibus accounts. This deviation from the manual’s requirements highlights a significant gap in the Firm's policies and procedures, as a substantial portion of the Firm’s trading activity is conducted through such omnibus orders.</w:t>
      </w:r>
    </w:p>
    <w:p>
      <w:r>
        <w:t>The SEC enforcement referral notice further notes that WCA's Compliance Manual deviates from Rule 206(4)-7 under the Investment Advisers Act of 1940, which mandates an annual review of compliance policies and procedures. This requirement underscores the importance of regularly updating the manual to reflect regulatory developments and address any identified deficiencies.</w:t>
      </w:r>
    </w:p>
    <w:p>
      <w:r>
        <w:t>Moreover, Hargrove &amp; Tilton's review found that Section 7.3 has not been updated since November 15, 2022, indicating a lapse in maintaining current compliance standards. The lack of updates could expose the Firm to potential regulatory violations or client harm due to outdated policies and procedures.</w:t>
      </w:r>
    </w:p>
    <w:p>
      <w:r>
        <w:t>In addition to these procedural deficiencies, WCA's Compliance Manual also prohibits omnibus allocation procedures and restricts employees from receiving allocations from omnibus accounts in their personal accounts. These prohibitions are intended to prevent conflicts of interest but may not be effectively enforced without clear guidelines for equity trades executed through omnibus orders.</w:t>
      </w:r>
    </w:p>
    <w:p>
      <w:r>
        <w:t>Given the identified gaps and deviations, it is recommended that WCA consider supplementing Section 7.3 to address allocation procedures for equity trades executed through omnibus accounts, including documentation requirements. This enhancement would help ensure compliance with regulatory requirements and mitigate potential conflicts of interest arising from such trades.</w:t>
      </w:r>
    </w:p>
    <w:p>
      <w:r>
        <w:t>Key figures:</w:t>
      </w:r>
    </w:p>
    <w:p>
      <w:pPr>
        <w:pStyle w:val="ListBullet"/>
      </w:pPr>
      <w:r>
        <w:t>The Division estimates that the excess profits attributable to: $7,800,000 (sec-enforcement-referral-notice.docx)</w:t>
      </w:r>
    </w:p>
    <w:p>
      <w:pPr>
        <w:pStyle w:val="ListBullet"/>
      </w:pPr>
      <w:r>
        <w:t>The Division estimates that the excess profits in Chao's: $438,000 (sec-enforcement-referral-notice.docx)</w:t>
      </w:r>
    </w:p>
    <w:p>
      <w:pPr>
        <w:pStyle w:val="ListBullet"/>
      </w:pPr>
      <w:r>
        <w:t>Calendar Year 2023: $1,800,000 (sec-enforcement-referral-notice.docx)</w:t>
      </w:r>
    </w:p>
    <w:p>
      <w:pPr>
        <w:pStyle w:val="ListBullet"/>
      </w:pPr>
      <w:r>
        <w:t>figure: $103,302.67 (ostrowski-bank-records-exhibit.xlsx)</w:t>
      </w:r>
    </w:p>
    <w:p>
      <w:pPr>
        <w:pStyle w:val="ListBullet"/>
      </w:pPr>
      <w:r>
        <w:t>figure: $1,372,500 (sec-quantitative-analysis-summary.xlsx)</w:t>
      </w:r>
    </w:p>
    <w:p>
      <w:pPr>
        <w:pStyle w:val="ListBullet"/>
      </w:pPr>
      <w:r>
        <w:t>12/15/2023 12/15/2023 ACH Debit IRS USATAXPYMT Estimated Tax: $5,200.00 (ostrowski-bank-records-exhibit.xlsx)</w:t>
      </w:r>
    </w:p>
    <w:p>
      <w:pPr>
        <w:pStyle w:val="ListBullet"/>
      </w:pPr>
      <w:r>
        <w:t>Approximately: 78% (sec-quantitative-analysis-summary.xlsx)</w:t>
      </w:r>
    </w:p>
    <w:p>
      <w:pPr>
        <w:pStyle w:val="Heading2"/>
      </w:pPr>
      <w:r>
        <w:t>Section 9.1 of the Compliance Manual</w:t>
      </w:r>
    </w:p>
    <w:p>
      <w:r>
        <w:t>Section 9.1 of the Compliance Manual requires all access persons to pre-clear trades in individual equity and fixed-income securities, obtain written approval from the CCO prior to execution, and file quarterly transaction reports and annual holdings reports in accordance with the Firm's Code of Ethics and Rule 204A-1. H&amp;T found these requirements to be clearly stated and consistent with applicable regulatory requirements.</w:t>
      </w:r>
    </w:p>
    <w:p>
      <w:r>
        <w:t>However, Section 9.1 does not address the receipt of trade allocations from the Firm’s omnibus trading account by employee personal accounts. This deviation is significant because it leaves a gap in the compliance framework that could potentially allow employees to receive equity trades through their personal accounts without pre-clearance or reporting as required for other personal securities transactions.</w:t>
      </w:r>
    </w:p>
    <w:p>
      <w:r>
        <w:t>The Compliance Manual's failure to address this issue raises concerns about whether such allocations are subject to the same pre-clearance requirements applicable to other personal securities transactions, or whether separate restrictions or approval procedures apply. This omission could lead to non-compliance with Rule 206(4)-7 and other regulatory obligations that require firms to establish policies and procedures reasonably designed to prevent fraudulent, manipulative, or deceptive practices.</w:t>
      </w:r>
    </w:p>
    <w:p>
      <w:r>
        <w:t>The Compliance Manual was last updated on November 15, 2022, which is more than twelve months ago. This update cycle does not meet the requirement for annual updates to reflect regulatory developments. The lack of a recent review and update could result in outdated policies that do not adequately address current regulatory expectations or industry best practices.</w:t>
      </w:r>
    </w:p>
    <w:p>
      <w:r>
        <w:t>In summary, Section 9.1 of the Compliance Manual requires pre-clearing and reporting personal securities transactions but fails to address the receipt of trade allocations from the Firm’s omnibus account by employee personal accounts. This deviation exposes the firm to potential non-compliance with Rule 206(4)-7 and other regulatory requirements, highlighting the need for immediate clarification and enhancement of these procedures.</w:t>
      </w:r>
    </w:p>
    <w:p>
      <w:pPr>
        <w:pStyle w:val="Heading2"/>
      </w:pPr>
      <w:r>
        <w:t>Hargrove &amp; Tilton LLP annual compliance review</w:t>
      </w:r>
    </w:p>
    <w:p>
      <w:r>
        <w:t>Hargrove &amp; Tilton LLP conducted the annual compliance review for Whitmore Capital Advisors LLC (WCA) as required by Rule 206(4)-7 under the Investment Advisers Act of 1940. The review covered the period from January 1, 2023 through November 30, 2023 and was completed on December 8, 2023. According to Section 9.1 of WCA's Compliance Manual, pre-clearing and reporting personal securities transactions are mandatory.</w:t>
      </w:r>
    </w:p>
    <w:p>
      <w:r>
        <w:t>During the review, H&amp;T identified that WCA’s compliance procedures deviated from statistical testing of trade allocations and comparison of profitable allocation rates across accounts. Specifically, WCA did not test for patterns in trade allocation that could indicate preferential treatment or improper allocation practices. The Compliance Manual explicitly prohibits omnibus allocation procedures and employee receipt of such allocations in personal accounts.</w:t>
      </w:r>
    </w:p>
    <w:p>
      <w:r>
        <w:t>Furthermore, the review revealed that WCA failed to document each quarterly best execution review as required by its duty to seek best execution for all client transactions. Additionally, the Chief Compliance Officer did not countersign these reviews as mandated by internal policies. The trade error log was also found lacking proper oversight and review by the Chief Compliance Officer on a quarterly basis.</w:t>
      </w:r>
    </w:p>
    <w:p>
      <w:r>
        <w:t>These deficiencies suggest that WCA may have engaged in practices that contravene its fiduciary duty to clients. For instance, there is evidence of potential preferential treatment in trade allocations, which could impact the fair distribution of profits across client accounts. The lack of proper documentation and oversight further exacerbates these concerns by failing to provide a clear audit trail for compliance purposes.</w:t>
      </w:r>
    </w:p>
    <w:p>
      <w:r>
        <w:t>The review also highlighted issues with pre-clearance requirements for certain personal securities transactions. For example, an account identified by number -7823 did not adhere to the necessary pre-clearance procedures outlined in Section 9.1 of the Compliance Manual.</w:t>
      </w:r>
    </w:p>
    <w:p>
      <w:r>
        <w:t>In summary, H&amp;T's annual compliance review uncovered significant deviations from established policies and regulatory standards that could expose WCA to legal risks and undermine client trust. The firm must address these issues promptly to ensure compliance with relevant regulations and maintain its reputation for integrity and reliability.</w:t>
      </w:r>
    </w:p>
    <w:p>
      <w:r>
        <w:t>Key figures:</w:t>
      </w:r>
    </w:p>
    <w:p>
      <w:pPr>
        <w:pStyle w:val="ListBullet"/>
      </w:pPr>
      <w:r>
        <w:t>Calendar Year 2021: $3,100,000 (sec-enforcement-referral-notice.docx)</w:t>
      </w:r>
    </w:p>
    <w:p>
      <w:pPr>
        <w:pStyle w:val="ListBullet"/>
      </w:pPr>
      <w:r>
        <w:t>Calendar Year 2022: $2,900,000 (sec-enforcement-referral-notice.docx)</w:t>
      </w:r>
    </w:p>
    <w:p>
      <w:pPr>
        <w:pStyle w:val="ListBullet"/>
      </w:pPr>
      <w:r>
        <w:t>Calendar Year 2021: $162,000 (sec-enforcement-referral-notice.docx)</w:t>
      </w:r>
    </w:p>
    <w:p>
      <w:pPr>
        <w:pStyle w:val="ListBullet"/>
      </w:pPr>
      <w:r>
        <w:t>figure: $972,000 (sec-quantitative-analysis-summary.xlsx)</w:t>
      </w:r>
    </w:p>
    <w:p>
      <w:pPr>
        <w:pStyle w:val="Heading2"/>
      </w:pPr>
      <w:r>
        <w:t>WCA's failure to maintain contemporaneous allocation records</w:t>
      </w:r>
    </w:p>
    <w:p>
      <w:r>
        <w:t>Rule 204-2(a)(3) under the Advisers Act mandates that every investment adviser registered with the Commission must maintain true, accurate, and current records for each order given by the investment adviser for the purchase or sale of any security. WCA's failure to create and maintain contemporaneous allocation records for 45.2% of its omnibus equity trades constitutes a violation of this provision. Specifically, during the Review Period from January 1, 2021 through December 31, 2023, WCA executed 5,776 equity trades through an omnibus account at Meridian Clearing Corp., representing approximately 73% of its total equity trading volume.</w:t>
      </w:r>
    </w:p>
    <w:p>
      <w:r>
        <w:t>The absence of contemporaneous allocation records prevented the Division of Examinations' staff from accurately assessing trade allocations and identifying any potential conflicts of interest or preferential treatment. This failure to maintain accurate records also hindered the ability to verify that allocation decisions were made in a fair and systematic manner, rather than on a discretionary basis after the fact.</w:t>
      </w:r>
    </w:p>
    <w:p>
      <w:r>
        <w:t>Furthermore, forensic analysis by the Commission's Office of Information Technology revealed that 312 Microsoft Excel spreadsheets containing allocation records had metadata showing creation dates that post-dated the corresponding trade dates by an average of seventeen (17) business days. This evidence strongly suggests that these allocation records were created or modified well after the trade date, undermining their reliability and integrity.</w:t>
      </w:r>
    </w:p>
    <w:p>
      <w:r>
        <w:t>Whitmore instructed the deletion of trade allocation records from the Firm's shared drive, further exacerbating the issue and potentially destroying critical evidence related to trade allocations and compliance with regulatory requirements. The lack of contemporaneous documentation also hindered the ability to accurately quantify any client harm or ill-gotten gains resulting from improper trade allocation practices.</w:t>
      </w:r>
    </w:p>
    <w:p>
      <w:r>
        <w:t>Given Whitmore’s significant ownership stake in Oceanic Fund I LP (12%) and his role as CEO and CIO, there was a direct conflict of interest that should have been disclosed. The failure to maintain accurate records exacerbated this conflict by making it difficult to verify whether allocations were made fairly or if they benefited Whitmore's personal interests at the expense of other clients.</w:t>
      </w:r>
    </w:p>
    <w:p>
      <w:r>
        <w:t>In summary, WCA’s failure to maintain contemporaneous allocation records not only violated Rule 204-2(a)(3) but also compromised the integrity and reliability of trade allocation practices, potentially harming client interests and impeding regulatory oversight.</w:t>
      </w:r>
    </w:p>
    <w:p>
      <w:r>
        <w:t>Key figures:</w:t>
      </w:r>
    </w:p>
    <w:p>
      <w:pPr>
        <w:pStyle w:val="ListBullet"/>
      </w:pPr>
      <w:r>
        <w:t>The absence of contemporaneous allocation records prevented the: 4,217 (sec-enforcement-referral-notice.docx)</w:t>
      </w:r>
    </w:p>
    <w:p>
      <w:pPr>
        <w:pStyle w:val="ListBullet"/>
      </w:pPr>
      <w:r>
        <w:t>WCA has been registered with the United States Securities and: 62% (wca-form-adv-part2a-march2023.docx)</w:t>
      </w:r>
    </w:p>
    <w:p>
      <w:pPr>
        <w:pStyle w:val="ListBullet"/>
      </w:pPr>
      <w:r>
        <w:t>Of those 87 allocations, 71 were same-day profitable: 81.6% (sec-enforcement-referral-notice.docx)</w:t>
      </w:r>
    </w:p>
    <w:p>
      <w:pPr>
        <w:pStyle w:val="Heading2"/>
      </w:pPr>
      <w:r>
        <w:t>WCA's failure to retain written communications</w:t>
      </w:r>
    </w:p>
    <w:p>
      <w:r>
        <w:t>WCA's compliance policies and procedures, as set forth in the Firm’s Compliance Manual last updated November 15, failed to comply with the requirements of Rule 206(4)-7 under the Advisers Act. Specifically, WCA did not adopt written policies and procedures reasonably designed to prevent violations of the Advisers Act and its rules. This failure is compounded by the fact that WCA’s written compliance policies and procedures also violated Rule 204-2(a)(7), which requires investment advisers registered with the Commission to retain originals of all written communications received and copies of all written communications sent relating to recommendations, order placement or execution, and performance or rate of return.</w:t>
      </w:r>
    </w:p>
    <w:p>
      <w:r>
        <w:t>Mr. Whitmore instructed the deletion of trade allocation records from the Firm’s shared drive, a practice that contravenes Rule 204-2(a)(7) by failing to retain necessary written communications. This failure to maintain these records not only undermines WCA's ability to comply with regulatory requirements but also raises concerns about the integrity and transparency of its operations.</w:t>
      </w:r>
    </w:p>
    <w:p>
      <w:r>
        <w:t>The Division alleges that this violation of Rule 204-2(a)(7) is significant because it impacts multiple aspects of WCA’s compliance framework, including the firm’s ability to demonstrate adherence to regulatory standards. The failure to retain written communications can lead to a lack of documentation necessary for audits and investigations, thereby increasing exposure to potential enforcement actions.</w:t>
      </w:r>
    </w:p>
    <w:p>
      <w:r>
        <w:t>Mr. Whitmore holds a sixty-two percent (62%) membership interest in WCA, making him a key figure in the alleged violations. His actions and instructions directly contribute to the non-compliance with Rule 204-2(a)(7). Additionally, Mr. Whitmore’s failure to disclose excess profits of $8,622,000 further exacerbates the firm's compliance issues.</w:t>
      </w:r>
    </w:p>
    <w:p>
      <w:r>
        <w:t>The parties implicated in this violation include Mr. Whitmore and other WCA personnel who were responsible for maintaining records and adhering to regulatory requirements. The resulting exposure includes potential enforcement actions by the SEC, fines, and reputational damage that could impact client trust and future business opportunities.</w:t>
      </w:r>
    </w:p>
    <w:p>
      <w:pPr>
        <w:pStyle w:val="Heading2"/>
      </w:pPr>
      <w:r>
        <w:t>Section 209(e) of the Advisers Act</w:t>
      </w:r>
    </w:p>
    <w:p>
      <w:r>
        <w:t>The Division alleges that Bellini received undisclosed compensation from Kevin Ostrowski in connection with a directed brokerage arrangement. Bank records obtained by the Division indicate that Ostrowski made payments to Bayshore Palms Golf &amp; Country Club on behalf of Bellini, totaling approximately $92,600 over 17 months. This includes an initiation fee of $45,000 and monthly membership dues of $2,800 per month for a period of 17 months, amounting to $47,600 in dues.</w:t>
      </w:r>
    </w:p>
    <w:p>
      <w:r>
        <w:t>The Division further alleges that Bellini directed client trades to Lakeshore Trading LLC based on his undisclosed personal relationship with Ostrowski, who is a 40% owner of the firm. These actions were not disclosed to WCA's compliance personnel or any affected clients, including the Crescent Bay Municipal Pension Fund. As a result, Bellini may face individual sanctions such as being barred from the securities industry, civil monetary penalties, disgorgement of ill-gotten gains, and injunctive relief.</w:t>
      </w:r>
    </w:p>
    <w:p>
      <w:r>
        <w:t>Additionally, Lakeshore Trading charged WCA’s clients commissions averaging 4.2 cents per share on the 23 directed trades, totaling approximately $291,400 in excess commissions compared to other executing brokers who charged an average of 1.1 cents per share for comparable equity block trades during the same period. The Crescent Bay Municipal Pension Fund bore a disproportionate share of these excess commissions, with approximately $187,000 representing about 64% of the total.</w:t>
      </w:r>
    </w:p>
    <w:p>
      <w:r>
        <w:t>The Division's preliminary analysis indicates that this pattern caused direct financial harm to WCA’s other advisory clients by diverting unprofitable or less profitable trade allocations away from them. The harmed clients include the Crescent Bay Municipal Pension Fund and individual high-net-worth discretionary account holders, among others. This harm is estimated at a total of $8,622,000, which includes excess profits from cherry-picking allocated to Oceanic Fund I LP and Chao's personal account totaling $8,238,000, as well as the $291,400 in excess commissions paid to Lakeshore Trading LLC.</w:t>
      </w:r>
    </w:p>
    <w:p>
      <w:r>
        <w:t>Key figures:</w:t>
      </w:r>
    </w:p>
    <w:p>
      <w:pPr>
        <w:pStyle w:val="ListBullet"/>
      </w:pPr>
      <w:r>
        <w:t>figure: $106,102.67 (ostrowski-bank-records-exhibit.xlsx)</w:t>
      </w:r>
    </w:p>
    <w:p>
      <w:pPr>
        <w:pStyle w:val="ListBullet"/>
      </w:pPr>
      <w:r>
        <w:t>figure: $102,027.67 (ostrowski-bank-records-exhibit.xlsx)</w:t>
      </w:r>
    </w:p>
    <w:p>
      <w:pPr>
        <w:pStyle w:val="ListBullet"/>
      </w:pPr>
      <w:r>
        <w:t>figure: $106,121.55 (ostrowski-bank-records-exhibit.xlsx)</w:t>
      </w:r>
    </w:p>
    <w:p>
      <w:pPr>
        <w:pStyle w:val="ListBullet"/>
      </w:pPr>
      <w:r>
        <w:t>figure: $118,321.55 (ostrowski-bank-records-exhibit.xlsx)</w:t>
      </w:r>
    </w:p>
    <w:p>
      <w:pPr>
        <w:pStyle w:val="ListBullet"/>
      </w:pPr>
      <w:r>
        <w:t>figure: $117,046.55 (ostrowski-bank-records-exhibit.xlsx)</w:t>
      </w:r>
    </w:p>
    <w:p>
      <w:pPr>
        <w:pStyle w:val="ListBullet"/>
      </w:pPr>
      <w:r>
        <w:t>figure: $110,508.88 (ostrowski-bank-records-exhibit.xlsx)</w:t>
      </w:r>
    </w:p>
    <w:p>
      <w:pPr>
        <w:pStyle w:val="ListBullet"/>
      </w:pPr>
      <w:r>
        <w:t>figure: $92,290.00 (ostrowski-bank-records-exhibit.xlsx)</w:t>
      </w:r>
    </w:p>
    <w:p>
      <w:pPr>
        <w:pStyle w:val="ListBullet"/>
      </w:pPr>
      <w:r>
        <w:t>figure: $91,102.67 (ostrowski-bank-records-exhibit.xlsx)</w:t>
      </w:r>
    </w:p>
    <w:p>
      <w:pPr>
        <w:pStyle w:val="Heading2"/>
      </w:pPr>
      <w:r>
        <w:t>Bellini directing client trades</w:t>
      </w:r>
    </w:p>
    <w:p>
      <w:r>
        <w:t>The allegations against Marcus T. Bellini pertain to his breach of fiduciary duty and fraudulent conduct in directing client trades to Lakeshore Trading LLC, a broker-dealer in which Kevin Ostrowski held a 40% ownership interest. According to the Division's referral notice, Bellini directed twenty-three (23) block trades totaling approximately $48.7 million in notional value, representing the purchase or sale of approximately 9.4 million shares of various equity securities, to Lakeshore Trading during the period from June 2022 through November 2023.</w:t>
      </w:r>
    </w:p>
    <w:p>
      <w:r>
        <w:t>Bellini's actions violated Section 206(1) and 206(2) of the Advisers Act by failing to disclose his personal relationship with Ostrowski and the undisclosed compensation he received in connection with directing client trades. The referral notice indicates that Bellini, while acting as portfolio manager for the Crescent Bay Municipal Pension Fund account and other client accounts, breached his fiduciary duty by executing these trades outside of WCA's standard omnibus trading arrangement at Meridian Clearing Corp.</w:t>
      </w:r>
    </w:p>
    <w:p>
      <w:r>
        <w:t>The Division alleges that Bellini received undisclosed personal compensation in the form of payments made to Bayshore Palms Golf &amp; Country Club for his benefit. These payments included an initiation fee of $45,000 and monthly dues totaling $2,800 over a period of 17 months. This conduct not only breached his fiduciary duty but also violated WCA's compliance manual, which requires documentation of directed brokerage arrangements in the client’s investment management agreement or separate written instruction signed by the client or authorized representative.</w:t>
      </w:r>
    </w:p>
    <w:p>
      <w:r>
        <w:t>Bellini manages eighteen (18) of the Firm's forty-seven (47) discretionary advisory accounts. His actions have significant implications for his professional standing and potential exposure to legal consequences, including a bar from the securities industry, civil monetary penalties, disgorgement of ill-gotten gains, and injunctive relief. The referral notice highlights that Bellini’s pattern of cherry-picking trades outside WCA's standard trading arrangement at Meridian Clearing Corp. harmed clients by increasing their transaction costs without proper disclosure or client authorization.</w:t>
      </w:r>
    </w:p>
    <w:p>
      <w:pPr>
        <w:pStyle w:val="Heading2"/>
      </w:pPr>
      <w:r>
        <w:t>Bellini receiving compensation</w:t>
      </w:r>
    </w:p>
    <w:p>
      <w:r>
        <w:t>The Division alleges that Marcus T. Bellini received undisclosed compensation from Kevin Ostrowski in connection with the directed brokerage arrangement. Specifically, bank records obtained by the Division indicate that Ostrowski made payments to Bayshore Palms Golf &amp; Country Club on behalf of Bellini as follows: a club initiation fee and monthly membership dues.</w:t>
      </w:r>
    </w:p>
    <w:p>
      <w:r>
        <w:t>According to the referral notice, Bellini received an initiation fee for $45,000 and monthly membership dues of $2,800 per month for a period of 17 months, totaling $47,600 in dues ($2,800 × 17 = $47,600). The total undisclosed compensation received by Bellini, in the form of payments made by Ostrowski to Bayshore Palms Golf &amp; Country Club for Bellini's benefit, was approximately $92,600 ($45,000 initiation fee + $47,600 in monthly dues = $92,600). The Division alleges that these payments constituted compensation to Bellini for directing client trades to Lakeshore Trading and were not disclosed to WCA, its compliance personnel, or any affected clients.</w:t>
      </w:r>
    </w:p>
    <w:p>
      <w:r>
        <w:t>Bellini’s actions are alleged to have violated Section 9.1 of the WCA compliance manual and Rule 204-2(a)(3) of the Advisers Act, which require full disclosure of any personal relationships or compensation arrangements that may influence a portfolio manager's decisions. As a result, Bellini may face individual sanctions including a bar from the securities industry, civil monetary penalties, disgorgement of ill-gotten gains, and injunctive relief.</w:t>
      </w:r>
    </w:p>
    <w:p>
      <w:r>
        <w:t>Key figures:</w:t>
      </w:r>
    </w:p>
    <w:p>
      <w:pPr>
        <w:pStyle w:val="ListBullet"/>
      </w:pPr>
      <w:r>
        <w:t>05/03/2022 05/04/2022 ACH Debit Bayshore Palms Golf &amp; Country: $45,000.00 (ostrowski-bank-records-exhibit.xlsx)</w:t>
      </w:r>
    </w:p>
    <w:p>
      <w:pPr>
        <w:pStyle w:val="ListBullet"/>
      </w:pPr>
      <w:r>
        <w:t>09/01/2022 09/02/2022 ACH Debit Bayshore Palms Golf &amp; Country: $2,800.00 (ostrowski-bank-records-exhibit.xlsx)</w:t>
      </w:r>
    </w:p>
    <w:p>
      <w:pPr>
        <w:pStyle w:val="ListBullet"/>
      </w:pPr>
      <w:r>
        <w:t>Marcus T. Bellini — Bellini is implicated in Allegation: 40% (sec-enforcement-referral-notice.docx)</w:t>
      </w:r>
    </w:p>
    <w:p>
      <w:pPr>
        <w:pStyle w:val="Heading2"/>
      </w:pPr>
      <w:r>
        <w:t>Kevin Ostrowski payments</w:t>
      </w:r>
    </w:p>
    <w:p>
      <w:r>
        <w:t>Kevin Ostrowski, a 40% owner of Lakeshore Trading LLC, made payments to Bayshore Palms Golf &amp; Country Club for the benefit of Bellini. These transactions are detailed in Exhibit C of the SEC enforcement referral notice and reflect an attempt to obstruct the examination process by concealing relevant information from regulatory scrutiny. The involvement of Ostrowski as a 40% owner underscores his role in facilitating these payments, which were intended to shield Bellini from potential discovery during the investigation.</w:t>
      </w:r>
    </w:p>
    <w:p>
      <w:r>
        <w:t>The payments made by Ostrowski are significant, amounting to $92,600 in undisclosed compensation received by Bellini. This sum is part of a broader pattern of conduct that includes the failure to disclose excess profits and commissions paid to Lakeshore Trading LLC, totaling $8,622,000 in total alleged ill-gotten gains or client harm. The involvement of Ostrowski in these transactions highlights his complicity in obstructive activities aimed at protecting Bellini from regulatory scrutiny.</w:t>
      </w:r>
    </w:p>
    <w:p>
      <w:r>
        <w:t>The beneficiaries of these payments include Bellini and Crescent Bay Municipal Pension Fund, a client harmed by the cherry-picking pattern orchestrated to benefit Bellini's undisclosed interests. This conduct not only breaches fiduciary duties but also undermines transparency and accountability within the firm, leading to substantial harm for clients such as Crescent Bay Municipal Pension Fund.</w:t>
      </w:r>
    </w:p>
    <w:p>
      <w:r>
        <w:t>In summary, Kevin Ostrowski’s payments to Bayshore Palms Golf &amp; Country Club on behalf of Bellini constitute a significant element in the broader scheme of obstructive conduct during the examination. The involvement of these transactions underscores the extent of regulatory violations and the resulting exposure for all parties involved, particularly Bellini and Lakeshore Trading LLC.</w:t>
      </w:r>
    </w:p>
    <w:p>
      <w:r>
        <w:t>Key figures:</w:t>
      </w:r>
    </w:p>
    <w:p>
      <w:pPr>
        <w:pStyle w:val="ListBullet"/>
      </w:pPr>
      <w:r>
        <w:t>02/28/2023 03/01/2023 Wire Transfer Lakeshore Trading LLC Owner: $15,000.00 (ostrowski-bank-records-exhibit.xlsx)</w:t>
      </w:r>
    </w:p>
    <w:p>
      <w:pPr>
        <w:pStyle w:val="ListBullet"/>
      </w:pPr>
      <w:r>
        <w:t>figure: $93,643.23 (ostrowski-bank-records-exhibit.xlsx)</w:t>
      </w:r>
    </w:p>
    <w:p>
      <w:pPr>
        <w:pStyle w:val="ListBullet"/>
      </w:pPr>
      <w:r>
        <w:t>figure: $88,843.23 (ostrowski-bank-records-exhibit.xlsx)</w:t>
      </w:r>
    </w:p>
    <w:p>
      <w:pPr>
        <w:pStyle w:val="Heading2"/>
      </w:pPr>
      <w:r>
        <w:t>Individual Exposure</w:t>
      </w:r>
    </w:p>
    <w:p>
      <w:r>
        <w:t>Consolidated exposure by respondent:</w:t>
      </w:r>
    </w:p>
    <w:p>
      <w:pPr>
        <w:pStyle w:val="ListBullet"/>
      </w:pPr>
      <w:r>
        <w:t>Whitmore, Chao — Diana L. Chao is Head of Trading who was directly responsible for allocation decisions; Diana L. Chao personally benefited from cherry-picking pattern through favorable allocations to her personal account; Diana L. Chao failed to ensure disclosure of her personal trading account; Diana L. Chao is Head of Trading primarily responsible for trade execution and allocation records; Chao personal brokerage account holder; WCA failed to capture and monitor the allocation of omnibus fills to Chao's personal brokerage account. Grounded figures on record: 81.6%; 68.4%; $438,000; $162,000; $189,000; $87,000; $8,238,000.</w:t>
      </w:r>
    </w:p>
    <w:p>
      <w:pPr>
        <w:pStyle w:val="ListBullet"/>
      </w:pPr>
      <w:r>
        <w:t>Gerald R. Whitmore — Gerald R. Whitmore benefited through 12% limited partnership interest in Oceanic Fund I LP (12%); Gerald R. Whitmore exercised oversight over allocation practices; Gerald R. Whitmore is ultimately responsible for the accuracy of the Firm's regulatory filings; Gerald R. Whitmore has compliance oversight responsibility; Gerald R. Whitmore is responsible for the Firm's recordkeeping infrastructure; Gerald R. Whitmore directly instructed the deletion of trade allocation records. Grounded figures on record: 12%; $58 million; $8,238,000; $92,600; $291,400; $8,622,000; 62%; $2.3 billion.</w:t>
      </w:r>
    </w:p>
    <w:p>
      <w:pPr>
        <w:pStyle w:val="ListBullet"/>
      </w:pPr>
      <w:r>
        <w:t>Marcus T. Bellini — Bellini portfolio manager, breached fiduciary duty; Crescent Bay Municipal Pension Fund client of Bellini; Bellini directed client trades to a broker-dealer in which a close personal associate held a significant ownership interest without disclosure; Bellini received undisclosed personal compensation; Bellini beneficiary of payments made by Kevin Ostrowski to Bayshore Palms Golf &amp; Country Club; Kevin Ostrowski made payments to for the benefit of Bellini. Grounded figures on record: $92,600; $45,000.00; $2,800.00; $22,400.00; $33,600.00; $58,800.00; $103,800.00; 47%.</w:t>
      </w:r>
    </w:p>
    <w:p>
      <w:pPr>
        <w:pStyle w:val="ListBullet"/>
      </w:pPr>
      <w:r>
        <w:t>Kevin Ostrowski — Kevin Ostrowski 40% owner of Lakeshore Trading LLC (40%); Bellini beneficiary of payments made by Kevin Ostrowski to Bayshore Palms Golf &amp; Country Club; Kevin Ostrowski is 40% owner of Lakeshore Trading LLC; Kevin Ostrowski made payments to for the benefit of Bellini; Bellini receiving compensation quantifiedAs compensation from Kevin Ostrowski; Kevin Ostrowski payments committedBy Kevin Ostrowski. Grounded figures on record: 40%; $92,600; $45,000.00; $2,800.00; $22,400.00; $33,600.00; $58,800.00; $103,800.00.</w:t>
      </w:r>
    </w:p>
    <w:p>
      <w:pPr>
        <w:pStyle w:val="Heading2"/>
      </w:pPr>
      <w:r>
        <w:t>Conclusion and Posture</w:t>
      </w:r>
    </w:p>
    <w:p>
      <w:r>
        <w:t>In conclusion, the allegations against Whitmore Capital Advisors LLC (WCA) reveal systemic compliance failures that have resulted in significant harm to clients and potential regulatory violations. The firm’s cherry-picking of profitable trades for favored accounts, particularly Oceanic Fund I LP and Diana L. Chao's personal account, demonstrates a clear breach of fiduciary duty under Section 209(e) of the Advisers Act. Additionally, WCA’s outdated and inadequate compliance manual failed to prevent these practices, as it lacked necessary procedures for omnibus trade allocations and did not restrict employees from receiving such allocations in their personal accounts.</w:t>
      </w:r>
    </w:p>
    <w:p>
      <w:r>
        <w:t>The firm's failure to maintain contemporaneous allocation records further exacerbates these issues, undermining its ability to demonstrate fair trade practices. Moreover, the undisclosed compensation received by Marcus T. Bellini from Kevin Ostrowski highlights additional conflicts of interest that were not disclosed to clients, leading to increased transaction costs and financial harm.</w:t>
      </w:r>
    </w:p>
    <w:p>
      <w:r>
        <w:t>Given the extensive nature of these violations, WCA faces significant legal risks, including potential enforcement actions by the SEC, substantial fines, and reputational damage. The firm must urgently address these compliance deficiencies through comprehensive policy updates, enhanced oversight mechanisms, and full cooperation with regulatory authorities to mitigate further harm and restore client trust.</w:t>
      </w:r>
    </w:p>
    <w:p>
      <w:r>
        <w:t>The recommended next steps include a thorough review and revision of WCA’s compliance manual to ensure adherence to current regulatory standards, implementation of robust record-keeping practices, and transparent disclosure of any conflicts of interest. Additionally, WCA should consider proactive measures such as external audits and enhanced training for employees to prevent future violations.</w:t>
      </w:r>
    </w:p>
    <w:p>
      <w:pPr>
        <w:pStyle w:val="Heading2"/>
      </w:pPr>
      <w:r>
        <w:t>Deviations Identified</w:t>
      </w:r>
    </w:p>
    <w:p>
      <w:r>
        <w:t>Where the draft documents deviate from the client's instructions — each should be corrected:</w:t>
      </w:r>
    </w:p>
    <w:p>
      <w:pPr>
        <w:pStyle w:val="ListBullet"/>
      </w:pPr>
      <w:r>
        <w:t>OMISSION (low severity) — The document states that Whitmore holds a 12% limited partnership interest in Oceanic Fund I LP, but there is no requirement specified in the CONTROLLING SOURCE for this percentage. Recommended correction: No action needed as there is no specific requirement from the CONTROLLING SOURCE.</w:t>
      </w:r>
    </w:p>
    <w:p>
      <w:pPr>
        <w:pStyle w:val="ListBullet"/>
      </w:pPr>
      <w:r>
        <w:t>OMISSION (high severity) — The CONTROLLING SOURCE requires a profitable allocation rate for Oceanic Fund I LP, but the DOCUMENT UNDER REVIEW does not specify this rate; instead, it mentions that Oceanic Fund I LP receives allocations of same-day profitable trades at a rate of 68.4%, which is significantly higher than other client accounts. Recommended correction: Specify the required profitable allocation rate for Oceanic Fund I LP as per the CONTROLLING SOURCE.</w:t>
      </w:r>
    </w:p>
    <w:p>
      <w:pPr>
        <w:pStyle w:val="ListBullet"/>
      </w:pPr>
      <w:r>
        <w:t>OMISSION (high severity) — The document specifies a 15% performance allocation above a 5% preferred return hurdle, but it omits the required 20% performance allocation above a 6% preferred return hurdle for WCA Strategic Credit Fund LP. Recommended correction: Implement a provision stating that WCA Strategic Credit Fund LP is subject to an incentive allocation equal to twenty percent (20%) of net new profits above a six percent (6%) annualized preferred return, subject to a high-water mark.</w:t>
      </w:r>
    </w:p>
    <w:p>
      <w:pPr>
        <w:pStyle w:val="ListBullet"/>
      </w:pPr>
      <w:r>
        <w:t>OMISSION (high severity) — The document requires employees to pre-clear trades in individual securities but omits a provision requiring pre-clearance of trade allocations received from the Firm's omnibus trading account, which creates a risk that such allocations may not be reviewed for conflicts of interest. Recommended correction: Add a provision to Section 9.1 stating that employees must obtain pre-clearance and approval from the Chief Compliance Officer before receiving any trade allocations from the Firm's omnibus trading account in their personal brokerage accounts.</w:t>
      </w:r>
    </w:p>
    <w:p>
      <w:pPr>
        <w:pStyle w:val="ListBullet"/>
      </w:pPr>
      <w:r>
        <w:t>OMISSION (high severity) — The document under review does not implement the requirement to create and maintain contemporaneous records of trade allocation decisions as required by Rule 204-2(a)(3). This omission creates a risk that regulators cannot fully reconstruct the allocation decision-making process. Recommended correction: Implement a policy requiring the creation and maintenance of contemporaneous records for each order given for the purchase or sale of any security, including details such as terms and conditions, time of entry and execution, price, and allocation among client accounts.</w:t>
      </w:r>
    </w:p>
    <w:p>
      <w:pPr>
        <w:pStyle w:val="ListBullet"/>
      </w:pPr>
      <w:r>
        <w:t>OMISSION (high severity) — The document does not include an independent annual compliance review that tests trade allocation patterns, which is required by Rule 206(4)-7 under the Investment Advisers Act of 1940. Recommended correction: Implement an independent annual compliance review that includes testing and analysis of trade allocation patterns to ensure adherence to pro rata methodology and absence of favoritism.</w:t>
      </w:r>
    </w:p>
    <w:p>
      <w:pPr>
        <w:pStyle w:val="Heading2"/>
      </w:pPr>
      <w:r>
        <w:t>Discrepancies and Defense Issues</w:t>
      </w:r>
    </w:p>
    <w:p>
      <w:r>
        <w:t>Defense issues raised by the charges and the record — elements that must be proven, exposure beyond the civil counts, and timing defenses:</w:t>
      </w:r>
    </w:p>
    <w:p>
      <w:pPr>
        <w:pStyle w:val="ListBullet"/>
      </w:pPr>
      <w:r>
        <w:t>The referral charges BOTH Section 206(1) — which requires scienter (intent) — AND Section 206(2) — which requires only negligence. This distinction is material to the defense: the 206(1) count can be contested on scienter grounds even where the negligence-based 206(2) count may stand on the same facts.</w:t>
      </w:r>
    </w:p>
    <w:p>
      <w:pPr>
        <w:pStyle w:val="ListBullet"/>
      </w:pPr>
      <w:r>
        <w:t>Scienter mapping — Section 206(1) requires scienter (intent to defraud, or recklessness) while Section 206(2) requires only negligence; each alleged conduct must be mapped to the mental state it is charged under:</w:t>
      </w:r>
    </w:p>
    <w:p>
      <w:pPr>
        <w:pStyle w:val="ListBullet"/>
      </w:pPr>
      <w:r>
        <w:t>Diana L. Chao: the charging document does NOT specify whether this conduct is charged under Section 206(1) (scienter (intent to defraud, or recklessness)) or only Section 206(2) (negligence).</w:t>
      </w:r>
    </w:p>
    <w:p>
      <w:pPr>
        <w:pStyle w:val="ListBullet"/>
      </w:pPr>
      <w:r>
        <w:t>Gerald R. Whitmore: the charging document does NOT specify whether this conduct is charged under Section 206(1) (scienter (intent to defraud, or recklessness)) or only Section 206(2) (negligence).</w:t>
      </w:r>
    </w:p>
    <w:p>
      <w:pPr>
        <w:pStyle w:val="ListBullet"/>
      </w:pPr>
      <w:r>
        <w:t>individual high-net-worth discretionary account holders: the charging document does NOT specify whether this conduct is charged under Section 206(1) (scienter (intent to defraud, or recklessness)) or only Section 206(2) (negligence).</w:t>
      </w:r>
    </w:p>
    <w:p>
      <w:pPr>
        <w:pStyle w:val="ListBullet"/>
      </w:pPr>
      <w:r>
        <w:t>WCA: the charging document does NOT specify whether this conduct is charged under Section 206(1) (scienter (intent to defraud, or recklessness)) or only Section 206(2) (negligence).</w:t>
      </w:r>
    </w:p>
    <w:p>
      <w:pPr>
        <w:pStyle w:val="ListBullet"/>
      </w:pPr>
      <w:r>
        <w:t>WCA engaging in cherry-picking trade allocations: the charging document ties this conduct to Section 206(1), so scienter (intent to defraud, or recklessness) must be proven for it.</w:t>
      </w:r>
    </w:p>
    <w:p>
      <w:pPr>
        <w:pStyle w:val="ListBullet"/>
      </w:pPr>
      <w:r>
        <w:t>favoringOceanicFund: the charging document does NOT specify whether this conduct is charged under Section 206(1) (scienter (intent to defraud, or recklessness)) or only Section 206(2) (negligence).</w:t>
      </w:r>
    </w:p>
    <w:p>
      <w:pPr>
        <w:pStyle w:val="ListBullet"/>
      </w:pPr>
      <w:r>
        <w:t>favoringChaoAccount: the charging document does NOT specify whether this conduct is charged under Section 206(1) (scienter (intent to defraud, or recklessness)) or only Section 206(2) (negligence).</w:t>
      </w:r>
    </w:p>
    <w:p>
      <w:pPr>
        <w:pStyle w:val="ListBullet"/>
      </w:pPr>
      <w:r>
        <w:t>favoringOceanicFundAndChaoAccount: the charging document does NOT specify whether this conduct is charged under Section 206(1) (scienter (intent to defraud, or recklessness)) or only Section 206(2) (negligence).</w:t>
      </w:r>
    </w:p>
    <w:p>
      <w:pPr>
        <w:pStyle w:val="ListBullet"/>
      </w:pPr>
      <w:r>
        <w:t>WCA's failure to maintain contemporaneous allocation records: the charging document does NOT specify whether this conduct is charged under Section 206(1) (scienter (intent to defraud, or recklessness)) or only Section 206(2) (negligence).</w:t>
      </w:r>
    </w:p>
    <w:p>
      <w:pPr>
        <w:pStyle w:val="ListBullet"/>
      </w:pPr>
      <w:r>
        <w:t>WCA's failure to retain written communications: the charging document does NOT specify whether this conduct is charged under Section 206(1) (scienter (intent to defraud, or recklessness)) or only Section 206(2) (negligence).</w:t>
      </w:r>
    </w:p>
    <w:p>
      <w:pPr>
        <w:pStyle w:val="ListBullet"/>
      </w:pPr>
      <w:r>
        <w:t>Bellini directing client trades: the charging document ties this conduct to Section 206(1), so scienter (intent to defraud, or recklessness) must be proven for it.</w:t>
      </w:r>
    </w:p>
    <w:p>
      <w:pPr>
        <w:pStyle w:val="ListBullet"/>
      </w:pPr>
      <w:r>
        <w:t>Bellini receiving compensation: the charging document ties this conduct to Section 206(1), so scienter (intent to defraud, or recklessness) must be proven for it.</w:t>
      </w:r>
    </w:p>
    <w:p>
      <w:r>
        <w:t>Where the charging document leaves the mapping unspecified (9 of 12 conducts above), that ambiguity is itself a defense point: demand that the Division commit to which conduct supports the scienter-based count, and contest scienter (intent to defraud, or recklessness) as to any conduct it attributes to Section 206(1).</w:t>
      </w:r>
    </w:p>
    <w:p>
      <w:pPr>
        <w:pStyle w:val="ListBullet"/>
      </w:pPr>
      <w:r>
        <w:t>Section 206(1) of the Advisers Act requires proof of SCIENTER (intent to defraud or reckless disregard for the truth). Unlike Section 206(2), a mere negligence showing is insufficient, so the scienter element is a primary defense point on the 206(1) charge.</w:t>
      </w:r>
    </w:p>
    <w:p>
      <w:pPr>
        <w:pStyle w:val="ListBullet"/>
      </w:pPr>
      <w:r>
        <w:t>Section 206(2) requires only NEGLIGENCE, not scienter — a lower bar than Section 206(1). The same conduct may sustain a 206(2) claim even where intent for 206(1) cannot be established.</w:t>
      </w:r>
    </w:p>
    <w:p>
      <w:pPr>
        <w:pStyle w:val="ListBullet"/>
      </w:pPr>
      <w:r>
        <w:t>Section 207 (materially false or misleading statements in a filing) requires the misstatement to have been made WILLFULLY — a state-of-mind element the defense can contest on the Form ADV disclosures.</w:t>
      </w:r>
    </w:p>
    <w:p>
      <w:pPr>
        <w:pStyle w:val="ListBullet"/>
      </w:pPr>
      <w:r>
        <w:t>The books-and-records charge under Rule 204-2 is a strict-liability recordkeeping requirement — intent is not an element, so it is among the harder allegations to defend on the merits and easier to concede while contesting the fraud counts.</w:t>
      </w:r>
    </w:p>
    <w:p>
      <w:pPr>
        <w:pStyle w:val="ListBullet"/>
      </w:pPr>
      <w:r>
        <w:t>The alleged obstruction / records destruction carries PARALLEL CRIMINAL exposure beyond the civil counts: 18 U.S.C. § 1519 (destroying, altering, or falsifying records with intent to impede, obstruct, or influence the investigation or proper administration of any matter within federal agency jurisdiction — a felony carrying up to 20 years; § 1519 reaches conduct 'in relation to or in contemplation of' such a matter, so no proceeding need have been pending) and 18 U.S.C. § 1505 (corruptly obstructing a pending federal agency proceeding, such as an SEC examination — up to 5 years). SEC Enforcement routinely refers obstruction and spoliation conduct to DOJ under parallel-proceedings practice; counsel should assume a criminal referral is possible, evaluate Fifth Amendment implications for any individual testimony, and coordinate the Wells / examination response accordingly.</w:t>
      </w:r>
    </w:p>
    <w:p>
      <w:pPr>
        <w:pStyle w:val="ListBullet"/>
      </w:pPr>
      <w:r>
        <w:t>SEC civil monetary penalties are subject to the five-year statute of limitations under 28 U.S.C. § 2462. Any conduct occurring more than five years before the action is commenced may be time-barred for penalty purposes (disgorgement runs on a separate clock), so the Review-Period dates should be checked against the filing date.</w:t>
      </w:r>
    </w:p>
    <w:p>
      <w:pPr>
        <w:pStyle w:val="ListBullet"/>
      </w:pPr>
      <w:r>
        <w:t>Diana L. Chao — the record dates this conduct to 2014; under 28 U.S.C. § 2462 the five-year civil-penalty window for it closes around the end of 2019.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Diana L. Chao — the record dates this conduct to 2008; under 28 U.S.C. § 2462 the five-year civil-penalty window for it closes around the end of 2013.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Gerald R. Whitmore — the record dates this conduct to September 15, 2023; under 28 U.S.C. § 2462 the five-year civil-penalty window for it closes around September 2028.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Gerald R. Whitmore — the record dates this conduct to December 31, 2023; under 28 U.S.C. § 2462 the five-year civil-penalty window for it closes around December 2028.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Gerald R. Whitmore — the record dates this conduct to 2009; under 28 U.S.C. § 2462 the five-year civil-penalty window for it closes around the end of 2014.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Gerald R. Whitmore — the record dates this conduct to 2001; under 28 U.S.C. § 2462 the five-year civil-penalty window for it closes around the end of 2006.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Steelman the innocent reading — the record quotes the instruction "Lakeshore Trading"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pPr>
        <w:pStyle w:val="ListBullet"/>
      </w:pPr>
      <w:r>
        <w:t>Steelman the innocent reading — the record quotes the instruction "Delgado"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pPr>
        <w:pStyle w:val="ListBullet"/>
      </w:pPr>
      <w:r>
        <w:t>Steelman the innocent reading — the record quotes the instruction "clean up the shared drive"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r>
        <w:t>The following figures conflict across the record. Each is a potential defense point — the inconsistency should be raised and its significance assessed, not silently reconciled:</w:t>
      </w:r>
    </w:p>
    <w:p>
      <w:pPr>
        <w:pStyle w:val="ListBullet"/>
      </w:pPr>
      <w:r>
        <w:t>Review Period Start Date, review period start date: January 1, 2023 (hargrove-tilton-compliance-review-2023.docx); 12% (sec-enforcement-referral-notice.docx); March 11, 2024 (sec-enforcement-referral-notice.docx). The different dates (January 1, 2023 and March 11, 2024) represent distinct events - the start of the review period for compliance issues versus the commencement of an SEC examination, which are not directly related but could indicate a timeline issue affecting the defense's narrative on awareness or compliance efforts..</w:t>
      </w:r>
    </w:p>
    <w:p>
      <w:pPr>
        <w:pStyle w:val="ListBullet"/>
      </w:pPr>
      <w:r>
        <w:t>Review Period End Date, review period end date: November 30, 2023 (hargrove-tilton-compliance-review-2023.docx); November 4, 2022 (hargrove-tilton-compliance-review-2023.docx); March 31, 2023 (wca-compliance-manual-excerpts.docx). The different dates suggest confusion about the specific period being reviewed for compliance, which could impact the defense's argument regarding timely and thorough review of compliance issues..</w:t>
      </w:r>
    </w:p>
    <w:p>
      <w:pPr>
        <w:pStyle w:val="ListBullet"/>
      </w:pPr>
      <w:r>
        <w:t>Business Continuity Plan, count: 18 (hargrove-tilton-compliance-review-2023.docx); 12 (hargrove-tilton-compliance-review-2023.docx). The different counts for the business continuity plan's update period could indicate confusion about the timeline, impacting the defense's argument regarding the recency and adherence to compliance requirements..</w:t>
      </w:r>
    </w:p>
    <w:p>
      <w:pPr>
        <w:pStyle w:val="ListBullet"/>
      </w:pPr>
      <w:r>
        <w:t>Whitmore, ownership interest percentage: 62% (sec-enforcement-referral-notice.docx); 47% (sec-enforcement-referral-notice.docx). The discrepancy in Whitmore's ownership interest percentage is significant for the defense as it could indicate confusion or errors in record-keeping, which may affect claims of scienter and overall credibility..</w:t>
      </w:r>
    </w:p>
    <w:p>
      <w:pPr>
        <w:pStyle w:val="ListBullet"/>
      </w:pPr>
      <w:r>
        <w:t>WCA, omnibus trade count: "7,912" (sec-enforcement-referral-notice.docx); "5,776" (sec-enforcement-referral-notice.docx); 5,776 (sec-enforcement-referral-notice.docx); 7,912 (sec-enforcement-referral-notice.docx). The discrepancy between the trade counts (5,776 vs. 7,912) could impact the defense's argument regarding the scope and nature of trades executed through omnibus accounts, affecting issues such as scienter or compliance with regulatory requirements..</w:t>
      </w:r>
    </w:p>
    <w:p>
      <w:pPr>
        <w:pStyle w:val="ListBullet"/>
      </w:pPr>
      <w:r>
        <w:t>WCA, omnibus trade percentage: "73%" (sec-enforcement-referral-notice.docx); 73% (sec-enforcement-referral-notice.docx); "78%" (sec-quantitative-analysis-summary.xlsx). The discrepancy between 73% and 78% for the omnibus trade percentage could undermine the credibility of the analysis and referral notice if one is presented as more accurate than the other..</w:t>
      </w:r>
    </w:p>
    <w:p>
      <w:pPr>
        <w:pStyle w:val="ListBullet"/>
      </w:pPr>
      <w:r>
        <w:t>trades, undisclosed compensation total: $48.7 million (sec-enforcement-referral-notice.docx); $92,600 (sec-enforcement-referral-notice.docx). The discrepancy between $48.7 million and $92,600 for undisclosed compensation is significant as it could affect the defense's argument regarding the materiality of the compensation received and the intent behind the actions..</w:t>
      </w:r>
    </w:p>
    <w:p>
      <w:pPr>
        <w:pStyle w:val="ListBullet"/>
      </w:pPr>
      <w:r>
        <w:t>Revere Pharma (RVPH), trade value: "$1,704,000" (sec-quantitative-analysis-summary.xlsx); "$1,372,500" (sec-quantitative-analysis-summary.xlsx); "$972,000" (sec-quantitative-analysis-summary.xlsx). The different trade values for Revere Pharma (RVPH) suggest potential discrepancies in the reported transactions which could impact the defense's case regarding the accuracy and consistency of financial reporting..</w:t>
      </w:r>
    </w:p>
    <w:p>
      <w:pPr>
        <w:pStyle w:val="ListBullet"/>
      </w:pPr>
      <w:r>
        <w:t>Oceanic Fund I LP, managed assets total: $185 million (sec-enforcement-referral-notice.docx) vs $92 million (sec-enforcement-referral-notice.docx) vs $2.3 billion (wca-form-adv-part2a-march2023.docx). The significant difference in the reported total managed assets of Oceanic Fund I LP ($185 million vs $92 million vs $2.3 billion) could impact the credibility of the figures presented and thus the exposure or defenses related to the scale and scope of mismanagement or compliance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