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Allocation Defense Trading Personal</w:t>
      </w:r>
    </w:p>
    <w:p>
      <w:r>
        <w:t>The June 2022 $12,500 wire from Lakeshore Trading to Ostrowski labeled as a "Q2 bonus" coincides with the start of Bellini's directed trading, providing temporal evidence that Ostrowski's compensation from Lakeshore increased during the period the firm received directed order flow, which the SEC will argue reflects a quid pro quo arrangement. The December 2023 $15,000 wire from Lakeshore Trading to Ostrowski occurs at the end of the directed brokerage period, demonstrating the financial arrangement continued throughout the scheme's duration and supporting the SEC's characterization of an ongoing, structured compensation pattern rather than isolated transactions. The October 2022 $15,000 wire from Lakeshore Trading to Ostrowski, combined with the same-month Bellini golf dues payment, creates a circumstantial chain showing Lakeshore's owner distributions to Ostrowski and Ostrowski's payments on behalf of Bellini occurring in close temporal proximity, which the SEC will argue evidences a pass-through compensation arrangement. The November 2023 $15,000 wire from Lakeshore Trading to Ostrowski further establishes the regularity of owner distributions during the directed brokerage period, with the consistent $15,000 amount suggesting a structured arrangement that the defense will need to explain as legitimate owner compensation unrelated to the directed order flow.</w:t>
      </w:r>
    </w:p>
    <w:p>
      <w:r>
        <w:t>The October 2023 $15,000 wire from Lakeshore Trading to Ostrowski, occurring in the final months of the directed brokerage period, maintains the pattern of regular distributions and supports the SEC's timeline showing continuous financial benefit to Lakeshore's principal throughout the 18-month scheme. The Form ADV Part 2A Item 6 heading confirms WCA represented on performance-based fees and side-by-side management, establishing the disclosure section where the pro rata allocation representation was made, and the defense must obtain the full Item 6 text to assess whether any qualifying language or risk disclosures might mitigate the materiality of the alleged misrepresentation.</w:t>
      </w:r>
    </w:p>
    <w:p>
      <w:r>
        <w:t>Key figures:</w:t>
      </w:r>
    </w:p>
    <w:p>
      <w:pPr>
        <w:pStyle w:val="ListBullet"/>
      </w:pPr>
      <w:r>
        <w:t>06/15/2022 06/15/2022 Wire Transfer Lakeshore Trading LLC: $12,500.00 (ostrowski-bank-records-exhibit.xlsx)</w:t>
      </w:r>
    </w:p>
    <w:p>
      <w:pPr>
        <w:pStyle w:val="ListBullet"/>
      </w:pPr>
      <w:r>
        <w:t>12/29/2023 12/29/2023 Wire Transfer Lakeshore Trading LLC Owner: $15,000.00 (ostrowski-bank-records-exhibit.xlsx)</w:t>
      </w:r>
    </w:p>
    <w:p>
      <w:pPr>
        <w:pStyle w:val="ListBullet"/>
      </w:pPr>
      <w:r>
        <w:t>Diana L. Chao Personal Account (Acct ending -7823) Employee: 81.6% (sec-quantitative-analysis-summary.xlsx)</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Allocation Defense Trading Personal</w:t>
      </w:r>
    </w:p>
    <w:p>
      <w:pPr>
        <w:pStyle w:val="Heading2"/>
      </w:pPr>
      <w:r>
        <w:t>Discrepancies and Defense Issues</w:t>
      </w:r>
    </w:p>
    <w:p>
      <w:r>
        <w:t>Defense issues raised by the charges and the record — elements that must be proven, exposure beyond the civil counts, and timing defenses:</w:t>
      </w:r>
    </w:p>
    <w:p>
      <w:pPr>
        <w:pStyle w:val="ListBullet"/>
      </w:pPr>
      <w:r>
        <w:t>Section 206(2) requires only NEGLIGENCE, not scienter — a lower bar than Section 206(1). The same conduct may sustain a 206(2) claim even where intent for 206(1) cannot be established.</w:t>
      </w:r>
    </w:p>
    <w:p>
      <w:pPr>
        <w:pStyle w:val="ListBullet"/>
      </w:pPr>
      <w:r>
        <w:t>Section 207 (materially false or misleading statements in a filing) requires the misstatement to have been made WILLFULLY — a state-of-mind element the defense can contest on the Form ADV disclosures.</w:t>
      </w:r>
    </w:p>
    <w:p>
      <w:pPr>
        <w:pStyle w:val="ListBullet"/>
      </w:pPr>
      <w:r>
        <w:t>The books-and-records charge under Rule 204-2 is a strict-liability recordkeeping requirement — intent is not an element, so it is among the harder allegations to defend on the merits and easier to concede while contesting the fraud counts.</w:t>
      </w:r>
    </w:p>
    <w:p>
      <w:pPr>
        <w:pStyle w:val="ListBullet"/>
      </w:pPr>
      <w:r>
        <w:t>The alleged obstruction / records destruction carries PARALLEL CRIMINAL exposure beyond the civil counts: 18 U.S.C. § 1519 (destroying, altering, or falsifying records with intent to impede, obstruct, or influence the investigation or proper administration of any matter within federal agency jurisdiction — a felony carrying up to 20 years; § 1519 reaches conduct 'in relation to or in contemplation of' such a matter, so no proceeding need have been pending) and 18 U.S.C. § 1505 (corruptly obstructing a pending federal agency proceeding, such as an SEC examination — up to 5 years). SEC Enforcement routinely refers obstruction and spoliation conduct to DOJ under parallel-proceedings practice; counsel should assume a criminal referral is possible, evaluate Fifth Amendment implications for any individual testimony, and coordinate the Wells / examination response accordingly.</w:t>
      </w:r>
    </w:p>
    <w:p>
      <w:pPr>
        <w:pStyle w:val="ListBullet"/>
      </w:pPr>
      <w:r>
        <w:t>SEC civil monetary penalties are subject to the five-year statute of limitations under 28 U.S.C. § 2462. Any conduct occurring more than five years before the action is commenced may be time-barred for penalty purposes (disgorgement runs on a separate clock), so the Review-Period dates should be checked against the filing date.</w:t>
      </w:r>
    </w:p>
    <w:p>
      <w:pPr>
        <w:pStyle w:val="ListBullet"/>
      </w:pPr>
      <w:r>
        <w:t>Steelman the innocent reading — the record quotes the instruction "Lakeshore Trading"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pPr>
        <w:pStyle w:val="ListBullet"/>
      </w:pPr>
      <w:r>
        <w:t>Steelman the innocent reading — the record quotes the instruction "Delgado"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pPr>
        <w:pStyle w:val="ListBullet"/>
      </w:pPr>
      <w:r>
        <w:t>Steelman the innocent reading — the record quotes the instruction "clean up the shared drive"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