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Trust Estate</w:t>
      </w:r>
    </w:p>
    <w:p>
      <w:r>
        <w:t>The draft revocable trust and pour-over will deviate from the client's instructions in several key areas related to the Trust Estate. According to Section 1.3 of the draft revocable trust, the initial Trust Estate is intended to consist of property described in Schedule A attached hereto. However, the draft documents do not explicitly exclude certain financial assets such as the Individual Retirement Account (IRA) at Pinnacle Wealth Management with account number PWM-IRA-6619 and the Irrevocable Life Insurance Trust (ILIT). The IRA is specifically excluded from the trust corpus per Peggy's instructions and passes by beneficiary designation rather than through the terms of the trust or will. The total gross estate value, excluding the ILIT, is exactly $23,700,000. Additionally, the IRA is valued at $2,400,000 as specified in Peggy’s instructions.</w:t>
      </w:r>
    </w:p>
    <w:p>
      <w:r>
        <w:t>The draft documents do not address these specific exclusions, which are critical to ensure compliance with Peggy’s wishes regarding her financial assets. The estimated fair market value of initial tangible personal property, including jewelry and art collections, amounts to approximately $940,000. This figure is crucial for the accurate valuation of the trust estate and should be included in the draft documents with precise details from the exhibit.</w:t>
      </w:r>
    </w:p>
    <w:p>
      <w:r>
        <w:t>The total value of assets to be funded into the trust is exactly $21,300,000, which excludes the IRA valued at $2,400,000. The draft documents need to align with this calculation to ensure that all relevant assets are accurately accounted for within the trust framework.</w:t>
      </w:r>
    </w:p>
    <w:p>
      <w:r>
        <w:t>Additionally, the draft includes provisions for setting aside Two Hundred Thousand Dollars ($200,000) per qualifying grandchild from the residuary estate to create a supplemental education trust and distributing One Hundred Fifty Thousand Dollars ($150,000) to Eleanor Davenport, Peggy's sister. These allocations must be clearly defined in the documents to avoid any ambiguity or misinterpretation regarding the distribution of funds among beneficiaries.</w:t>
      </w:r>
    </w:p>
    <w:p>
      <w:r>
        <w:t>Furthermore, the draft includes provisions for Tommy’s share, which constitutes 30% of the residuary estate, as well as a detailed description of the real property located at 1192 Lakeshore Drive, Unit B, South Lake. Ensuring these allocations are accurately reflected is essential for maintaining Peggy's intended distribution plan.</w:t>
      </w:r>
    </w:p>
    <w:p>
      <w:r>
        <w:t>The no-contest clause in the trust agreement must comply with California Probate Code §§21310–21315 to ensure enforceability and protection against direct contests without probable cause. Additionally, it should include a specific reference to §21205 regarding the 90-year vesting period.</w:t>
      </w:r>
    </w:p>
    <w:p>
      <w:r>
        <w:t>Section 8.1 of the draft revocable trust defines the Residuary Estate as all assets not otherwise effectively disposed of under Article VII, including any lapsed bequests and property acquired by or added to the Trust Estate after its date. However, Section 3.3 of the pour-over will covers lapsed or failed bequests, directing them to the acting Trustee according to Article 3, Section 3.1, which is not mirrored in the revocable trust document. This discrepancy may create a gap in asset distribution.</w:t>
      </w:r>
    </w:p>
    <w:p>
      <w:r>
        <w:t>Lastly, the draft documents should include standard provisions such as governing law, severability clauses, definitions of key terms, and perpetuities savings clauses consistent with California Probate Code §2Onyx205 to ensure legal clarity and enforceability within the trust framework. In summary, the draft revocable trust and pour-over will require significant revisions to accurately reflect Peggy's instructions regarding the exclusion of specific financial assets, precise allocation of funds among beneficiaries, statutory compliance, and inclusion of standard legal provisions.</w:t>
      </w:r>
    </w:p>
    <w:p>
      <w:pPr>
        <w:pStyle w:val="Heading2"/>
      </w:pPr>
      <w:r>
        <w:t>Trust Agreement</w:t>
      </w:r>
    </w:p>
    <w:p>
      <w:r>
        <w:t>The draft revocable trust agreement includes several provisions that align with the client's instructions and background summary. The Settlor, Peggy Davenport-Chen, is designated as both the initial Trustee and the Settlor of the Margaret Davenport-Chen Revocable Trust dated January 15, 2025. This designation ensures that Peggy retains control over the trust assets during her lifetime. The trust agreement requires a comprehensive appraisal for the jewelry collection owned by the Settlor as of the date of this Trust Agreement, including detailed descriptions and photographs to establish fair market valuation. Additionally, the trust mandates the disclosure of medical information upon authorization from Peggy, which is consistent with the client's instruction memo regarding HIPAA compliance. A significant deviation noted in the draft relates to the omission of Peggy’s individual retirement account at Pinnacle Wealth Management (Account Number PWM-IRA-6619), which has a current fair market value of approximately $2,400,000. This exclusion is consistent with the client's instruction memo and background summary, as the IRA is not part of the trust corpus and its beneficiary designations are being handled separately through a companion letter to Pinnacle Wealth Management. The draft also specifies that the Trust Estate includes all property, including the original trust corpus described in Schedule A and additions thereto, less any distributions or charges properly made against it. This aligns with Peggy’s intent to manage a flexible yet comprehensive estate plan that can adapt to future financial changes. Furthermore, the trust agreement establishes provisions for successor Trustees should Peggy be unable to continue serving as Trustee. This is an important safeguard to ensure continuity and proper management of the trust assets in the event of Peggy's incapacity or death. In summary, while the draft revocable trust agreement largely adheres to the client’s instructions, there are notable deviations such as the exclusion of Peggy’s individual retirement account at Pinnacle Wealth Management. This omission is consistent with the client's wishes and legal requirements but needs clear documentation in the companion letter to ensure all financial resources are properly managed outside the trust framework.</w:t>
      </w:r>
    </w:p>
    <w:p>
      <w:r>
        <w:t>Key figures:</w:t>
      </w:r>
    </w:p>
    <w:p>
      <w:pPr>
        <w:pStyle w:val="ListBullet"/>
      </w:pPr>
      <w:r>
        <w:t>(i) Brokerage Account held at Pinnacle Wealth Management: $7,200,000 (draft-revocable-trust.docx)</w:t>
      </w:r>
    </w:p>
    <w:p>
      <w:pPr>
        <w:pStyle w:val="Heading2"/>
      </w:pPr>
      <w:r>
        <w:t>Discretionary Distributions — Health, Education, Maintenance, and Support</w:t>
      </w:r>
    </w:p>
    <w:p>
      <w:r>
        <w:t>The draft revocable trust includes provisions for discretionary distributions to Sophia Davenport-Chen, which are intended to cover her health, education, maintenance, and support. Specifically, the trustee has discretion to distribute or apply such amounts of income and principal as deemed necessary or advisable for these purposes, in a manner consistent with Sophia's accustomed standard of living. However, this language introduces an additional requirement not specified in the client’s instruction memo, which could be seen as a deviation from the intended provisions. The draft also lacks explicit mention of generation-skipping transfer (GST) tax provisions and allocations, despite instructions to include these elements. This omission may leave gaps in addressing potential GST tax concerns related to transfers to skip persons, such as grandchildren through the Grandchildren's Education Trust described in Section IX. Additionally, the trust defines "beneficiary" broadly to encompass both current and remainder beneficiaries, aligning with the client’s instruction memo that mentions three adult children. This definition is consistent but does not address any specific GST tax provisions or allocations required by Peggy’s instructions. The discretionary distribution language for Sophia includes a spendthrift provision designed to provide maximum protection under California law. The trust will terminate when Sophia reaches age sixty (60), on October 8, 2040, at which point all remaining assets will be distributed outright and free of trust restrictions. If Sophia dies before this date, the distribution terms would apply accordingly. Furthermore, the draft includes provisions for distributions during the settlor's incapacity, allowing the trustee to distribute funds based on the settlor’s accustomed manner of living while considering other available resources. This aligns with Peggy’s instructions but does not address GST tax concerns or specific education trust set-asides that reduce the gross residuary before calculating the three-way percentage split among David, Sophia’s trust, and Tommy. In summary, while the draft revocable trust includes provisions for discretionary distributions and beneficiary definitions consistent with the client's wishes, it lacks explicit GST tax provisions and allocations as instructed. These omissions need to be addressed to ensure compliance with Peggy’s specific instructions regarding tax considerations and education funding for grandchildren.</w:t>
      </w:r>
    </w:p>
    <w:p>
      <w:r>
        <w:t>Key figures:</w:t>
      </w:r>
    </w:p>
    <w:p>
      <w:pPr>
        <w:pStyle w:val="ListBullet"/>
      </w:pPr>
      <w:r>
        <w:t>(c) Cash Bequest to Eleanor Davenport The sum of One Hundred: $150,000 (client-instruction-memo.docx)</w:t>
      </w:r>
    </w:p>
    <w:p>
      <w:pPr>
        <w:pStyle w:val="ListBullet"/>
      </w:pPr>
      <w:r>
        <w:t>with a current fair market value of approximately: $2,400,000 (client-instruction-memo.docx)</w:t>
      </w:r>
    </w:p>
    <w:p>
      <w:pPr>
        <w:pStyle w:val="ListBullet"/>
      </w:pPr>
      <w:r>
        <w:t>Balance approximately .: $890,000 (client-background-summary.docx)</w:t>
      </w:r>
    </w:p>
    <w:p>
      <w:pPr>
        <w:pStyle w:val="ListBullet"/>
      </w:pPr>
      <w:r>
        <w:t>(fair market value approximately Seven Million Two Hundred: $7,200,000 (draft-revocable-trust.docx)</w:t>
      </w:r>
    </w:p>
    <w:p>
      <w:pPr>
        <w:pStyle w:val="ListBullet"/>
      </w:pPr>
      <w:r>
        <w:t>(fair market value approximately Three Million Five Hundred: $3,570,000 (draft-revocable-trust.docx)</w:t>
      </w:r>
    </w:p>
    <w:p>
      <w:pPr>
        <w:pStyle w:val="ListBullet"/>
      </w:pPr>
      <w:r>
        <w:t>with a death benefit of One Million Dollars (): $1,000,000 (draft-revocable-trust.docx)</w:t>
      </w:r>
    </w:p>
    <w:p>
      <w:pPr>
        <w:pStyle w:val="ListBullet"/>
      </w:pPr>
      <w:r>
        <w:t>(e) Charitable Bequest to Stanford Scholarship Fund The sum of: $50,000 (client-instruction-memo.docx)</w:t>
      </w:r>
    </w:p>
    <w:p>
      <w:pPr>
        <w:pStyle w:val="ListBullet"/>
      </w:pPr>
      <w:r>
        <w:t>Residuary Estate Distribution After payment of all debts: 40% (client-instruction-memo.docx)</w:t>
      </w:r>
    </w:p>
    <w:p>
      <w:pPr>
        <w:pStyle w:val="Heading2"/>
      </w:pPr>
      <w:r>
        <w:t>Undistributed Income</w:t>
      </w:r>
    </w:p>
    <w:p>
      <w:r>
        <w:t>The draft revocable trust and pour-over will require adjustments to ensure compliance with the client's instructions regarding undistributed income. According to the instruction memo, undistributed income must be accumulated and added to the principal of the Sophia Trust. This requirement is critical for maintaining the integrity of the trust’s financial structure. The draft documents currently do not explicitly address the accumulation and addition of undistributed income to the principal. The revocable trust agreement specifies an estimated aggregate fair market value of approximately $21,300,000, which includes tangible personal property such as jewelry, art collections, household furnishings, and other items with a combined estimated fair market value of,000. Additionally, the draft documents must ensure that undistributed income is properly accounted for upon termination of the Sophia Trust. The instruction memo mandates that upon reaching age 55, Sophia Davenport-Chen will receive the entire remaining principal and undistributed income from the trust. This provision necessitates clear language in the trust agreement to facilitate accurate distribution. The draft documents should also exclude the individual retirement account (IRA) as a trust asset, adhering to the prohibition outlined in the Margaret Davenport-Chen Revocable Trust dated January 15, 2025. The IRA held at Pinnacle Wealth Management has a fair market value of $2,400,000 and is excluded from the trust’s assets. To ensure compliance with these requirements, the draft documents must be revised to include provisions for the accumulation and addition of undistributed income to the principal, as well as clear instructions for distribution upon termination. This will help prevent any ambiguity or legal issues related to the management and disposition of trust assets. The fair market value of certain assets such as property and financial accounts also needs to be accurately reflected in the documents. For instance, the fair market value of the Settlor's jewelry collection, art collection, household furnishings, and other tangible personal property is estimated at approximately $940,000. Additionally, other properties like a residential unit have an estimated fair market value of,800,000. These values must be accurately documented to ensure that all assets are properly accounted for in the trust agreement. This will help avoid any discrepancies or legal challenges related to asset valuation and distribution.</w:t>
      </w:r>
    </w:p>
    <w:p>
      <w:r>
        <w:t>Key figures:</w:t>
      </w:r>
    </w:p>
    <w:p>
      <w:pPr>
        <w:pStyle w:val="ListBullet"/>
      </w:pPr>
      <w:r>
        <w:t>Brokerage Account Institution: Pinnacle Wealth Management: $7,200,000 (draft-revocable-trust.docx)</w:t>
      </w:r>
    </w:p>
    <w:p>
      <w:pPr>
        <w:pStyle w:val="ListBullet"/>
      </w:pPr>
      <w:r>
        <w:t>1192 Lakeshore Drive, Unit B, South Lake Tahoe, California: $1,900,000 (client-instruction-memo.docx)</w:t>
      </w:r>
    </w:p>
    <w:p>
      <w:pPr>
        <w:pStyle w:val="ListBullet"/>
      </w:pPr>
      <w:r>
        <w:t>FMV approximately .: $6,800,000 (client-background-summary.docx)</w:t>
      </w:r>
    </w:p>
    <w:p>
      <w:pPr>
        <w:pStyle w:val="ListBullet"/>
      </w:pPr>
      <w:r>
        <w:t>FMV approximately .: $3,570,000 (client-background-summary.docx)</w:t>
      </w:r>
    </w:p>
    <w:p>
      <w:pPr>
        <w:pStyle w:val="Heading2"/>
      </w:pPr>
      <w:r>
        <w:t>Termination of the Sophia Trust</w:t>
      </w:r>
    </w:p>
    <w:p>
      <w:r>
        <w:t>The termination of the Sophia Davenport-Chen Protected Trust is set for October 8, 2040, based on Peggy's instructions and her intention to ensure financial stability and maturity for Sophia. However, there is a discrepancy between these instructions and the draft revocable trust document, which specifies that the trust will terminate when Sophia reaches fifty-five years of age (anticipated to be October 8, 2035). This difference could lead to confusion and potential legal disputes if not clarified. According to Peggy’s background summary, she intended for the trust to provide extended protection due to Sophia's history of financial difficulties. The draft revocable trust document does not fully capture this aspect, as it sets an earlier termination date without addressing Peggy’s rationale for the extended protection period until age sixty (60). This discrepancy is significant because it directly impacts Sophia’s financial well-being and the intended level of protection against creditor issues and poor financial decision-making. Given these discrepancies, it is crucial that the final version of the Sophia Davenport-Chen Protected Trust aligns with Peggy's instructions to ensure her intentions are accurately reflected. The draft should be revised to specify a termination age consistent with October 8, 2040, thereby providing the necessary protection for Sophia’s financial well-being until that time. Additionally, ensuring compliance with the common law rule against perpetuities and any applicable statutory modifications is essential, as outlined in Section 12.6 of the draft revocable trust document. This provision ensures that all trusts created under this agreement terminate no later than twenty-one years after the death of the last surviving beneficiary named herein who was living on the date of the Trust Agreement. Addressing these inconsistencies will help prevent potential legal disputes and ensure that Sophia’s financial interests are protected in accordance with Peggy's wishes.</w:t>
      </w:r>
    </w:p>
    <w:p>
      <w:r>
        <w:t>Key figures:</w:t>
      </w:r>
    </w:p>
    <w:p>
      <w:pPr>
        <w:pStyle w:val="ListBullet"/>
      </w:pPr>
      <w:r>
        <w:t>Residuary Estate Distribution After payment of all debts: 40% (client-instruction-memo.docx)</w:t>
      </w:r>
    </w:p>
    <w:p>
      <w:pPr>
        <w:pStyle w:val="Heading2"/>
      </w:pPr>
      <w:r>
        <w:t>Death of Sophia Before Termination</w:t>
      </w:r>
    </w:p>
    <w:p>
      <w:r>
        <w:t>Sophia Davenport-Chen's death before the termination of the trust presents a significant deviation from Peggy’s intentions. According to Peggy’s instructions, if Sophia predeceases her and does not survive until age 60 (October 8, 2040), the remaining assets in the Sophia Davenport-Chen Protected Trust are to be distributed equally between Dr. David Chen and Thomas "Tommy" Davenport-Chen, or entirely to the survivor if only one of them is alive at that time. If neither David nor Tommy survives Sophia, the assets would pass to Peggy’s then-living descendants per stirpes. The draft pour-over will does not explicitly address the scenario where Sophia dies before reaching age 60 and the trust terminates on her death. This omission could lead to ambiguity regarding the distribution of Sophia's share if she were to die unexpectedly. The draft revocable trust specifies that upon Sophia’s death, the remaining assets in the trust are to be distributed outright to Sophia Davenport-Chen, which is not aligned with Peggy’s instructions for a protective spendthrift trust. Given Sophia’s history of financial difficulties and her Chapter 7 bankruptcy discharge in 2018, Peggy intended to protect Sophia from potential future creditor issues by establishing a spendthrift trust. This protection would be compromised if the draft documents do not adequately address the scenario where Sophia predeceases her and does not survive until age 60. The current drafts include provisions for what happens if Sophia predeceases the Settlor, which is not mentioned in Peggy’s instructions. The requirement states that all items of jewelry listed on Exhibit A should pass outright to Sophia Davenport-Chen, but the draft includes a clause about what happens if Sophia predeceases the Settlor. This deviation needs to be addressed by either removing or clarifying the clause regarding what happens if Sophia predeceases the Settlor to align with Peggy’s wishes. Additionally, Section 7.2 of the draft pour-over will addresses statutory survival provisions and includes a thirty-day survival period set forth in Section 7.1. This provision is intended to supplement, but not replace, the applicable statutory survival requirements under California Probate Code Sections 6211 (relating to simultaneous death) and 21109 (relating to the one-hundred-twenty-hour survival requirement). If the thirty-day period is held to be invalid or unenforceable for any reason, the applicable statutory survival period shall control. In summary, the current drafts do not adequately address the distribution of Sophia's share in the event of her death before reaching age 60 or 60. The draft pour-over will should be amended to include provisions for the distribution of assets as Peggy instructed, ensuring that Dr. David Chen and Tommy Davenport-Chen receive their respective shares under these circumstances. This alignment is crucial to avoid potential legal challenges and ensure compliance with Peggy’s wishes.</w:t>
      </w:r>
    </w:p>
    <w:p>
      <w:pPr>
        <w:pStyle w:val="Heading2"/>
      </w:pPr>
      <w:r>
        <w:t>In Terrorem Provision</w:t>
      </w:r>
    </w:p>
    <w:p>
      <w:r>
        <w:t>The draft trust agreement includes an In Terrorem Provision under Section 9.1, which requires that any beneficiary who contests or attacks the trust agreement shall be deemed to have predeceased the Settlor for all purposes under this Trust Agreement. This provision further states that such a person forfeits any bequest, distribution, or interest they would otherwise be entitled to and that these forfeited interests are distributed among the remaining beneficiaries in proportion to their respective interests as set forth in the trust agreement. The inclusion of an In Terrorem Provision is consistent with the client's instruction memo, which emphasizes the need for standard provisions such as severability clauses and definitions. However, it is crucial to ensure that this provision is properly drafted to align with California law and to protect the Settlor’s intent while also providing clarity and enforceability. The draft pour-over will should similarly incorporate an In Terrorem Provision to maintain consistency between the trust agreement and the will. This ensures that any beneficiary who contests either document forfeits their interest under both instruments, thereby reinforcing the integrity of the estate planning documents. Given the Settlor's role as a portfolio manager for Broadleaf Fiduciary Services, Inc., it is important to ensure that this In Terrorem Provision does not inadvertently conflict with or undermine any fiduciary duties or obligations. The provision should be reviewed carefully to confirm that it aligns with applicable legal standards and does not expose the Settlor or other parties to undue risk. Additionally, the draft documents must include a clear definition of key terms such as "Beneficiary," "Descendants" (which includes legally adopted persons), and "Incapacity." These definitions are critical for ensuring that the In Terrorem Provision is interpreted correctly and applied uniformly throughout the trust agreement and pour-over will. The target execution date for all documents is January 15, 2025, which provides a clear deadline for finalizing these provisions to ensure compliance with the client's instructions. The draft pour-over will also lacks a provision explicitly revoking all prior documents, as required by the client’s instructions. This omission may lead to potential legal issues and should be addressed in the final drafts to avoid any ambiguity or conflicts during execution.</w:t>
      </w:r>
    </w:p>
    <w:p>
      <w:pPr>
        <w:pStyle w:val="Heading2"/>
      </w:pPr>
      <w:r>
        <w:t>Appointment of Martin Fairchild</w:t>
      </w:r>
    </w:p>
    <w:p>
      <w:r>
        <w:t>The draft revocable trust and pour-over will both appoint Martin Fairchild as the Trust Protector. According to the drafts, Martin Fairchild is Peggy’s financial advisor at Pinnacle Wealth Management. The appointment of Martin Fairchild as Trust Protector is detailed in Section 10.3 of the draft revocable trust, which specifies that a majority of the then-current adult beneficiaries must appoint a successor Trust Protector by written instrument delivered to the then-acting Trustee. Additionally, David’s role and his age of 47 are not mentioned in the current drafts. The drafts also specify that Peggy's gross estate value is $23,700,000 and she requires two licensed physicians for certain certifications. Furthermore, Lily Chen and Marcus Chen’s ages and dates of birth are omitted; specifically, Lily is 12 years old (born June 3, 2012) and Marcus is 9 years old (born November 17, 2015). Additionally, Peggy measures her survivorship requirement at thirty days and mandates the use of Form 1040 or Form 1041 for tax purposes. The appointment method outlined in Section 10.3 is consistent with Peggy’s instructions and ensures that any changes to the Trust Protector role are made through a formal process involving the beneficiaries, maintaining transparency and accountability within the trust structure. This provision aligns with Peggy's directive to ensure proper governance of her estate. Furthermore, Peggy mandates that two licensed physicians certify her incapacity before any trustee transition occurs due to her incapacity, ensuring a rigorous standard is met. This requirement underscores Peggy's desire for thorough medical validation before significant changes are made to trust management or distribution processes. The specific due date for document submission is January 10, 2025.</w:t>
      </w:r>
    </w:p>
    <w:p>
      <w:pPr>
        <w:pStyle w:val="Heading2"/>
      </w:pPr>
      <w:r>
        <w:t>Powers of Trust Protector</w:t>
      </w:r>
    </w:p>
    <w:p>
      <w:r>
        <w:t>The draft revocable trust document grants Martin Fairchild, appointed as the initial Trust Protector, powers that exceed those specified in Peggy’s client instruction memo. According to the memo, Fairchild is tasked with resolving ambiguities in the trust agreement through a written determination (21315). However, the draft trust document provides broader powers to the Trust Protector, including the ability to modify administrative provisions as necessary to address changes in tax laws or regulations (12). The client instruction memo also specifies that any modifications to the trust must be made with due regard for Peggy’s intent and should not conflict with her detailed prohibitions on certain actions by the Trust Protector. The draft document includes a statement of good faith and non-liability for the Trust Protector but does not explicitly address these specific prohibitions, which may require clarification or explicit inclusion (,000,000). Furthermore, the memo emphasizes that essential limitations on the Trust Protector’s authority must be included prominently in the trust document to ensure clarity and enforceability. However, these limitations are not explicitly stated in either the draft document or the instruction memo, indicating a deviation from Peggy's expectations. Given these deviations, it is crucial to review the draft to ensure alignment with Peggy’s specific directives regarding the Trust Protector’s powers. This includes confirming that any modifications align closely with her instructions and do not inadvertently create ambiguities or conflicts within the trust document. Ensuring compliance with state trust administration requirements and avoiding potential disputes over interpretation of the trust's terms is paramount. It is recommended to revisit the draft to ensure it accurately reflects Peggy’s intentions, particularly regarding the Trust Protector’s powers and limitations. This review should include explicit inclusion of any prohibitions on the Trust Protector’s authority as specified in the client instruction memo (5).</w:t>
      </w:r>
    </w:p>
    <w:p>
      <w:r>
        <w:t>Key figures:</w:t>
      </w:r>
    </w:p>
    <w:p>
      <w:pPr>
        <w:pStyle w:val="ListBullet"/>
      </w:pPr>
      <w:r>
        <w:t>(a) Removal and Replacement of Corporate Trustee. The Trust: $100,000,000 (draft-revocable-trust.docx)</w:t>
      </w:r>
    </w:p>
    <w:p>
      <w:pPr>
        <w:pStyle w:val="Heading2"/>
      </w:pPr>
      <w:r>
        <w:t>Successor Trust Protector</w:t>
      </w:r>
    </w:p>
    <w:p>
      <w:r>
        <w:t>The client instruction memo specifies that a successor Trust Protector must be appointed in writing and effective upon acceptance by the appointee. This requirement is not reflected in either the draft pour-over will or the draft revocable trust documents, which constitutes a deviation from the client's explicit instructions. The evidence provided in the client instruction memo clearly states: "The appointment of a successor Trust Protector shall be made in writing and shall be effective upon acceptance by the appointee." Additionally, the draft documents do not address the specific order of succession for the role of Trust Protector as outlined in the client instruction memo. According to the memo, Sophia Davenport-Chen should not be named as a successor trustee under any circumstances due to her past financial difficulties and bankruptcy history. This directive is crucial because it reflects the settlor's deliberate decision regarding who can serve in fiduciary capacities. Furthermore, the draft documents fail to incorporate the client’s instructions for the appointment of Broadleaf Fiduciary Services, Inc., as a third successor trustee with specific conditions, including the requirement that any such successor corporate trustee must be authorized to conduct trust business in the State of California. This omission could lead to potential legal and administrative issues if the trust needs to appoint a new trustee due to unforeseen circumstances. In summary, the draft revocable trust and pour-over will documents do not align with the client's instructions regarding the formal requirements for appointing a successor Trust Protector or specifying the order of succession. These deviations could have significant implications for the administration of the trust if they are not corrected according to the client’s explicit directives.</w:t>
      </w:r>
    </w:p>
    <w:p>
      <w:r>
        <w:t>Key figures:</w:t>
      </w:r>
    </w:p>
    <w:p>
      <w:pPr>
        <w:pStyle w:val="ListBullet"/>
      </w:pPr>
      <w:r>
        <w:t>(a) Removal and Replacement of Corporate Trustee. The Trust: $100,000,000 (draft-revocable-trust.docx)</w:t>
      </w:r>
    </w:p>
    <w:p>
      <w:pPr>
        <w:pStyle w:val="Heading2"/>
      </w:pPr>
      <w:r>
        <w:t>Tax Elections Generally</w:t>
      </w:r>
    </w:p>
    <w:p>
      <w:r>
        <w:t>The draft pour-over will and revocable trust both incorporate provisions aimed at minimizing the overall tax burden for Peggy's estate and its beneficiaries. According to Section XIII of the client instruction memo, the Trustee is directed to make all tax elections and decisions in a manner that minimizes the immediate and long-term tax consequences on the estate and individual beneficiaries, considering both federal and California state tax impacts. The draft documents also include specific provisions for addressing changes in tax laws. For instance, Section 10.2(b) of the trust agreement grants the Trust Protector the power to modify administrative provisions necessary or advisable due to changes in federal or state tax law, including estate tax, gift tax, generation-skipping transfer tax, and income tax laws. Additionally, the draft pour-over will includes a provision for portability under IRC §2010(c)(5)(A), which allows any unused applicable exclusion amount (DSUE) from Raymond's estate to be preserved or utilized in Peggy’s new trust. This requires confirmation that a portability election was made on Raymond's Form 706, the United States Estate Tax Return. The draft documents also address the treatment of the trust as a grantor trust for federal and state income tax purposes during the Settlor's lifetime under Section 11.4. Furthermore, Section 11.2 outlines that the Trustee is required to apportion estate taxes among beneficiaries unless otherwise mandated by applicable law. These provisions are designed to ensure compliance with relevant tax laws while minimizing potential tax liabilities for Peggy’s estate and its beneficiaries. The draft documents also specify the use of various tax forms such as Form 1040 and Form 1041, which align with the client's instructions and grounded facts provided in the instruction memo. Overall, these provisions aim to provide flexibility and responsiveness to changes in tax laws while ensuring that Peggy’s estate is structured optimally for tax efficiency.</w:t>
      </w:r>
    </w:p>
    <w:p>
      <w:pPr>
        <w:pStyle w:val="Heading2"/>
      </w:pPr>
      <w:r>
        <w:t>Estate Tax Apportionment</w:t>
      </w:r>
    </w:p>
    <w:p>
      <w:r>
        <w:t>The primary residence of Margaret "Peggy" Davenport-Chen is located at 418 Birchwood Lane, Atherton, California 94027, but Peggy resides in Palo Alto, California. The property has an estimated fair market value of $6,800,000 and is held in Peggy's individual name. Historically, this property was community property during her marriage to Raymond Davenport; however, after Raymond’s death on March 14, 2021, Peggy received a full step-up in basis under Internal Revenue Code §1014. In addition to the primary residence, Peggy owns a vacation home at 1192 Lakeshore Drive, Unit B, South Lake Tahoe, California, with an estimated fair market value of $1,900,000 and is also held in her individual name. Peggy's financial assets include securities from Helios Therapeutics, Inc., with 85,000 shares currently trading at approximately $42 per share, resulting in a fair market value of $3,570,000. These shares are held in a separate Pinnacle Wealth Management account numbered PWM-8834722. Peggy also maintains a diversified portfolio within another brokerage account at Pinnacle Wealth Management, with an account number PWM-8834721 and an approximate value of $7,200,000 as per the draft, though this is not addressed in the findings. Additionally, she holds cash and money market funds in an account at First Pacific National Bank, numbered FPNB-002-447891, which has an approximate value of $890,000. In her revocable trust agreement, Peggy bequeaths a sum of $150,000 to her sister Eleanor Davenport, who resides in Scottsdale, Arizona. This gift is made out of gratitude and affection for Eleanor's support throughout Peggy’s life. Peggy has excluded from the Trust Estate an individual retirement account held at Pinnacle Wealth Management with an approximate value of $2,400,000, which is under California law to help prevent omitted-heir claims as per California Probate Code §§21620–21623.</w:t>
      </w:r>
    </w:p>
    <w:p>
      <w:r>
        <w:t>Section 11.2 of the findings outlines specific provisions for estate tax apportionment and inheritance taxes, stating that all such taxes shall be paid from the residuary estate before division into shares unless otherwise required.</w:t>
      </w:r>
    </w:p>
    <w:p>
      <w:pPr>
        <w:pStyle w:val="Heading2"/>
      </w:pPr>
      <w:r>
        <w:t>Deviations Identified</w:t>
      </w:r>
    </w:p>
    <w:p>
      <w:r>
        <w:t>Where the draft documents deviate from the client's instructions — each should be corrected:</w:t>
      </w:r>
    </w:p>
    <w:p>
      <w:pPr>
        <w:pStyle w:val="ListBullet"/>
      </w:pPr>
      <w:r>
        <w:t>DEVIATION (high severity) — The controlling source requires the corporate trustee to appoint a successor Trust Protector, but the document under review allows adult beneficiaries to make this appointment. Recommended correction: Amend Section 10.3 of the trust agreement to state that the corporate trustee shall appoint a successor Trust Protector if Martin Fairchild is unable or unwilling to serve.</w:t>
      </w:r>
    </w:p>
    <w:p>
      <w:pPr>
        <w:pStyle w:val="ListBullet"/>
      </w:pPr>
      <w:r>
        <w:t>DEVIATION (critical severity) — The document incorrectly names Sophia Davenport-Chen as a second successor trustee despite the requirement explicitly prohibiting her from serving in this capacity. Recommended correction: Remove Sophia Davenport-Chen from the list of successor trustees and ensure that the succession goes directly from Dr. David Chen to Broadleaf Fiduciary Services, Inc.</w:t>
      </w:r>
    </w:p>
    <w:p>
      <w:pPr>
        <w:pStyle w:val="ListBullet"/>
      </w:pPr>
      <w:r>
        <w:t>DEVIATION (critical severity) — The document incorrectly names Sophia Davenport-Chen as the second successor trustee despite instructions to exclude her entirely from trustee roles. Recommended correction: Remove Sophia Davenport-Chen's designation as a successor trustee and ensure that Dr. David Chen is followed directly by Broadleaf Fiduciary Services.</w:t>
      </w:r>
    </w:p>
    <w:p>
      <w:pPr>
        <w:pStyle w:val="ListBullet"/>
      </w:pPr>
      <w:r>
        <w:t>DEVIATION (high severity) — The document incorrectly lists Broadleaf Fiduciary Services, Inc. as the third successor trustee instead of the second. Recommended correction: Change 'Third Successor Trustee' to 'Second Successor Trustee' and remove Sophia Davenport-Chen from the list.</w:t>
      </w:r>
    </w:p>
    <w:p>
      <w:pPr>
        <w:pStyle w:val="ListBullet"/>
      </w:pPr>
      <w:r>
        <w:t>DEVIATION (low severity) — The document correctly states that Broadleaf Fiduciary Services, Inc. is entitled to compensation according to its published fee schedule but includes additional language about potential amendments which was not specified in the controlling source. Recommended correction: Remove any reference to potential amendments of the fee schedules and ensure the document only states that Broadleaf Fiduciary Services, Inc. is entitled to compensation according to its published fee schedule as it stands at the time services are rendered.</w:t>
      </w:r>
    </w:p>
    <w:p>
      <w:pPr>
        <w:pStyle w:val="ListBullet"/>
      </w:pPr>
      <w:r>
        <w:t>DEVIATION (high severity) — The document specifies a 30% distribution instead of the required 25% residuary estate share for Tommy. Recommended correction: Change 'thirty percent (30%)' to 'twenty-five percent (25%)' in the provision regarding Tommy's share of the residuary estate.</w:t>
      </w:r>
    </w:p>
    <w:p>
      <w:pPr>
        <w:pStyle w:val="ListBullet"/>
      </w:pPr>
      <w:r>
        <w:t>DEVIATION (high severity) — The requirement states that all items of jewelry listed on Exhibit A should pass outright to Sophia Davenport-Chen, but the draft includes a clause about what happens if Sophia predeceases the Settlor, which is not mentioned in the instruction. Recommended correction: Remove or clarify the clause regarding what happens if Sophia predeceases the Settlor to align with the original requirement.</w:t>
      </w:r>
    </w:p>
    <w:p>
      <w:pPr>
        <w:pStyle w:val="ListBullet"/>
      </w:pPr>
      <w:r>
        <w:t>OMISSION (high severity) — The document does not include a provision disinherting unnamed individuals, while it is required by California law to prevent omitted-heir claims. Recommended correction: Add a clear and prominent provision stating that Peggy has intentionally and deliberately disinherited any person not specifically named as a beneficiary in the will or trust.</w:t>
      </w:r>
    </w:p>
    <w:p>
      <w:pPr>
        <w:pStyle w:val="ListBullet"/>
      </w:pPr>
      <w:r>
        <w:t>DEVIATION (medium severity) — The document specifies discretionary distributions should be made for health, education, maintenance, and support but includes an additional requirement to consider the beneficiary's accustomed standard of living, which is not mentioned in the controlling source. Recommended correction: Remove or modify the phrase 'in a manner consistent with Sophia's accustomed standard of living' from the document.</w:t>
      </w:r>
    </w:p>
    <w:p>
      <w:pPr>
        <w:pStyle w:val="ListBullet"/>
      </w:pPr>
      <w:r>
        <w:t>OMISSION (high severity) — The controlling source requires a limitation on accelerating distributions but this is not addressed in the document under review. Recommended correction: Add a provision explicitly stating that the Trust Protector may not direct or authorize the Trustee to make distributions earlier than, or in greater amounts than, what the trust's distribution provisions permit.</w:t>
      </w:r>
    </w:p>
    <w:p>
      <w:pPr>
        <w:pStyle w:val="Heading2"/>
      </w:pPr>
      <w:r>
        <w:t>Discrepancies and Defense Issues</w:t>
      </w:r>
    </w:p>
    <w:p>
      <w:r>
        <w:t>The following figures conflict across the record. Each is a potential defense point — the inconsistency should be raised and its significance assessed, not silently reconciled:</w:t>
      </w:r>
    </w:p>
    <w:p>
      <w:pPr>
        <w:pStyle w:val="ListBullet"/>
      </w:pPr>
      <w:r>
        <w:t>Peggy's estimated gross estate, total asset value: $23,700,000 (client-instruction-memo.docx); $21,300,000 (client-instruction-memo.docx). The discrepancy in the total asset value could impact the accuracy of Peggy's estate valuation and potentially affect tax liabilities or legal claims..</w:t>
      </w:r>
    </w:p>
    <w:p>
      <w:pPr>
        <w:pStyle w:val="ListBullet"/>
      </w:pPr>
      <w:r>
        <w:t>cash, bequest amount: One Hundred Fifty Thousand Dollars ($150,000) (client-instruction-memo.docx); Fifty Thousand Dollars ($50,000) (client-instruction-memo.docx). The discrepancy in the bequest amounts could impact the distribution of assets and is significant for ensuring accurate estate planning..</w:t>
      </w:r>
    </w:p>
    <w:p>
      <w:pPr>
        <w:pStyle w:val="ListBullet"/>
      </w:pPr>
      <w:r>
        <w:t>David's share, residuary share percentage: 40% (client-instruction-memo.docx); 35% (client-instruction-memo.docx); 3 (client-instruction-memo.docx); 25% (client-instruction-memo.docx). The different percentages assigned to David's share create confusion regarding his exact inheritance percentage, which could impact the trust distribution..</w:t>
      </w:r>
    </w:p>
    <w:p>
      <w:pPr>
        <w:pStyle w:val="ListBullet"/>
      </w:pPr>
      <w:r>
        <w:t>Margaret Davenport-Chen Revocable Trust, deadline date: 15 (client-instruction-memo.docx); 10 (client-instruction-memo.docx). The deadline date for the Margaret Davenport-Chen Revocable Trust document is inconsistent, which could impact the timeline and management of the project..</w:t>
      </w:r>
    </w:p>
    <w:p>
      <w:pPr>
        <w:pStyle w:val="ListBullet"/>
      </w:pPr>
      <w:r>
        <w:t>Jewelry collection, art collection, household furnishings, and other tangible personal property, property value total: 940,000 (draft-revocable-trust.docx); 21,300,000 (draft-revocable-trust.docx). The significant discrepancy in the property value total raises questions about the accuracy and honesty in valuing the estate, which could impact scienter..</w:t>
      </w:r>
    </w:p>
    <w:p>
      <w:pPr>
        <w:pStyle w:val="ListBullet"/>
      </w:pPr>
      <w:r>
        <w:t>Eleanor Davenport, cash bequest amount: One Hundred Fifty Thousand Dollars ($150,000) (draft-revocable-trust.docx); Fifty Thousand Dollars ($50,000) (draft-revocable-trust.docx). The discrepancy in the cash bequest amount for Eleanor Davenport could impact the distribution of assets and is significant for ensuring accurate accounting..</w:t>
      </w:r>
    </w:p>
    <w:p>
      <w:pPr>
        <w:pStyle w:val="ListBullet"/>
      </w:pPr>
      <w:r>
        <w:t>Residuary Estate, residuary estate share percentage: 40% (draft-revocable-trust.docx); 30% (draft-revocable-trust.docx). The contradiction in the residuary estate share percentages affects the distribution of assets, which is crucial for legal compliance and could impact the statute of limitations..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