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 — Point-by-Point Table</w:t>
      </w:r>
    </w:p>
    <w:p>
      <w:pPr>
        <w:spacing w:after="80"/>
      </w:pPr>
      <w:r>
        <w:rPr>
          <w:b/>
          <w:sz w:val="18"/>
        </w:rPr>
        <w:t>Manuscript: Evidence Budgeting for Edge AI under Degraded Connectivity (ICCA, camera-ready)</w:t>
      </w:r>
    </w:p>
    <w:p>
      <w:pPr>
        <w:spacing w:after="80"/>
      </w:pPr>
      <w:r>
        <w:rPr>
          <w:b w:val="0"/>
          <w:sz w:val="18"/>
        </w:rPr>
        <w:t>Reviewed version: EdgeCloud_Merged_IEEE.pdf, 17 pages (byte-identical to manuscript/Original_Submission.pdf).   Current version: manuscript/EdgeCloud_ICCA_Revised_IEEEA4.pdf, 12 pages.   Date: 2026-10-08</w:t>
      </w:r>
    </w:p>
    <w:p>
      <w:pPr>
        <w:spacing w:after="160"/>
      </w:pPr>
      <w:r>
        <w:rPr>
          <w:b w:val="0"/>
          <w:sz w:val="17"/>
        </w:rPr>
        <w:t>Status key — FIXED: closed in the current manuscript, location given.  PARTIALLY FIXED: closed as far as the evidence or environment allows; what remains is stated.  NOT FIXED: not addressed experimentally; the paper’s claims were bounded instead.  Every location was verified against the current rendered PDF on the date above.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794"/>
            <w:shd w:val="clear" w:color="auto" w:fill="D9D9D9"/>
          </w:tcPr>
          <w:p>
            <w:r/>
            <w:r>
              <w:rPr>
                <w:b/>
                <w:sz w:val="18"/>
              </w:rPr>
              <w:t>#</w:t>
            </w:r>
          </w:p>
        </w:tc>
        <w:tc>
          <w:tcPr>
            <w:tcW w:type="dxa" w:w="3515"/>
            <w:shd w:val="clear" w:color="auto" w:fill="D9D9D9"/>
          </w:tcPr>
          <w:p>
            <w:r/>
            <w:r>
              <w:rPr>
                <w:b/>
                <w:sz w:val="18"/>
              </w:rPr>
              <w:t>Reviewer comment (condensed)</w:t>
            </w:r>
          </w:p>
        </w:tc>
        <w:tc>
          <w:tcPr>
            <w:tcW w:type="dxa" w:w="1361"/>
            <w:shd w:val="clear" w:color="auto" w:fill="D9D9D9"/>
          </w:tcPr>
          <w:p>
            <w:r/>
            <w:r>
              <w:rPr>
                <w:b/>
                <w:sz w:val="18"/>
              </w:rPr>
              <w:t>Status</w:t>
            </w:r>
          </w:p>
        </w:tc>
        <w:tc>
          <w:tcPr>
            <w:tcW w:type="dxa" w:w="4535"/>
            <w:shd w:val="clear" w:color="auto" w:fill="D9D9D9"/>
          </w:tcPr>
          <w:p>
            <w:r/>
            <w:r>
              <w:rPr>
                <w:b/>
                <w:sz w:val="18"/>
              </w:rPr>
              <w:t>What changed</w:t>
            </w:r>
          </w:p>
        </w:tc>
        <w:tc>
          <w:tcPr>
            <w:tcW w:type="dxa" w:w="4819"/>
            <w:shd w:val="clear" w:color="auto" w:fill="D9D9D9"/>
          </w:tcPr>
          <w:p>
            <w:r/>
            <w:r>
              <w:rPr>
                <w:b/>
                <w:sz w:val="18"/>
              </w:rPr>
              <w:t>Where in the current paper / evidence</w:t>
            </w:r>
          </w:p>
        </w:tc>
      </w:tr>
      <w:tr>
        <w:tc>
          <w:tcPr>
            <w:tcW w:type="dxa" w:w="15140"/>
            <w:gridSpan w:val="5"/>
            <w:shd w:val="clear" w:color="auto" w:fill="BDD7EE"/>
          </w:tcPr>
          <w:p>
            <w:r/>
            <w:r>
              <w:rPr>
                <w:b/>
                <w:sz w:val="20"/>
              </w:rPr>
              <w:t>REVIEWER 1</w:t>
            </w:r>
          </w:p>
        </w:tc>
      </w:tr>
      <w:tr>
        <w:tc>
          <w:tcPr>
            <w:tcW w:type="dxa" w:w="794"/>
          </w:tcPr>
          <w:p>
            <w:r/>
            <w:r>
              <w:rPr>
                <w:b/>
                <w:sz w:val="17"/>
              </w:rPr>
              <w:t>R1.1</w:t>
            </w:r>
          </w:p>
        </w:tc>
        <w:tc>
          <w:tcPr>
            <w:tcW w:type="dxa" w:w="3515"/>
          </w:tcPr>
          <w:p>
            <w:r/>
            <w:r>
              <w:rPr>
                <w:sz w:val="17"/>
              </w:rPr>
              <w:t>Gap between operational motivation and validation; evaluation mostly synthetic or simulated; no edge hardware, radio testbed, energy measurement or field deployment. Conclusions about deployment should stay within those boundaries.</w:t>
            </w:r>
          </w:p>
        </w:tc>
        <w:tc>
          <w:tcPr>
            <w:tcW w:type="dxa" w:w="1361"/>
            <w:shd w:val="clear" w:color="auto" w:fill="E2EFDA"/>
          </w:tcPr>
          <w:p>
            <w:r/>
            <w:r>
              <w:rPr>
                <w:b/>
                <w:sz w:val="17"/>
              </w:rPr>
              <w:t>FIXED</w:t>
            </w:r>
          </w:p>
        </w:tc>
        <w:tc>
          <w:tcPr>
            <w:tcW w:type="dxa" w:w="4535"/>
          </w:tcPr>
          <w:p>
            <w:r/>
            <w:r>
              <w:rPr>
                <w:sz w:val="17"/>
              </w:rPr>
              <w:t>Every deployment statement bounded to simulation scope. Section X names what is absent (protocol stack, MAC, routing, contention, hardware, energy). Section I-A frames each contribution as a derivation, protocol or failure mode, never a deployment result. Conclusion names field value as not established.</w:t>
            </w:r>
          </w:p>
        </w:tc>
        <w:tc>
          <w:tcPr>
            <w:tcW w:type="dxa" w:w="4819"/>
          </w:tcPr>
          <w:p>
            <w:r/>
            <w:r>
              <w:rPr>
                <w:sz w:val="17"/>
              </w:rPr>
              <w:t>Sec. X: “There is no hardware testbed and no energy measurement”; “there is no protocol stack: no MAC layer, routing, contention between nodes, congestion control or bidirectional traffic”; “Every statement in this paper about edge deployment is therefore bounded by simulation on a workstation.” Sec. XII: “Field value under a real protocol stack and on edge hardware remains to be established.”</w:t>
            </w:r>
          </w:p>
        </w:tc>
      </w:tr>
      <w:tr>
        <w:tc>
          <w:tcPr>
            <w:tcW w:type="dxa" w:w="794"/>
          </w:tcPr>
          <w:p>
            <w:r/>
            <w:r>
              <w:rPr>
                <w:b/>
                <w:sz w:val="17"/>
              </w:rPr>
              <w:t>R1.2</w:t>
            </w:r>
          </w:p>
        </w:tc>
        <w:tc>
          <w:tcPr>
            <w:tcW w:type="dxa" w:w="3515"/>
          </w:tcPr>
          <w:p>
            <w:r/>
            <w:r>
              <w:rPr>
                <w:sz w:val="17"/>
              </w:rPr>
              <w:t>A modality can score well on every value-function criterion while carrying little predictive information; this deserves more attention.</w:t>
            </w:r>
          </w:p>
        </w:tc>
        <w:tc>
          <w:tcPr>
            <w:tcW w:type="dxa" w:w="1361"/>
            <w:shd w:val="clear" w:color="auto" w:fill="E2EFDA"/>
          </w:tcPr>
          <w:p>
            <w:r/>
            <w:r>
              <w:rPr>
                <w:b/>
                <w:sz w:val="17"/>
              </w:rPr>
              <w:t>FIXED</w:t>
            </w:r>
          </w:p>
        </w:tc>
        <w:tc>
          <w:tcPr>
            <w:tcW w:type="dxa" w:w="4535"/>
          </w:tcPr>
          <w:p>
            <w:r/>
            <w:r>
              <w:rPr>
                <w:sz w:val="17"/>
              </w:rPr>
              <w:t>Turned into a measured finding. A 25-cell diagnostic (text representations × class handlings × classifiers, decision rule fixed before the run) attributes the text pathway’s majority-class output to class imbalance, not to the reduction; no tested representation clears the pre-set bar. The value function’s blindness is stated as a limitation with evidence and a named remedy (held-out predictive contribution).</w:t>
            </w:r>
          </w:p>
        </w:tc>
        <w:tc>
          <w:tcPr>
            <w:tcW w:type="dxa" w:w="4819"/>
          </w:tcPr>
          <w:p>
            <w:r/>
            <w:r>
              <w:rPr>
                <w:sz w:val="17"/>
              </w:rPr>
              <w:t>Sec. VIII-A (diagnostic; “The rule returns false, passing in none of the seven rotations”); Sec. I-A item 3; Sec. VIII-C: “none asks whether this modality has ever predicted this label, which a held-out estimate of predictive contribution would”; Sec. IX sixth check.</w:t>
            </w:r>
          </w:p>
        </w:tc>
      </w:tr>
      <w:tr>
        <w:tc>
          <w:tcPr>
            <w:tcW w:type="dxa" w:w="794"/>
          </w:tcPr>
          <w:p>
            <w:r/>
            <w:r>
              <w:rPr>
                <w:b/>
                <w:sz w:val="17"/>
              </w:rPr>
              <w:t>R1.3</w:t>
            </w:r>
          </w:p>
        </w:tc>
        <w:tc>
          <w:tcPr>
            <w:tcW w:type="dxa" w:w="3515"/>
          </w:tcPr>
          <w:p>
            <w:r/>
            <w:r>
              <w:rPr>
                <w:sz w:val="17"/>
              </w:rPr>
              <w:t>Dataset DOI placeholder should be resolved before the final version.</w:t>
            </w:r>
          </w:p>
        </w:tc>
        <w:tc>
          <w:tcPr>
            <w:tcW w:type="dxa" w:w="1361"/>
            <w:shd w:val="clear" w:color="auto" w:fill="FFF2CC"/>
          </w:tcPr>
          <w:p>
            <w:r/>
            <w:r>
              <w:rPr>
                <w:b/>
                <w:sz w:val="17"/>
              </w:rPr>
              <w:t>PARTIALLY FIXED</w:t>
            </w:r>
          </w:p>
        </w:tc>
        <w:tc>
          <w:tcPr>
            <w:tcW w:type="dxa" w:w="4535"/>
          </w:tcPr>
          <w:p>
            <w:r/>
            <w:r>
              <w:rPr>
                <w:sz w:val="17"/>
              </w:rPr>
              <w:t>The red placeholder is gone. Section XI states what a reader can verify today: the repository, the exact version 2.6.17 and that SHA256SUMS digests 113 files; both verified against the archived repository on 2026-10-08. What remains is the deposit itself, which only the authors can perform. No identifier was invented.</w:t>
            </w:r>
          </w:p>
        </w:tc>
        <w:tc>
          <w:tcPr>
            <w:tcW w:type="dxa" w:w="4819"/>
          </w:tcPr>
          <w:p>
            <w:r/>
            <w:r>
              <w:rPr>
                <w:sz w:val="17"/>
              </w:rPr>
              <w:t>Sec. XI: “at version 2.6.17, the version behind every result reported here, whose SHA256SUMS records a digest for each of its 113 files.” AUTHOR ACTION: deposit the release and insert the identifier into \archivedoi. Also reconcile CITATION.cff, whose author fields still read “[To be completed before deposit]” while the paper names five authors.</w:t>
            </w:r>
          </w:p>
        </w:tc>
      </w:tr>
      <w:tr>
        <w:tc>
          <w:tcPr>
            <w:tcW w:type="dxa" w:w="794"/>
          </w:tcPr>
          <w:p>
            <w:r/>
            <w:r>
              <w:rPr>
                <w:b/>
                <w:sz w:val="17"/>
              </w:rPr>
              <w:t>R1.4</w:t>
            </w:r>
          </w:p>
        </w:tc>
        <w:tc>
          <w:tcPr>
            <w:tcW w:type="dxa" w:w="3515"/>
          </w:tcPr>
          <w:p>
            <w:r/>
            <w:r>
              <w:rPr>
                <w:sz w:val="17"/>
              </w:rPr>
              <w:t>Validation on actual edge and communication hardware would significantly strengthen the work.</w:t>
            </w:r>
          </w:p>
        </w:tc>
        <w:tc>
          <w:tcPr>
            <w:tcW w:type="dxa" w:w="1361"/>
            <w:shd w:val="clear" w:color="auto" w:fill="F8CBAD"/>
          </w:tcPr>
          <w:p>
            <w:r/>
            <w:r>
              <w:rPr>
                <w:b/>
                <w:sz w:val="17"/>
              </w:rPr>
              <w:t>NOT FIXED (bounded)</w:t>
            </w:r>
          </w:p>
        </w:tc>
        <w:tc>
          <w:tcPr>
            <w:tcW w:type="dxa" w:w="4535"/>
          </w:tcPr>
          <w:p>
            <w:r/>
            <w:r>
              <w:rPr>
                <w:sz w:val="17"/>
              </w:rPr>
              <w:t>No edge hardware, radio testbed or emulator was available. The paper claims nothing that would need one and names this as the primary open item. Added instead: packet loss with retransmission and replayed measured LTE capacity traces (Sec. VII), which narrow the link model without claiming to close it.</w:t>
            </w:r>
          </w:p>
        </w:tc>
        <w:tc>
          <w:tcPr>
            <w:tcW w:type="dxa" w:w="4819"/>
          </w:tcPr>
          <w:p>
            <w:r/>
            <w:r>
              <w:rPr>
                <w:sz w:val="17"/>
              </w:rPr>
              <w:t>Sec. X: “no hardware testbed”. Sec. XII names it as the primary open item. The optional emulator run (item F) needs Mahimahi link shells, not installed on this machine.</w:t>
            </w:r>
          </w:p>
        </w:tc>
      </w:tr>
      <w:tr>
        <w:tc>
          <w:tcPr>
            <w:tcW w:type="dxa" w:w="15140"/>
            <w:gridSpan w:val="5"/>
            <w:shd w:val="clear" w:color="auto" w:fill="BDD7EE"/>
          </w:tcPr>
          <w:p>
            <w:r/>
            <w:r>
              <w:rPr>
                <w:b/>
                <w:sz w:val="20"/>
              </w:rPr>
              <w:t>REVIEWER 2</w:t>
            </w:r>
          </w:p>
        </w:tc>
      </w:tr>
      <w:tr>
        <w:tc>
          <w:tcPr>
            <w:tcW w:type="dxa" w:w="794"/>
          </w:tcPr>
          <w:p>
            <w:r/>
            <w:r>
              <w:rPr>
                <w:b/>
                <w:sz w:val="17"/>
              </w:rPr>
              <w:t>R2.1</w:t>
            </w:r>
          </w:p>
        </w:tc>
        <w:tc>
          <w:tcPr>
            <w:tcW w:type="dxa" w:w="3515"/>
          </w:tcPr>
          <w:p>
            <w:r/>
            <w:r>
              <w:rPr>
                <w:sz w:val="17"/>
              </w:rPr>
              <w:t>Contribution thin and unclear; by the paper’s own results the optimizer adds nothing; the threshold rule is never tested on real data; state what a reader gains beyond “use simple rules and test them on your own data”.</w:t>
            </w:r>
          </w:p>
        </w:tc>
        <w:tc>
          <w:tcPr>
            <w:tcW w:type="dxa" w:w="1361"/>
            <w:shd w:val="clear" w:color="auto" w:fill="E2EFDA"/>
          </w:tcPr>
          <w:p>
            <w:r/>
            <w:r>
              <w:rPr>
                <w:b/>
                <w:sz w:val="17"/>
              </w:rPr>
              <w:t>FIXED</w:t>
            </w:r>
          </w:p>
        </w:tc>
        <w:tc>
          <w:tcPr>
            <w:tcW w:type="dxa" w:w="4535"/>
          </w:tcPr>
          <w:p>
            <w:r/>
            <w:r>
              <w:rPr>
                <w:sz w:val="17"/>
              </w:rPr>
              <w:t>(a) Section I-A “What a Reader Gains” states four things explicitly. (b) The threshold rule is now tested on real data (Sec. VIII-D) with a constructed arrival delay from a frozen protocol. The result is partly negative and reported as such: latency carries over (67- to 74-fold across the seven splits), accuracy reverses, so the pre-specified rule returns “does not carry over”. (c) Abstract and Conclusion say what survives is narrow and why.</w:t>
            </w:r>
          </w:p>
        </w:tc>
        <w:tc>
          <w:tcPr>
            <w:tcW w:type="dxa" w:w="4819"/>
          </w:tcPr>
          <w:p>
            <w:r/>
            <w:r>
              <w:rPr>
                <w:sz w:val="17"/>
              </w:rPr>
              <w:t>Sec. I-A: “Because the solver is not where the value lies, it is fair to ask what this paper offers beyond ‘use simple rules and test them on your data’. Four things: …”. Sec. VIII-D: tail latency 25.4 s against 1,833.9 s on rotation 0; errors 486.0 against 451.0 of 968; “The rule therefore returns does not carry over.”</w:t>
            </w:r>
          </w:p>
        </w:tc>
      </w:tr>
      <w:tr>
        <w:tc>
          <w:tcPr>
            <w:tcW w:type="dxa" w:w="794"/>
          </w:tcPr>
          <w:p>
            <w:r/>
            <w:r>
              <w:rPr>
                <w:b/>
                <w:sz w:val="17"/>
              </w:rPr>
              <w:t>R2.2</w:t>
            </w:r>
          </w:p>
        </w:tc>
        <w:tc>
          <w:tcPr>
            <w:tcW w:type="dxa" w:w="3515"/>
          </w:tcPr>
          <w:p>
            <w:r/>
            <w:r>
              <w:rPr>
                <w:sz w:val="17"/>
              </w:rPr>
              <w:t>Key formulas missing: no equations for the utility, the knapsack objective or the closed-form delay threshold, though the threshold is the central contribution. Must be given and derived.</w:t>
            </w:r>
          </w:p>
        </w:tc>
        <w:tc>
          <w:tcPr>
            <w:tcW w:type="dxa" w:w="1361"/>
            <w:shd w:val="clear" w:color="auto" w:fill="E2EFDA"/>
          </w:tcPr>
          <w:p>
            <w:r/>
            <w:r>
              <w:rPr>
                <w:b/>
                <w:sz w:val="17"/>
              </w:rPr>
              <w:t>FIXED</w:t>
            </w:r>
          </w:p>
        </w:tc>
        <w:tc>
          <w:tcPr>
            <w:tcW w:type="dxa" w:w="4535"/>
          </w:tcPr>
          <w:p>
            <w:r/>
            <w:r>
              <w:rPr>
                <w:sz w:val="17"/>
              </w:rPr>
              <w:t>The original contained zero numbered equations; the current manuscript has ten plus two propositions. Equation (4) was transcribed from the reference implementation and checked by recomputation; two errors in the earlier prose were corrected and stated. Every coefficient is printed: β₀, βu, βq, βn, λb (added 2026-10-08 from config.json), λℓ, the recency time constants and the fusion base weights (added from core.py).</w:t>
            </w:r>
          </w:p>
        </w:tc>
        <w:tc>
          <w:tcPr>
            <w:tcW w:type="dxa" w:w="4819"/>
          </w:tcPr>
          <w:p>
            <w:r/>
            <w:r>
              <w:rPr>
                <w:sz w:val="17"/>
              </w:rPr>
              <w:t>Sec. III, (1)–(10): admissibility (1), knapsack objective with constraints (2), latency with forecast delay (3), value function (4), novelty (5), net-utility condition (6), closed-form delay threshold (7), calibration median (8), opinion pool (9), conformal set (10). Threshold derived from (6) in the text between (6) and (7). Propositions 1 and 2.</w:t>
            </w:r>
          </w:p>
        </w:tc>
      </w:tr>
      <w:tr>
        <w:tc>
          <w:tcPr>
            <w:tcW w:type="dxa" w:w="794"/>
          </w:tcPr>
          <w:p>
            <w:r/>
            <w:r>
              <w:rPr>
                <w:b/>
                <w:sz w:val="17"/>
              </w:rPr>
              <w:t>R2.3a</w:t>
            </w:r>
          </w:p>
        </w:tc>
        <w:tc>
          <w:tcPr>
            <w:tcW w:type="dxa" w:w="3515"/>
          </w:tcPr>
          <w:p>
            <w:r/>
            <w:r>
              <w:rPr>
                <w:sz w:val="17"/>
              </w:rPr>
              <w:t>Real-data experiment too weak: the text classifier predicts the majority class, which suggests a pipeline or class-imbalance problem rather than “text carries no signal”.</w:t>
            </w:r>
          </w:p>
        </w:tc>
        <w:tc>
          <w:tcPr>
            <w:tcW w:type="dxa" w:w="1361"/>
            <w:shd w:val="clear" w:color="auto" w:fill="E2EFDA"/>
          </w:tcPr>
          <w:p>
            <w:r/>
            <w:r>
              <w:rPr>
                <w:b/>
                <w:sz w:val="17"/>
              </w:rPr>
              <w:t>FIXED</w:t>
            </w:r>
          </w:p>
        </w:tc>
        <w:tc>
          <w:tcPr>
            <w:tcW w:type="dxa" w:w="4535"/>
          </w:tcPr>
          <w:p>
            <w:r/>
            <w:r>
              <w:rPr>
                <w:sz w:val="17"/>
              </w:rPr>
              <w:t>Diagnosed rather than assumed: 25 cells on the rotation-0 split, rule fixed in advance. Attributed to class imbalance, not to the eight-component reduction. The TF-IDF control is reported honestly: one of six cells reaches the baseline, five fall below it.</w:t>
            </w:r>
          </w:p>
        </w:tc>
        <w:tc>
          <w:tcPr>
            <w:tcW w:type="dxa" w:w="4819"/>
          </w:tcPr>
          <w:p>
            <w:r/>
            <w:r>
              <w:rPr>
                <w:sz w:val="17"/>
              </w:rPr>
              <w:t>Sec. VIII-A: majority-class output is “a class-imbalance effect rather than an artefact of the reduction”; best cell lifts macro-F1 0.219 → 0.452 while accuracy stays below the majority baseline in every rotation.</w:t>
            </w:r>
          </w:p>
        </w:tc>
      </w:tr>
      <w:tr>
        <w:tc>
          <w:tcPr>
            <w:tcW w:type="dxa" w:w="794"/>
          </w:tcPr>
          <w:p>
            <w:r/>
            <w:r>
              <w:rPr>
                <w:b/>
                <w:sz w:val="17"/>
              </w:rPr>
              <w:t>R2.3b</w:t>
            </w:r>
          </w:p>
        </w:tc>
        <w:tc>
          <w:tcPr>
            <w:tcW w:type="dxa" w:w="3515"/>
          </w:tcPr>
          <w:p>
            <w:r/>
            <w:r>
              <w:rPr>
                <w:sz w:val="17"/>
              </w:rPr>
              <w:t>Handle class imbalance.</w:t>
            </w:r>
          </w:p>
        </w:tc>
        <w:tc>
          <w:tcPr>
            <w:tcW w:type="dxa" w:w="1361"/>
            <w:shd w:val="clear" w:color="auto" w:fill="E2EFDA"/>
          </w:tcPr>
          <w:p>
            <w:r/>
            <w:r>
              <w:rPr>
                <w:b/>
                <w:sz w:val="17"/>
              </w:rPr>
              <w:t>FIXED</w:t>
            </w:r>
          </w:p>
        </w:tc>
        <w:tc>
          <w:tcPr>
            <w:tcW w:type="dxa" w:w="4535"/>
          </w:tcPr>
          <w:p>
            <w:r/>
            <w:r>
              <w:rPr>
                <w:sz w:val="17"/>
              </w:rPr>
              <w:t>Balanced resampling applied to every per-modality model and the comparison rerun; the unhandled column reproduces all ten methods exactly first. Direction survives, magnitudes change; the single-modality rule wins partly because imbalance was left in place.</w:t>
            </w:r>
          </w:p>
        </w:tc>
        <w:tc>
          <w:tcPr>
            <w:tcW w:type="dxa" w:w="4819"/>
          </w:tcPr>
          <w:p>
            <w:r/>
            <w:r>
              <w:rPr>
                <w:sz w:val="17"/>
              </w:rPr>
              <w:t>Sec. VIII-E: optimizer ahead in 14 of 21 (against 15 unhandled); gap on rotation 0 widens from −17.2 to −112.6; single-modality rules get worse, as do four fusing methods. Reference [26] He and Garcia added for the handling and the metric reading.</w:t>
            </w:r>
          </w:p>
        </w:tc>
      </w:tr>
      <w:tr>
        <w:tc>
          <w:tcPr>
            <w:tcW w:type="dxa" w:w="794"/>
          </w:tcPr>
          <w:p>
            <w:r/>
            <w:r>
              <w:rPr>
                <w:b/>
                <w:sz w:val="17"/>
              </w:rPr>
              <w:t>R2.3c</w:t>
            </w:r>
          </w:p>
        </w:tc>
        <w:tc>
          <w:tcPr>
            <w:tcW w:type="dxa" w:w="3515"/>
          </w:tcPr>
          <w:p>
            <w:r/>
            <w:r>
              <w:rPr>
                <w:sz w:val="17"/>
              </w:rPr>
              <w:t>Use an established CrisisMMD task and baseline.</w:t>
            </w:r>
          </w:p>
        </w:tc>
        <w:tc>
          <w:tcPr>
            <w:tcW w:type="dxa" w:w="1361"/>
            <w:shd w:val="clear" w:color="auto" w:fill="FFF2CC"/>
          </w:tcPr>
          <w:p>
            <w:r/>
            <w:r>
              <w:rPr>
                <w:b/>
                <w:sz w:val="17"/>
              </w:rPr>
              <w:t>PARTIALLY FIXED</w:t>
            </w:r>
          </w:p>
        </w:tc>
        <w:tc>
          <w:tcPr>
            <w:tcW w:type="dxa" w:w="4535"/>
          </w:tcPr>
          <w:p>
            <w:r/>
            <w:r>
              <w:rPr>
                <w:sz w:val="17"/>
              </w:rPr>
              <w:t>The humanitarian label, defined by the dataset’s annotators, was run (restricted to its three most frequent categories because the machinery is fixed at three). The result weakens the paper’s headline and is reported. The published-baseline reproduction cannot run, and the reason was established at source on 2026-10-08: no published multimodal baseline exists for the damage task.</w:t>
            </w:r>
          </w:p>
        </w:tc>
        <w:tc>
          <w:tcPr>
            <w:tcW w:type="dxa" w:w="4819"/>
          </w:tcPr>
          <w:p>
            <w:r/>
            <w:r>
              <w:rPr>
                <w:sz w:val="17"/>
              </w:rPr>
              <w:t>Sec. VIII-F: 11 of 21 and 3 of 7 rather than 15 of 21 and 7 of 7. Reference [5] (Ofli et al. 2020) excludes the damage task — “damage severity was applied only on images, we do not consider this task” — verified from the paper. Official split obtained and inspected (3,526 records, 2,468/529/529); image files absent. Sec. X states this.</w:t>
            </w:r>
          </w:p>
        </w:tc>
      </w:tr>
      <w:tr>
        <w:tc>
          <w:tcPr>
            <w:tcW w:type="dxa" w:w="794"/>
          </w:tcPr>
          <w:p>
            <w:r/>
            <w:r>
              <w:rPr>
                <w:b/>
                <w:sz w:val="17"/>
              </w:rPr>
              <w:t>R2.3d</w:t>
            </w:r>
          </w:p>
        </w:tc>
        <w:tc>
          <w:tcPr>
            <w:tcW w:type="dxa" w:w="3515"/>
          </w:tcPr>
          <w:p>
            <w:r/>
            <w:r>
              <w:rPr>
                <w:sz w:val="17"/>
              </w:rPr>
              <w:t>82% of the test set is one hurricane; severity fixed; no sensor modality; only 3 of 9 conditions carry over.</w:t>
            </w:r>
          </w:p>
        </w:tc>
        <w:tc>
          <w:tcPr>
            <w:tcW w:type="dxa" w:w="1361"/>
            <w:shd w:val="clear" w:color="auto" w:fill="E2EFDA"/>
          </w:tcPr>
          <w:p>
            <w:r/>
            <w:r>
              <w:rPr>
                <w:b/>
                <w:sz w:val="17"/>
              </w:rPr>
              <w:t>FIXED (disclosed)</w:t>
            </w:r>
          </w:p>
        </w:tc>
        <w:tc>
          <w:tcPr>
            <w:tcW w:type="dxa" w:w="4535"/>
          </w:tcPr>
          <w:p>
            <w:r/>
            <w:r>
              <w:rPr>
                <w:sz w:val="17"/>
              </w:rPr>
              <w:t>Seven pre-specified event rotations: the direction survives rotation, the per-condition pattern does not. Severity, the sensor modality and the 3-of-9 reduction cannot be changed by the corpus and are each disclosed with the reason.</w:t>
            </w:r>
          </w:p>
        </w:tc>
        <w:tc>
          <w:tcPr>
            <w:tcW w:type="dxa" w:w="4819"/>
          </w:tcPr>
          <w:p>
            <w:r/>
            <w:r>
              <w:rPr>
                <w:sz w:val="17"/>
              </w:rPr>
              <w:t>Sec. VIII-C: “the test set is dominated by one hurricane, so we rotated the event list through seven pre-specified assignments”. Sec. VIII-B: “CrisisMMD has no sensor stream”; “severity is held constant”; “Three conditions carry over, not nine.”</w:t>
            </w:r>
          </w:p>
        </w:tc>
      </w:tr>
      <w:tr>
        <w:tc>
          <w:tcPr>
            <w:tcW w:type="dxa" w:w="794"/>
          </w:tcPr>
          <w:p>
            <w:r/>
            <w:r>
              <w:rPr>
                <w:b/>
                <w:sz w:val="17"/>
              </w:rPr>
              <w:t>R2.4</w:t>
            </w:r>
          </w:p>
        </w:tc>
        <w:tc>
          <w:tcPr>
            <w:tcW w:type="dxa" w:w="3515"/>
          </w:tcPr>
          <w:p>
            <w:r/>
            <w:r>
              <w:rPr>
                <w:sz w:val="17"/>
              </w:rPr>
              <w:t>Statistical weakness and post-hoc analyses: synthetic data very easy (&lt;1% error); five seeds, four test events; many intervals include zero; later experiments designed after the main results. Increase seeds; separate confirmatory from exploratory claims.</w:t>
            </w:r>
          </w:p>
        </w:tc>
        <w:tc>
          <w:tcPr>
            <w:tcW w:type="dxa" w:w="1361"/>
            <w:shd w:val="clear" w:color="auto" w:fill="E2EFDA"/>
          </w:tcPr>
          <w:p>
            <w:r/>
            <w:r>
              <w:rPr>
                <w:b/>
                <w:sz w:val="17"/>
              </w:rPr>
              <w:t>FIXED</w:t>
            </w:r>
          </w:p>
        </w:tc>
        <w:tc>
          <w:tcPr>
            <w:tcW w:type="dxa" w:w="4535"/>
          </w:tcPr>
          <w:p>
            <w:r/>
            <w:r>
              <w:rPr>
                <w:sz w:val="17"/>
              </w:rPr>
              <w:t>Twenty seeds on every main condition and every column; the first five reproduce the original means exactly and the run halts on mismatch. Three of eight paired comparisons still include zero and are called inconclusive, never equivalence (the abstract’s “no accuracy cost” was corrected on 2026-10-08 for exactly this). Confirmatory (VI) and exploratory (VII, VIII) are separate sections. Easy data acknowledged.</w:t>
            </w:r>
          </w:p>
        </w:tc>
        <w:tc>
          <w:tcPr>
            <w:tcW w:type="dxa" w:w="4819"/>
          </w:tcPr>
          <w:p>
            <w:r/>
            <w:r>
              <w:rPr>
                <w:sz w:val="17"/>
              </w:rPr>
              <w:t>Sec. V-C: “We report the mean of twenty seeds … Three of the eight paired error comparisons still include zero at twenty seeds, so we treat those three as inconclusive rather than as equivalence.” Sec. VI is titled CONFIRMATORY, Sec. VII EXPLORATORY and opens “designed after the confirmatory results”. Sec. X: “synthetic and well separated, which explains error rates below 1%”.</w:t>
            </w:r>
          </w:p>
        </w:tc>
      </w:tr>
      <w:tr>
        <w:tc>
          <w:tcPr>
            <w:tcW w:type="dxa" w:w="794"/>
          </w:tcPr>
          <w:p>
            <w:r/>
            <w:r>
              <w:rPr>
                <w:b/>
                <w:sz w:val="17"/>
              </w:rPr>
              <w:t>R2.5</w:t>
            </w:r>
          </w:p>
        </w:tc>
        <w:tc>
          <w:tcPr>
            <w:tcW w:type="dxa" w:w="3515"/>
          </w:tcPr>
          <w:p>
            <w:r/>
            <w:r>
              <w:rPr>
                <w:sz w:val="17"/>
              </w:rPr>
              <w:t>Network model abstract: latency only, no protocol stack, contention or edge hardware. Scale back claims or validate with an emulator or testbed.</w:t>
            </w:r>
          </w:p>
        </w:tc>
        <w:tc>
          <w:tcPr>
            <w:tcW w:type="dxa" w:w="1361"/>
            <w:shd w:val="clear" w:color="auto" w:fill="FFF2CC"/>
          </w:tcPr>
          <w:p>
            <w:r/>
            <w:r>
              <w:rPr>
                <w:b/>
                <w:sz w:val="17"/>
              </w:rPr>
              <w:t>PARTIALLY FIXED</w:t>
            </w:r>
          </w:p>
        </w:tc>
        <w:tc>
          <w:tcPr>
            <w:tcW w:type="dxa" w:w="4535"/>
          </w:tcPr>
          <w:p>
            <w:r/>
            <w:r>
              <w:rPr>
                <w:sz w:val="17"/>
              </w:rPr>
              <w:t>Two experiments narrow the link model: packet loss with retransmission, and replayed measured LTE capacity traces. Deployment claims scaled back everywhere. No emulator or testbed was available; stated rather than worked around.</w:t>
            </w:r>
          </w:p>
        </w:tc>
        <w:tc>
          <w:tcPr>
            <w:tcW w:type="dxa" w:w="4819"/>
          </w:tcPr>
          <w:p>
            <w:r/>
            <w:r>
              <w:rPr>
                <w:sz w:val="17"/>
              </w:rPr>
              <w:t>Sec. VII: at 10% loss the policy’s tail goes 0.57 → 4.70 s against 0.09 → 0.14 s for the fixed rule; measured traces inflate tail latency up to 8.7×. Sec. X: “no protocol stack … no hardware testbed”. Emulator not available (see R1.4).</w:t>
            </w:r>
          </w:p>
        </w:tc>
      </w:tr>
      <w:tr>
        <w:tc>
          <w:tcPr>
            <w:tcW w:type="dxa" w:w="794"/>
          </w:tcPr>
          <w:p>
            <w:r/>
            <w:r>
              <w:rPr>
                <w:b/>
                <w:sz w:val="17"/>
              </w:rPr>
              <w:t>R2.6</w:t>
            </w:r>
          </w:p>
        </w:tc>
        <w:tc>
          <w:tcPr>
            <w:tcW w:type="dxa" w:w="3515"/>
          </w:tcPr>
          <w:p>
            <w:r/>
            <w:r>
              <w:rPr>
                <w:sz w:val="17"/>
              </w:rPr>
              <w:t>Presentation: very long, written as a narrative audit; internal and draft text (“earlier version”, “this journal’s readership”, the DOI placeholder); shorten substantially, remove draft and audit text, organise results around a few clear claims.</w:t>
            </w:r>
          </w:p>
        </w:tc>
        <w:tc>
          <w:tcPr>
            <w:tcW w:type="dxa" w:w="1361"/>
            <w:shd w:val="clear" w:color="auto" w:fill="E2EFDA"/>
          </w:tcPr>
          <w:p>
            <w:r/>
            <w:r>
              <w:rPr>
                <w:b/>
                <w:sz w:val="17"/>
              </w:rPr>
              <w:t>FIXED</w:t>
            </w:r>
          </w:p>
        </w:tc>
        <w:tc>
          <w:tcPr>
            <w:tcW w:type="dxa" w:w="4535"/>
          </w:tcPr>
          <w:p>
            <w:r/>
            <w:r>
              <w:rPr>
                <w:sz w:val="17"/>
              </w:rPr>
              <w:t>17 pages → 12. Every instance of the quoted draft text is gone, the last on 2026-10-08. Results reorganised around named claims: I-A states four; each Section VI subsection title states its claim; VII and VIII are explicitly exploratory. A mis-numbered stray heading in the original (“I. A Measured Link Is Not a Constant One”) is gone.</w:t>
            </w:r>
          </w:p>
        </w:tc>
        <w:tc>
          <w:tcPr>
            <w:tcW w:type="dxa" w:w="4819"/>
          </w:tcPr>
          <w:p>
            <w:r/>
            <w:r>
              <w:rPr>
                <w:sz w:val="17"/>
              </w:rPr>
              <w:t>“earlier version”: 6 occurrences → 0. “journal’s readership”: 2 → 0. DOI placeholder: 1 → 0. Subsection titles now carry the claim (“When Bandwidth Is the Only Constraint, a Fixed Rule Is Enough”; “The Threshold Matters, the Solver Does Not”).</w:t>
            </w:r>
          </w:p>
        </w:tc>
      </w:tr>
    </w:tbl>
    <w:p/>
    <w:p>
      <w:pPr>
        <w:pStyle w:val="Heading2"/>
      </w:pPr>
      <w:r>
        <w:t>Summary</w:t>
      </w:r>
    </w:p>
    <w:tbl>
      <w:tblPr>
        <w:tblStyle w:val="TableGrid"/>
        <w:tblW w:type="auto" w:w="0"/>
        <w:tblLook w:firstColumn="1" w:firstRow="1" w:lastColumn="0" w:lastRow="0" w:noHBand="0" w:noVBand="1" w:val="04A0"/>
      </w:tblPr>
      <w:tblGrid>
        <w:gridCol w:w="5046"/>
        <w:gridCol w:w="5046"/>
        <w:gridCol w:w="5046"/>
      </w:tblGrid>
      <w:tr>
        <w:tc>
          <w:tcPr>
            <w:tcW w:type="dxa" w:w="5046"/>
            <w:shd w:val="clear" w:color="auto" w:fill="D9D9D9"/>
          </w:tcPr>
          <w:p>
            <w:r/>
            <w:r>
              <w:rPr>
                <w:b/>
                <w:sz w:val="18"/>
              </w:rPr>
              <w:t>Status</w:t>
            </w:r>
          </w:p>
        </w:tc>
        <w:tc>
          <w:tcPr>
            <w:tcW w:type="dxa" w:w="5046"/>
            <w:shd w:val="clear" w:color="auto" w:fill="D9D9D9"/>
          </w:tcPr>
          <w:p>
            <w:r/>
            <w:r>
              <w:rPr>
                <w:b/>
                <w:sz w:val="18"/>
              </w:rPr>
              <w:t>Items</w:t>
            </w:r>
          </w:p>
        </w:tc>
        <w:tc>
          <w:tcPr>
            <w:tcW w:type="dxa" w:w="5046"/>
            <w:shd w:val="clear" w:color="auto" w:fill="D9D9D9"/>
          </w:tcPr>
          <w:p>
            <w:r/>
            <w:r>
              <w:rPr>
                <w:b/>
                <w:sz w:val="18"/>
              </w:rPr>
              <w:t>Count</w:t>
            </w:r>
          </w:p>
        </w:tc>
      </w:tr>
      <w:tr>
        <w:tc>
          <w:tcPr>
            <w:tcW w:type="dxa" w:w="5046"/>
          </w:tcPr>
          <w:p>
            <w:r/>
            <w:r>
              <w:rPr>
                <w:b/>
                <w:sz w:val="18"/>
              </w:rPr>
              <w:t>FIXED</w:t>
            </w:r>
          </w:p>
        </w:tc>
        <w:tc>
          <w:tcPr>
            <w:tcW w:type="dxa" w:w="5046"/>
          </w:tcPr>
          <w:p>
            <w:r/>
            <w:r>
              <w:rPr>
                <w:b w:val="0"/>
                <w:sz w:val="18"/>
              </w:rPr>
              <w:t>R1.1, R1.2, R2.1, R2.2, R2.3a, R2.3b, R2.3d, R2.4, R2.6</w:t>
            </w:r>
          </w:p>
        </w:tc>
        <w:tc>
          <w:tcPr>
            <w:tcW w:type="dxa" w:w="5046"/>
          </w:tcPr>
          <w:p>
            <w:r/>
            <w:r>
              <w:rPr>
                <w:b w:val="0"/>
                <w:sz w:val="18"/>
              </w:rPr>
              <w:t>9</w:t>
            </w:r>
          </w:p>
        </w:tc>
      </w:tr>
      <w:tr>
        <w:tc>
          <w:tcPr>
            <w:tcW w:type="dxa" w:w="5046"/>
          </w:tcPr>
          <w:p>
            <w:r/>
            <w:r>
              <w:rPr>
                <w:b/>
                <w:sz w:val="18"/>
              </w:rPr>
              <w:t>PARTIALLY FIXED</w:t>
            </w:r>
          </w:p>
        </w:tc>
        <w:tc>
          <w:tcPr>
            <w:tcW w:type="dxa" w:w="5046"/>
          </w:tcPr>
          <w:p>
            <w:r/>
            <w:r>
              <w:rPr>
                <w:b w:val="0"/>
                <w:sz w:val="18"/>
              </w:rPr>
              <w:t>R1.3 (deposit is the authors’), R2.3c (baseline does not exist at source; the task itself was run), R2.5 (narrowed, not closed)</w:t>
            </w:r>
          </w:p>
        </w:tc>
        <w:tc>
          <w:tcPr>
            <w:tcW w:type="dxa" w:w="5046"/>
          </w:tcPr>
          <w:p>
            <w:r/>
            <w:r>
              <w:rPr>
                <w:b w:val="0"/>
                <w:sz w:val="18"/>
              </w:rPr>
              <w:t>3</w:t>
            </w:r>
          </w:p>
        </w:tc>
      </w:tr>
      <w:tr>
        <w:tc>
          <w:tcPr>
            <w:tcW w:type="dxa" w:w="5046"/>
          </w:tcPr>
          <w:p>
            <w:r/>
            <w:r>
              <w:rPr>
                <w:b/>
                <w:sz w:val="18"/>
              </w:rPr>
              <w:t>NOT FIXED</w:t>
            </w:r>
          </w:p>
        </w:tc>
        <w:tc>
          <w:tcPr>
            <w:tcW w:type="dxa" w:w="5046"/>
          </w:tcPr>
          <w:p>
            <w:r/>
            <w:r>
              <w:rPr>
                <w:b w:val="0"/>
                <w:sz w:val="18"/>
              </w:rPr>
              <w:t>R1.4 (no hardware; claims bounded instead)</w:t>
            </w:r>
          </w:p>
        </w:tc>
        <w:tc>
          <w:tcPr>
            <w:tcW w:type="dxa" w:w="5046"/>
          </w:tcPr>
          <w:p>
            <w:r/>
            <w:r>
              <w:rPr>
                <w:b w:val="0"/>
                <w:sz w:val="18"/>
              </w:rPr>
              <w:t>1</w:t>
            </w:r>
          </w:p>
        </w:tc>
      </w:tr>
    </w:tbl>
    <w:p>
      <w:pPr>
        <w:spacing w:after="80"/>
      </w:pPr>
      <w:r>
        <w:rPr>
          <w:b w:val="0"/>
          <w:sz w:val="18"/>
        </w:rPr>
      </w:r>
    </w:p>
    <w:p>
      <w:pPr>
        <w:spacing w:after="80"/>
      </w:pPr>
      <w:r>
        <w:rPr>
          <w:b w:val="0"/>
          <w:sz w:val="18"/>
        </w:rPr>
        <w:t>Two outcomes go against the paper’s own narrative and are reported rather than softened: the threshold rule does not carry over on accuracy (R2.1), and the real-data ranking depends on the label chosen (R2.3c).</w:t>
      </w:r>
    </w:p>
    <w:p>
      <w:pPr>
        <w:pStyle w:val="Heading2"/>
      </w:pPr>
      <w:r>
        <w:t>Author actions still open</w:t>
      </w:r>
    </w:p>
    <w:p>
      <w:pPr>
        <w:pStyle w:val="ListNumber"/>
      </w:pPr>
      <w:r>
        <w:t>Deposit the release and insert the identifier into \archivedoi (R1.3).</w:t>
      </w:r>
    </w:p>
    <w:p>
      <w:pPr>
        <w:pStyle w:val="ListNumber"/>
      </w:pPr>
      <w:r>
        <w:t>Reconcile CITATION.cff author fields with the five authors named on the paper (R1.3).</w:t>
      </w:r>
    </w:p>
    <w:p>
      <w:pPr>
        <w:pStyle w:val="ListNumber"/>
      </w:pPr>
      <w:r>
        <w:t>Paste the conference copyright line into \copyrightline, then run manuscript/latex/build.sh.</w:t>
      </w:r>
    </w:p>
    <w:p>
      <w:pPr>
        <w:pStyle w:val="ListNumber"/>
      </w:pPr>
      <w:r>
        <w:t>Run an institutional iThenticate or Turnitin check — the one review item that cannot be done here.</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