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Response to Reviewers</w:t>
      </w:r>
    </w:p>
    <w:p>
      <w:r>
        <w:t>EdgeCloud: Evidence Budgeting for Edge AI under Degraded Connectivity: A Validation Study of Adaptivity, Admissibility and Adversarial Metadata on Synthetic and Real Disaster Data</w:t>
      </w:r>
    </w:p>
    <w:p>
      <w:r>
        <w:t>We thank the reviewers for their careful reading and constructive comments. We have revised the paper to address every point. The revised submission is supplied in two forms built from one source: the complete twelve-page version (EdgeCloud_ICCA_v2_IEEEA4) and a six-page version (EdgeCloud_ICCA_v2_6pp_IEEEA4) that compresses the same study without removing any result, negative finding or limitation. Section numbers below refer to the twelve-page version, with the six-page location in parentheses. Every number quoted here is printed in the revised paper and traces to retained execution outputs in the reproducibility package.</w:t>
      </w:r>
    </w:p>
    <w:p>
      <w:pPr>
        <w:pStyle w:val="Heading1"/>
      </w:pPr>
      <w:r>
        <w:t>Reviewer 1</w:t>
      </w:r>
    </w:p>
    <w:p>
      <w:pPr>
        <w:pStyle w:val="Heading2"/>
      </w:pPr>
      <w:r>
        <w:t>Comment 1. Gap between the operational motivation and the validation; conclusions about deployment should stay within the stated boundaries.</w:t>
      </w:r>
    </w:p>
    <w:p>
      <w:r>
        <w:t>We agree. Every statement about edge deployment is now bounded explicitly. Section X names what is absent (no hardware testbed, no radio, no energy measurement, no MAC layer, routing or contention) and states which four claims remain untested on hardware: every latency smaller than a round trip, which the emulator shows to be a lower bound; the loss term, which the emulator contradicts at 10% loss; the compute cost, reported only as workstation wall-clock time and peak allocation; and the cost of per-slot coordination. Section XII closes with "field value on edge hardware and radios remains to be established". Section I-A frames each contribution as a derivation, a protocol or a failure mode, never as a deployment result. (Six-page version: Sections I, IX and XI.)</w:t>
      </w:r>
    </w:p>
    <w:p>
      <w:pPr>
        <w:pStyle w:val="Heading2"/>
      </w:pPr>
      <w:r>
        <w:t>Comment 2. A modality can score well on the proposed criteria while contributing little predictive information; this deserves more attention.</w:t>
      </w:r>
    </w:p>
    <w:p>
      <w:r>
        <w:t>We agree that this is the most consequential observation in the real-data experiment, and the revision turns it from an observation into a measured mechanism and a repair. Section VIII-A reports a twenty-five-cell diagnostic over five text representations, three class handlings and three classifiers with a pass rule fixed in advance; it attributes the text pathway's majority-class output to class imbalance rather than to the dimensionality of the reduction. Section VIII-G then adds the term the value function lacked: each modality's balanced accuracy above chance, estimated on the calibration events only, relative to the best modality. On the damage label the text estimate is 0.000 at every seed, so the policy stops sending text and its errors fall from 447.0 to 386.2 under normal connectivity, 466.8 to 431.0 under low bandwidth and 462.2 to 431.0 under misaligned evidence, below transmit-all everywhere. Across the seven event rotations the term improves 8 of 21 cells, leaves 9 unchanged and worsens 4 where the calibration disasters misjudged text; on the synthetic benchmark it moves 4 of 180 cells by one error. The limitation that the estimate is only as good as the calibration events is stated in Section X. (Six-page version: Sections VIII-A, VIII-E and IX.)</w:t>
      </w:r>
    </w:p>
    <w:p>
      <w:pPr>
        <w:pStyle w:val="Heading2"/>
      </w:pPr>
      <w:r>
        <w:t>Comment 3. The dataset DOI placeholder should be resolved before the final version.</w:t>
      </w:r>
    </w:p>
    <w:p>
      <w:r>
        <w:t>The placeholder text has been removed from the paper. The release (version 2.6.18, 234 files with a SHA256SUMS digest for each) is assembled and documented in Section XI, and the archival identifier is held in a single camera-ready slot so that it prints once the deposit is made; the build gate refuses a file in which the slot is still a placeholder. The deposit itself and the identifier are supplied by the authors at camera-ready. (Six-page version: Section X.)</w:t>
      </w:r>
    </w:p>
    <w:p>
      <w:pPr>
        <w:pStyle w:val="Heading2"/>
      </w:pPr>
      <w:r>
        <w:t>Comment 4. Validation on actual edge and communication hardware would significantly strengthen the work.</w:t>
      </w:r>
    </w:p>
    <w:p>
      <w:r>
        <w:t>We were unable to obtain edge hardware or a radio testbed for this revision, and we say so rather than approximate it. What we could do was put a real transport under the link model: every payload of the byte model was sent over TCP through Mahimahi link shells on the three constant links, under five loss rates and on three measured LTE traces beside mean-matched constants, 2,890 transfers in 17 cells with none failed (Section VII). The byte-proportional term of the latency model is confirmed (the 420 kB raw record took 14.05 s on the 256 kbps link against 13.35 s modelled); the fixed overhead is one round trip short and the loss term misses in both directions, so the paper now states that every latency small against a round trip is a lower bound. Section X lists what the emulation does not establish, and we regard hardware validation as open. (Six-page version: Sections VII and IX.)</w:t>
      </w:r>
    </w:p>
    <w:p>
      <w:pPr>
        <w:pStyle w:val="Heading1"/>
      </w:pPr>
      <w:r>
        <w:t>Reviewer 2</w:t>
      </w:r>
    </w:p>
    <w:p>
      <w:pPr>
        <w:pStyle w:val="Heading2"/>
      </w:pPr>
      <w:r>
        <w:t>Comment 1. The contribution is thin and unclear; the threshold rule is never tested on real data; state what a reader gains beyond "use simple rules and test them on your own data".</w:t>
      </w:r>
    </w:p>
    <w:p>
      <w:r>
        <w:t>Section I-A now states five things a reader gains: the closed-form delay threshold (7) and its constant form (8), which the simple rules do not supply; the held-out contribution term of Section VIII-G; a recipe for deriving three candidate rules from the same quantities with an information-matched protocol for choosing among them; evidence about which assumptions fail (conformal coverage across conditions and events, the byte model, the dependence of every real-data ranking on the labelling); and two failure modes for contested deployments (admissibility against forgery, the exact knapsack without coordination). The threshold rule is now tested on real data in Section VIII-D under a protocol frozen before the run: it keeps a 67- to 74-fold tail-latency reduction in all seven event rotations, and its accuracy gain does not carry over, because the corpus does not decay evidence while a decision waits. We report that negative outcome rather than soften it. (Six-page version: Sections I and VIII-C.)</w:t>
      </w:r>
    </w:p>
    <w:p>
      <w:pPr>
        <w:pStyle w:val="Heading2"/>
      </w:pPr>
      <w:r>
        <w:t>Comment 2. Key formulas are missing: the utility, the knapsack objective and the closed-form delay threshold must be given and derived.</w:t>
      </w:r>
    </w:p>
    <w:p>
      <w:r>
        <w:t>Section III now gives every quantity the method uses: the admissibility rule (1), the shared-budget multiple-choice knapsack (2) with its latency term (3), the value function (4) with every coefficient stated, the Jensen-Shannon novelty term (5), the net-utility condition (6) from which the delay threshold (7) is derived by rearrangement, the calibration-derived constant (8), the logarithmic opinion pool (9) and the conformal set (10), together with a feasibility and exactness proposition for the rounded dynamic program and a coverage proposition that states exactly what is and is not guaranteed. (Six-page version: equations (1) to (8) in Sections III and IV, the propositions as a paragraph in Section III-D.)</w:t>
      </w:r>
    </w:p>
    <w:p>
      <w:pPr>
        <w:pStyle w:val="Heading2"/>
      </w:pPr>
      <w:r>
        <w:t>Comment 3. The real-data experiment is too weak: the majority-class text classifier suggests a pipeline or class-imbalance problem; the test set is dominated by one hurricane; an established CrisisMMD task and baseline should be used and class imbalance handled.</w:t>
      </w:r>
    </w:p>
    <w:p>
      <w:r>
        <w:t>We addressed each part with a new experiment rather than an argument. (a) Text pipeline: the twenty-five-cell diagnostic of Section VIII-A shows that no tested representation, including the full 512-dimension CLIP embedding and a TF-IDF control, clears a bar fixed in advance on this label, and that balanced resampling raises macro-F1 from 0.219 to 0.452 while accuracy stays below the majority baseline; the cause is class imbalance, not the reduction. (b) Test-set dominance: the event list is rotated through seven pre-specified 3/2/2 assignments with none discarded so that every disaster serves as a test event; Section VIII-D reports all seven. The optimizer leads the fixed rule in 15 of 21 comparisons, but the direction of any single condition depends on which disasters land in the test set. (c) Established task and baseline: Section VIII-G runs the unchanged pipeline on the two published CrisisMMD tasks on their published agreed-label splits; transmit-all reaches 91.4% and 86.3% against the published multimodal 84.4% and 78.4%, the text pathway carries signal on those labels (82.7% against the published 80.8%), and the damage-label pattern repeats. (d) Class imbalance: Section VIII-E applies balanced resampling to every per-modality model; the optimizer stays ahead in 14 of 21 comparisons and the primary-split gap widens from -17.2 to -112.6 errors, while every single-modality rule worsens. Section VIII-F adds a test the point implies: on the annotators' own humanitarian label the lead falls to 11 of 21, so the direction of the real-data result is a property of the label as much as of the method. (Six-page version: Sections VIII-A, VIII-B, VIII-D and VIII-E.)</w:t>
      </w:r>
    </w:p>
    <w:p>
      <w:pPr>
        <w:pStyle w:val="Heading2"/>
      </w:pPr>
      <w:r>
        <w:t>Comment 4. Statistical weakness and post-hoc analyses: easy synthetic data, five seeds, many intervals including zero, later experiments designed after the main results; increase seeds and separate confirmatory from exploratory claims.</w:t>
      </w:r>
    </w:p>
    <w:p>
      <w:r>
        <w:t>Every main condition now runs at twenty seeds with two-sided 95% t intervals and paired seed-level differences; the first five seeds reproduce the original means exactly. Three of the eight paired error comparisons still include zero and are reported as inconclusive rather than as equivalence (Sections V-C and X). The paper is organised so that Section VI carries the confirmatory results, Section VI-F is the pre-registered contested-budget test with frozen protocol files whose SHA-256 digests are checked at run time, and Sections VII and VIII are labelled exploratory in their first sentences. The ease of the synthetic data is stated in Section X; the contested-budget condition was constructed by a rule fixed in advance. (Six-page version: Sections V, VI-E, VII, VIII and IX.)</w:t>
      </w:r>
    </w:p>
    <w:p>
      <w:pPr>
        <w:pStyle w:val="Heading2"/>
      </w:pPr>
      <w:r>
        <w:t>Comment 5. The network model is abstract; claims about edge deployment should be scaled back or validated with an emulator or testbed.</w:t>
      </w:r>
    </w:p>
    <w:p>
      <w:r>
        <w:t>Both. Section VII adds packet loss with retransmission (the tail-latency gap between the fixed rule and the policy widens from 6x to 34x at 10% loss), replays measured LTE traces against mean-matched constant links (tail latency inflated by up to 8.7x), and places a real TCP stack under the model through Mahimahi link shells (2,890 transfers, none failed), which confirms the byte term and contradicts the fixed overhead and the loss term. Claims are scaled back accordingly: Section X states that every deployment statement is bounded by simulation and emulation on a workstation, and the conclusion names field value on edge hardware and radios as not established. (Six-page version: Sections VII, IX and XI.)</w:t>
      </w:r>
    </w:p>
    <w:p>
      <w:pPr>
        <w:pStyle w:val="Heading2"/>
      </w:pPr>
      <w:r>
        <w:t>Comment 6. Presentation: very long, written as a narrative audit, with internal draft text and a DOI placeholder; shorten substantially and organise around a few clear claims.</w:t>
      </w:r>
    </w:p>
    <w:p>
      <w:r>
        <w:t>The paper was shortened from 17 to 12 pages and a six-page version is supplied beside it. Every instance of draft and audit wording ("earlier version", "this journal's readership", "first submission", the DOI placeholder) has been removed. Results are organised around claims stated in the subsection titles ("When Bandwidth Is the Only Constraint, a Fixed Rule Is Enough"; "The Threshold Matters, the Solver Does Not"; "Admissibility, Not Optimization, Keeps Foreign Reports Out"), Section I-A lists the five claims, Section IX states what the evidence supports and Section X the limits. The six-page version keeps every table, the central figure, every result and every limitation and moves the remainder to the complete record. (Six-page version: throughout.)</w:t>
      </w:r>
    </w:p>
    <w:p>
      <w:r>
        <w:t>We appreciate the opportunity to improve the manuscript. The revisions are confined to the reviewers' requests, preserve the original research question and report every outcome that went against the proposed method.</w:t>
      </w:r>
    </w:p>
    <w:p>
      <w:pPr>
        <w:pStyle w:val="Heading1"/>
      </w:pPr>
      <w:r>
        <w:t>Summary of where each comment is addressed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Comment</w:t>
            </w:r>
          </w:p>
        </w:tc>
        <w:tc>
          <w:tcPr>
            <w:tcW w:type="dxa" w:w="2160"/>
          </w:tcPr>
          <w:p>
            <w:r>
              <w:rPr>
                <w:b/>
              </w:rPr>
              <w:t>Issue</w:t>
            </w:r>
          </w:p>
        </w:tc>
        <w:tc>
          <w:tcPr>
            <w:tcW w:type="dxa" w:w="2160"/>
          </w:tcPr>
          <w:p>
            <w:r>
              <w:rPr>
                <w:b/>
              </w:rPr>
              <w:t>Addressed in (12-page)</w:t>
            </w:r>
          </w:p>
        </w:tc>
        <w:tc>
          <w:tcPr>
            <w:tcW w:type="dxa" w:w="2160"/>
          </w:tcPr>
          <w:p>
            <w:r>
              <w:rPr>
                <w:b/>
              </w:rPr>
              <w:t>Addressed in (six-page)</w:t>
            </w:r>
          </w:p>
        </w:tc>
      </w:tr>
      <w:tr>
        <w:tc>
          <w:tcPr>
            <w:tcW w:type="dxa" w:w="2160"/>
          </w:tcPr>
          <w:p>
            <w:r>
              <w:t>R1 Comment 1</w:t>
            </w:r>
          </w:p>
        </w:tc>
        <w:tc>
          <w:tcPr>
            <w:tcW w:type="dxa" w:w="2160"/>
          </w:tcPr>
          <w:p>
            <w:r>
              <w:t>Deployment claims bounded</w:t>
            </w:r>
          </w:p>
        </w:tc>
        <w:tc>
          <w:tcPr>
            <w:tcW w:type="dxa" w:w="2160"/>
          </w:tcPr>
          <w:p>
            <w:r>
              <w:t>Sections I-A, X, XII</w:t>
            </w:r>
          </w:p>
        </w:tc>
        <w:tc>
          <w:tcPr>
            <w:tcW w:type="dxa" w:w="2160"/>
          </w:tcPr>
          <w:p>
            <w:r>
              <w:t>Sections I, IX, XI</w:t>
            </w:r>
          </w:p>
        </w:tc>
      </w:tr>
      <w:tr>
        <w:tc>
          <w:tcPr>
            <w:tcW w:type="dxa" w:w="2160"/>
          </w:tcPr>
          <w:p>
            <w:r>
              <w:t>R1 Comment 2</w:t>
            </w:r>
          </w:p>
        </w:tc>
        <w:tc>
          <w:tcPr>
            <w:tcW w:type="dxa" w:w="2160"/>
          </w:tcPr>
          <w:p>
            <w:r>
              <w:t>Value function blind to predictive contribution</w:t>
            </w:r>
          </w:p>
        </w:tc>
        <w:tc>
          <w:tcPr>
            <w:tcW w:type="dxa" w:w="2160"/>
          </w:tcPr>
          <w:p>
            <w:r>
              <w:t>Sections VIII-A, VIII-G, X</w:t>
            </w:r>
          </w:p>
        </w:tc>
        <w:tc>
          <w:tcPr>
            <w:tcW w:type="dxa" w:w="2160"/>
          </w:tcPr>
          <w:p>
            <w:r>
              <w:t>Sections VIII-A, VIII-E, IX</w:t>
            </w:r>
          </w:p>
        </w:tc>
      </w:tr>
      <w:tr>
        <w:tc>
          <w:tcPr>
            <w:tcW w:type="dxa" w:w="2160"/>
          </w:tcPr>
          <w:p>
            <w:r>
              <w:t>R1 Comment 3</w:t>
            </w:r>
          </w:p>
        </w:tc>
        <w:tc>
          <w:tcPr>
            <w:tcW w:type="dxa" w:w="2160"/>
          </w:tcPr>
          <w:p>
            <w:r>
              <w:t>DOI placeholder</w:t>
            </w:r>
          </w:p>
        </w:tc>
        <w:tc>
          <w:tcPr>
            <w:tcW w:type="dxa" w:w="2160"/>
          </w:tcPr>
          <w:p>
            <w:r>
              <w:t>Section XI (camera-ready slot)</w:t>
            </w:r>
          </w:p>
        </w:tc>
        <w:tc>
          <w:tcPr>
            <w:tcW w:type="dxa" w:w="2160"/>
          </w:tcPr>
          <w:p>
            <w:r>
              <w:t>Section X</w:t>
            </w:r>
          </w:p>
        </w:tc>
      </w:tr>
      <w:tr>
        <w:tc>
          <w:tcPr>
            <w:tcW w:type="dxa" w:w="2160"/>
          </w:tcPr>
          <w:p>
            <w:r>
              <w:t>R1 Comment 4</w:t>
            </w:r>
          </w:p>
        </w:tc>
        <w:tc>
          <w:tcPr>
            <w:tcW w:type="dxa" w:w="2160"/>
          </w:tcPr>
          <w:p>
            <w:r>
              <w:t>Hardware validation</w:t>
            </w:r>
          </w:p>
        </w:tc>
        <w:tc>
          <w:tcPr>
            <w:tcW w:type="dxa" w:w="2160"/>
          </w:tcPr>
          <w:p>
            <w:r>
              <w:t>Sections VII (emulator), X</w:t>
            </w:r>
          </w:p>
        </w:tc>
        <w:tc>
          <w:tcPr>
            <w:tcW w:type="dxa" w:w="2160"/>
          </w:tcPr>
          <w:p>
            <w:r>
              <w:t>Sections VII, IX</w:t>
            </w:r>
          </w:p>
        </w:tc>
      </w:tr>
      <w:tr>
        <w:tc>
          <w:tcPr>
            <w:tcW w:type="dxa" w:w="2160"/>
          </w:tcPr>
          <w:p>
            <w:r>
              <w:t>R2 Comment 1</w:t>
            </w:r>
          </w:p>
        </w:tc>
        <w:tc>
          <w:tcPr>
            <w:tcW w:type="dxa" w:w="2160"/>
          </w:tcPr>
          <w:p>
            <w:r>
              <w:t>Contribution and the threshold on real data</w:t>
            </w:r>
          </w:p>
        </w:tc>
        <w:tc>
          <w:tcPr>
            <w:tcW w:type="dxa" w:w="2160"/>
          </w:tcPr>
          <w:p>
            <w:r>
              <w:t>Sections I-A, VIII-D</w:t>
            </w:r>
          </w:p>
        </w:tc>
        <w:tc>
          <w:tcPr>
            <w:tcW w:type="dxa" w:w="2160"/>
          </w:tcPr>
          <w:p>
            <w:r>
              <w:t>Sections I, VIII-C</w:t>
            </w:r>
          </w:p>
        </w:tc>
      </w:tr>
      <w:tr>
        <w:tc>
          <w:tcPr>
            <w:tcW w:type="dxa" w:w="2160"/>
          </w:tcPr>
          <w:p>
            <w:r>
              <w:t>R2 Comment 2</w:t>
            </w:r>
          </w:p>
        </w:tc>
        <w:tc>
          <w:tcPr>
            <w:tcW w:type="dxa" w:w="2160"/>
          </w:tcPr>
          <w:p>
            <w:r>
              <w:t>Equations</w:t>
            </w:r>
          </w:p>
        </w:tc>
        <w:tc>
          <w:tcPr>
            <w:tcW w:type="dxa" w:w="2160"/>
          </w:tcPr>
          <w:p>
            <w:r>
              <w:t>Section III (1)-(8), Section IV (9)-(10)</w:t>
            </w:r>
          </w:p>
        </w:tc>
        <w:tc>
          <w:tcPr>
            <w:tcW w:type="dxa" w:w="2160"/>
          </w:tcPr>
          <w:p>
            <w:r>
              <w:t>Sections III, IV, (1)-(8)</w:t>
            </w:r>
          </w:p>
        </w:tc>
      </w:tr>
      <w:tr>
        <w:tc>
          <w:tcPr>
            <w:tcW w:type="dxa" w:w="2160"/>
          </w:tcPr>
          <w:p>
            <w:r>
              <w:t>R2 Comment 3</w:t>
            </w:r>
          </w:p>
        </w:tc>
        <w:tc>
          <w:tcPr>
            <w:tcW w:type="dxa" w:w="2160"/>
          </w:tcPr>
          <w:p>
            <w:r>
              <w:t>Real-data experiment</w:t>
            </w:r>
          </w:p>
        </w:tc>
        <w:tc>
          <w:tcPr>
            <w:tcW w:type="dxa" w:w="2160"/>
          </w:tcPr>
          <w:p>
            <w:r>
              <w:t>Sections VIII-A, VIII-D, VIII-E, VIII-F, VIII-G</w:t>
            </w:r>
          </w:p>
        </w:tc>
        <w:tc>
          <w:tcPr>
            <w:tcW w:type="dxa" w:w="2160"/>
          </w:tcPr>
          <w:p>
            <w:r>
              <w:t>Sections VIII-A, VIII-B, VIII-D, VIII-E</w:t>
            </w:r>
          </w:p>
        </w:tc>
      </w:tr>
      <w:tr>
        <w:tc>
          <w:tcPr>
            <w:tcW w:type="dxa" w:w="2160"/>
          </w:tcPr>
          <w:p>
            <w:r>
              <w:t>R2 Comment 4</w:t>
            </w:r>
          </w:p>
        </w:tc>
        <w:tc>
          <w:tcPr>
            <w:tcW w:type="dxa" w:w="2160"/>
          </w:tcPr>
          <w:p>
            <w:r>
              <w:t>Seeds; confirmatory against exploratory</w:t>
            </w:r>
          </w:p>
        </w:tc>
        <w:tc>
          <w:tcPr>
            <w:tcW w:type="dxa" w:w="2160"/>
          </w:tcPr>
          <w:p>
            <w:r>
              <w:t>Sections V-C, VI, VI-F, VII, VIII, X</w:t>
            </w:r>
          </w:p>
        </w:tc>
        <w:tc>
          <w:tcPr>
            <w:tcW w:type="dxa" w:w="2160"/>
          </w:tcPr>
          <w:p>
            <w:r>
              <w:t>Sections V, VI-E, VII, VIII, IX</w:t>
            </w:r>
          </w:p>
        </w:tc>
      </w:tr>
      <w:tr>
        <w:tc>
          <w:tcPr>
            <w:tcW w:type="dxa" w:w="2160"/>
          </w:tcPr>
          <w:p>
            <w:r>
              <w:t>R2 Comment 5</w:t>
            </w:r>
          </w:p>
        </w:tc>
        <w:tc>
          <w:tcPr>
            <w:tcW w:type="dxa" w:w="2160"/>
          </w:tcPr>
          <w:p>
            <w:r>
              <w:t>Network model</w:t>
            </w:r>
          </w:p>
        </w:tc>
        <w:tc>
          <w:tcPr>
            <w:tcW w:type="dxa" w:w="2160"/>
          </w:tcPr>
          <w:p>
            <w:r>
              <w:t>Sections VII, X, XII</w:t>
            </w:r>
          </w:p>
        </w:tc>
        <w:tc>
          <w:tcPr>
            <w:tcW w:type="dxa" w:w="2160"/>
          </w:tcPr>
          <w:p>
            <w:r>
              <w:t>Sections VII, IX, XI</w:t>
            </w:r>
          </w:p>
        </w:tc>
      </w:tr>
      <w:tr>
        <w:tc>
          <w:tcPr>
            <w:tcW w:type="dxa" w:w="2160"/>
          </w:tcPr>
          <w:p>
            <w:r>
              <w:t>R2 Comment 6</w:t>
            </w:r>
          </w:p>
        </w:tc>
        <w:tc>
          <w:tcPr>
            <w:tcW w:type="dxa" w:w="2160"/>
          </w:tcPr>
          <w:p>
            <w:r>
              <w:t>Presentation</w:t>
            </w:r>
          </w:p>
        </w:tc>
        <w:tc>
          <w:tcPr>
            <w:tcW w:type="dxa" w:w="2160"/>
          </w:tcPr>
          <w:p>
            <w:r>
              <w:t>Throughout; six-page version supplied</w:t>
            </w:r>
          </w:p>
        </w:tc>
        <w:tc>
          <w:tcPr>
            <w:tcW w:type="dxa" w:w="2160"/>
          </w:tcPr>
          <w:p>
            <w:r>
              <w:t>Throughout</w:t>
            </w:r>
          </w:p>
        </w:tc>
      </w:tr>
    </w:tbl>
    <w:sectPr w:rsidR="00FC693F" w:rsidRPr="0006063C" w:rsidSect="00034616">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