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4"/>
          <w:sz w:val="56"/>
          <w:szCs w:val="56"/>
        </w:rPr>
        <w:t xml:space="preserve">VINCULUM HUB</w:t>
      </w:r>
    </w:p>
    <w:p>
      <w:pPr>
        <w:spacing w:after="80"/>
        <w:jc w:val="center"/>
      </w:pPr>
      <w:r>
        <w:rPr>
          <w:rFonts w:ascii="Arial" w:cs="Arial" w:eastAsia="Arial" w:hAnsi="Arial"/>
          <w:color w:val="CC2233"/>
          <w:sz w:val="40"/>
          <w:szCs w:val="40"/>
        </w:rPr>
        <w:t xml:space="preserve">Premium App Analysis</w:t>
      </w:r>
    </w:p>
    <w:p>
      <w:pPr>
        <w:spacing w:after="600"/>
        <w:jc w:val="center"/>
      </w:pPr>
      <w:r>
        <w:rPr>
          <w:rFonts w:ascii="Arial" w:cs="Arial" w:eastAsia="Arial" w:hAnsi="Arial"/>
          <w:color w:val="CC2233"/>
          <w:sz w:val="40"/>
          <w:szCs w:val="40"/>
        </w:rPr>
        <w:t xml:space="preserve">&amp; System-Wide Integration Strategy</w:t>
      </w:r>
    </w:p>
    <w:p>
      <w:pPr>
        <w:pBdr>
          <w:top w:val="single" w:color="CC2233" w:sz="6" w:space="8"/>
        </w:pBdr>
        <w:spacing w:before="400" w:after="200"/>
        <w:jc w:val="center"/>
      </w:pPr>
      <w:r>
        <w:rPr>
          <w:i/>
          <w:iCs/>
          <w:color w:val="666680"/>
          <w:sz w:val="24"/>
          <w:szCs w:val="24"/>
        </w:rPr>
        <w:t xml:space="preserve">Evaluating Standalone Teaching Tools as Quality Benchmarks</w:t>
      </w:r>
    </w:p>
    <w:p>
      <w:pPr>
        <w:spacing w:after="100"/>
        <w:jc w:val="center"/>
      </w:pPr>
      <w:r>
        <w:rPr>
          <w:color w:val="666680"/>
          <w:sz w:val="22"/>
          <w:szCs w:val="22"/>
        </w:rPr>
        <w:t xml:space="preserve">Prepared for the VINCULUM Development Team</w:t>
      </w:r>
    </w:p>
    <w:p>
      <w:pPr>
        <w:jc w:val="center"/>
      </w:pPr>
      <w:r>
        <w:rPr>
          <w:color w:val="666680"/>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t xml:space="preserve">The VINCULUM Hub currently hosts 218 validated K–12 math tools organized around a Concrete–Representational–Abstract (CRA) progression: Explore, Practice, and Play. These tools emphasize structured input, guided feedback, and curricular alignment. Alongside them, three premium standalone applications—Vortex Runner, Array Runner, and the 3D Geometry Engine—represent a fundamentally different design philosophy: visual proof engines built for interactive whiteboard demonstrations and immersive student engagement.</w:t>
      </w:r>
    </w:p>
    <w:p>
      <w:pPr>
        <w:spacing w:after="160"/>
      </w:pPr>
      <w:r>
        <w:t xml:space="preserve">This document evaluates each premium app as a standalone teaching tool, catalogs transferable design features, and proposes a system-wide integration strategy that elevates the Hub’s visual and interactive quality without disrupting its CRA pedagogical framework. The newly completed Pi Explorer (Tool 7) serves as the first proof-of-concept for this integration, combining premium visual patterns with full CRA mode support.</w:t>
      </w:r>
    </w:p>
    <w:p>
      <w:r>
        <w:br w:type="page"/>
      </w:r>
    </w:p>
    <w:p>
      <w:pPr>
        <w:pStyle w:val="Heading1"/>
      </w:pPr>
      <w:r>
        <w:t xml:space="preserve">Premium App Evaluations</w:t>
      </w:r>
    </w:p>
    <w:p>
      <w:pPr>
        <w:spacing w:after="160"/>
      </w:pPr>
      <w:r>
        <w:t xml:space="preserve">Each of the three premium applications was analyzed for its pedagogical value as a standalone teaching tool, its visual design language, and its potential for informing Hub-wide improvements.</w:t>
      </w:r>
    </w:p>
    <w:p>
      <w:pPr>
        <w:pStyle w:val="Heading2"/>
      </w:pPr>
      <w:r>
        <w:t xml:space="preserve">Vortex Runner — 3D Subtraction Game</w:t>
      </w:r>
    </w:p>
    <w:p>
      <w:pPr>
        <w:pStyle w:val="Heading3"/>
      </w:pPr>
      <w:r>
        <w:t xml:space="preserve">Teaching Tool Assessment</w:t>
      </w:r>
    </w:p>
    <w:p>
      <w:pPr>
        <w:spacing w:after="160"/>
      </w:pPr>
      <w:r>
        <w:t xml:space="preserve">Vortex Runner is a 3D flight game that transforms subtraction practice into a spatial navigation experience. Students pilot a spacecraft through vortex fields, solving subtraction problems that appear as challenge cards mid-flight. The game’s strength as a whiteboard demonstration lies in its ability to make abstract subtraction concrete through its interactive number line scaffolding: when a student taps a wrong answer, the number line appears with count-back animation showing the physical distance between numbers.</w:t>
      </w:r>
    </w:p>
    <w:p>
      <w:pPr>
        <w:pStyle w:val="Heading3"/>
      </w:pPr>
      <w:r>
        <w:t xml:space="preserve">Key Features Inventory</w:t>
      </w:r>
    </w:p>
    <w:p>
      <w:pPr>
        <w:pStyle w:val="ListParagraph"/>
        <w:numPr>
          <w:ilvl w:val="0"/>
          <w:numId w:val="2"/>
        </w:numPr>
        <w:spacing w:after="80"/>
      </w:pPr>
      <w:r>
        <w:rPr>
          <w:b/>
          <w:bCs/>
        </w:rPr>
        <w:t xml:space="preserve">Character Selection System: </w:t>
      </w:r>
      <w:r>
        <w:t xml:space="preserve">Eight unique pilot avatars with distinct visual identities, giving students ownership and investment in the learning experience.</w:t>
      </w:r>
    </w:p>
    <w:p>
      <w:pPr>
        <w:pStyle w:val="ListParagraph"/>
        <w:numPr>
          <w:ilvl w:val="0"/>
          <w:numId w:val="2"/>
        </w:numPr>
        <w:spacing w:after="80"/>
      </w:pPr>
      <w:r>
        <w:rPr>
          <w:b/>
          <w:bCs/>
        </w:rPr>
        <w:t xml:space="preserve">Launch Angle Configuration: </w:t>
      </w:r>
      <w:r>
        <w:t xml:space="preserve">A draggable dot on an angle selector lets students set their flight trajectory before each run, introducing angle concepts as a secondary learning layer.</w:t>
      </w:r>
    </w:p>
    <w:p>
      <w:pPr>
        <w:pStyle w:val="ListParagraph"/>
        <w:numPr>
          <w:ilvl w:val="0"/>
          <w:numId w:val="2"/>
        </w:numPr>
        <w:spacing w:after="80"/>
      </w:pPr>
      <w:r>
        <w:rPr>
          <w:b/>
          <w:bCs/>
        </w:rPr>
        <w:t xml:space="preserve">3D Gameplay Environment: </w:t>
      </w:r>
      <w:r>
        <w:t xml:space="preserve">Full Three.js scene with vortex particle effects, asteroid fields, and depth-of-field rendering that maintains student attention through visual immersion.</w:t>
      </w:r>
    </w:p>
    <w:p>
      <w:pPr>
        <w:pStyle w:val="ListParagraph"/>
        <w:numPr>
          <w:ilvl w:val="0"/>
          <w:numId w:val="2"/>
        </w:numPr>
        <w:spacing w:after="80"/>
      </w:pPr>
      <w:r>
        <w:rPr>
          <w:b/>
          <w:bCs/>
        </w:rPr>
        <w:t xml:space="preserve">Interactive Number Line Scaffolding: </w:t>
      </w:r>
      <w:r>
        <w:t xml:space="preserve">Tap-to-count-back number line appears after incorrect answers, providing concrete visual proof of the subtraction process rather than simply marking answers wrong.</w:t>
      </w:r>
    </w:p>
    <w:p>
      <w:pPr>
        <w:pStyle w:val="ListParagraph"/>
        <w:numPr>
          <w:ilvl w:val="0"/>
          <w:numId w:val="2"/>
        </w:numPr>
        <w:spacing w:after="80"/>
      </w:pPr>
      <w:r>
        <w:rPr>
          <w:b/>
          <w:bCs/>
        </w:rPr>
        <w:t xml:space="preserve">HUD System: </w:t>
      </w:r>
      <w:r>
        <w:t xml:space="preserve">Real-time score, streak counter, timer, and vortex progress bar create a data-rich display that models mathematical tracking.</w:t>
      </w:r>
    </w:p>
    <w:p>
      <w:pPr>
        <w:pStyle w:val="ListParagraph"/>
        <w:numPr>
          <w:ilvl w:val="0"/>
          <w:numId w:val="2"/>
        </w:numPr>
        <w:spacing w:after="80"/>
      </w:pPr>
      <w:r>
        <w:rPr>
          <w:b/>
          <w:bCs/>
        </w:rPr>
        <w:t xml:space="preserve">FREE PASS Bonus: </w:t>
      </w:r>
      <w:r>
        <w:t xml:space="preserve">Streak-based reward system that reinforces sustained accuracy with tangible in-game benefits.</w:t>
      </w:r>
    </w:p>
    <w:p>
      <w:pPr>
        <w:pStyle w:val="ListParagraph"/>
        <w:numPr>
          <w:ilvl w:val="0"/>
          <w:numId w:val="2"/>
        </w:numPr>
        <w:spacing w:after="80"/>
      </w:pPr>
      <w:r>
        <w:rPr>
          <w:b/>
          <w:bCs/>
        </w:rPr>
        <w:t xml:space="preserve">Mission Narrative Framing: </w:t>
      </w:r>
      <w:r>
        <w:t xml:space="preserve">Problems are presented as mission objectives rather than worksheet items, recontextualizing math as purposeful action.</w:t>
      </w:r>
    </w:p>
    <w:p>
      <w:pPr>
        <w:pStyle w:val="Heading3"/>
      </w:pPr>
      <w:r>
        <w:t xml:space="preserve">Whiteboard Demonstration Value</w:t>
      </w:r>
    </w:p>
    <w:p>
      <w:pPr>
        <w:spacing w:after="160"/>
      </w:pPr>
      <w:r>
        <w:t xml:space="preserve">Rated high. The number line scaffolding alone justifies classroom projection use. When a student struggles with 15 − 7, the teacher can tap through the count-back animation in real time, showing each hop on the number line. The 3D environment maintains whole-class attention in ways that static worksheets cannot. The character selection creates immediate buy-in when projected for group play.</w:t>
      </w:r>
    </w:p>
    <w:p>
      <w:r>
        <w:br w:type="page"/>
      </w:r>
    </w:p>
    <w:p>
      <w:pPr>
        <w:pStyle w:val="Heading2"/>
      </w:pPr>
      <w:r>
        <w:t xml:space="preserve">Array Runner — 3D Multiplication Game</w:t>
      </w:r>
    </w:p>
    <w:p>
      <w:pPr>
        <w:pStyle w:val="Heading3"/>
      </w:pPr>
      <w:r>
        <w:t xml:space="preserve">Teaching Tool Assessment</w:t>
      </w:r>
    </w:p>
    <w:p>
      <w:pPr>
        <w:spacing w:after="160"/>
      </w:pPr>
      <w:r>
        <w:t xml:space="preserve">Array Runner renders multiplication as physical 3D arrays that students run into along a procedurally generated road. The core pedagogical insight is powerful: multiplication is not just repeated addition but a spatial arrangement. When a student encounters a 3×4 problem, they see twelve color-coded cubes arranged in three rows of four, making the array model tangible and immediate.</w:t>
      </w:r>
    </w:p>
    <w:p>
      <w:pPr>
        <w:pStyle w:val="Heading3"/>
      </w:pPr>
      <w:r>
        <w:t xml:space="preserve">Key Features Inventory</w:t>
      </w:r>
    </w:p>
    <w:p>
      <w:pPr>
        <w:pStyle w:val="ListParagraph"/>
        <w:numPr>
          <w:ilvl w:val="0"/>
          <w:numId w:val="2"/>
        </w:numPr>
        <w:spacing w:after="80"/>
      </w:pPr>
      <w:r>
        <w:rPr>
          <w:b/>
          <w:bCs/>
        </w:rPr>
        <w:t xml:space="preserve">Dual Mode System: </w:t>
      </w:r>
      <w:r>
        <w:t xml:space="preserve">Timed Mode (3-minute challenge) for fluency building and Explore Mode for conceptual understanding, naturally mirroring the Practice/Play distinction.</w:t>
      </w:r>
    </w:p>
    <w:p>
      <w:pPr>
        <w:pStyle w:val="ListParagraph"/>
        <w:numPr>
          <w:ilvl w:val="0"/>
          <w:numId w:val="2"/>
        </w:numPr>
        <w:spacing w:after="80"/>
      </w:pPr>
      <w:r>
        <w:rPr>
          <w:b/>
          <w:bCs/>
        </w:rPr>
        <w:t xml:space="preserve">3D Array Visualization: </w:t>
      </w:r>
      <w:r>
        <w:t xml:space="preserve">Multiplication problems rendered as physical cube arrays with color-coded rows and columns, making the area model concrete.</w:t>
      </w:r>
    </w:p>
    <w:p>
      <w:pPr>
        <w:pStyle w:val="ListParagraph"/>
        <w:numPr>
          <w:ilvl w:val="0"/>
          <w:numId w:val="2"/>
        </w:numPr>
        <w:spacing w:after="80"/>
      </w:pPr>
      <w:r>
        <w:rPr>
          <w:b/>
          <w:bCs/>
        </w:rPr>
        <w:t xml:space="preserve">Dual Representation (Explore Mode): </w:t>
      </w:r>
      <w:r>
        <w:t xml:space="preserve">Shows both the standard array and an alternative representation side by side, reinforcing the commutative property (3×4 = 4×3).</w:t>
      </w:r>
    </w:p>
    <w:p>
      <w:pPr>
        <w:pStyle w:val="ListParagraph"/>
        <w:numPr>
          <w:ilvl w:val="0"/>
          <w:numId w:val="2"/>
        </w:numPr>
        <w:spacing w:after="80"/>
      </w:pPr>
      <w:r>
        <w:rPr>
          <w:b/>
          <w:bCs/>
        </w:rPr>
        <w:t xml:space="preserve">Lane-Switching Mechanics: </w:t>
      </w:r>
      <w:r>
        <w:t xml:space="preserve">Students physically navigate between answer lanes, adding kinesthetic decision-making to the mathematical choice.</w:t>
      </w:r>
    </w:p>
    <w:p>
      <w:pPr>
        <w:pStyle w:val="ListParagraph"/>
        <w:numPr>
          <w:ilvl w:val="0"/>
          <w:numId w:val="2"/>
        </w:numPr>
        <w:spacing w:after="80"/>
      </w:pPr>
      <w:r>
        <w:rPr>
          <w:b/>
          <w:bCs/>
        </w:rPr>
        <w:t xml:space="preserve">Procedural Environment: </w:t>
      </w:r>
      <w:r>
        <w:t xml:space="preserve">Terrain, trees, and road elements are generated dynamically, keeping the visual experience fresh across sessions.</w:t>
      </w:r>
    </w:p>
    <w:p>
      <w:pPr>
        <w:pStyle w:val="ListParagraph"/>
        <w:numPr>
          <w:ilvl w:val="0"/>
          <w:numId w:val="2"/>
        </w:numPr>
        <w:spacing w:after="80"/>
      </w:pPr>
      <w:r>
        <w:rPr>
          <w:b/>
          <w:bCs/>
        </w:rPr>
        <w:t xml:space="preserve">Score/Streak/Timer HUD: </w:t>
      </w:r>
      <w:r>
        <w:t xml:space="preserve">Consistent data display system tracking performance metrics in real time.</w:t>
      </w:r>
    </w:p>
    <w:p>
      <w:pPr>
        <w:pStyle w:val="Heading3"/>
      </w:pPr>
      <w:r>
        <w:t xml:space="preserve">Whiteboard Demonstration Value</w:t>
      </w:r>
    </w:p>
    <w:p>
      <w:pPr>
        <w:spacing w:after="160"/>
      </w:pPr>
      <w:r>
        <w:t xml:space="preserve">Rated very high. The 3D array visualization is the single most effective multiplication teaching visual in the system. Projecting Explore Mode on a whiteboard lets a teacher rotate the array, show both representations, and discuss why 3×4 and 4×3 produce the same product. The dual representation feature directly supports Standards for Mathematical Practice #7 (Look for and make use of structure).</w:t>
      </w:r>
    </w:p>
    <w:p>
      <w:r>
        <w:br w:type="page"/>
      </w:r>
    </w:p>
    <w:p>
      <w:pPr>
        <w:pStyle w:val="Heading2"/>
      </w:pPr>
      <w:r>
        <w:t xml:space="preserve">3D Geometry Engine — Interactive Solid Explorer</w:t>
      </w:r>
    </w:p>
    <w:p>
      <w:pPr>
        <w:pStyle w:val="Heading3"/>
      </w:pPr>
      <w:r>
        <w:t xml:space="preserve">Teaching Tool Assessment</w:t>
      </w:r>
    </w:p>
    <w:p>
      <w:pPr>
        <w:spacing w:after="160"/>
      </w:pPr>
      <w:r>
        <w:t xml:space="preserve">The 3D Geometry Engine is the most feature-rich premium app and arguably the most valuable as a standalone teaching tool. It provides a full interactive workspace for exploring nine geometric primitives across multiple display modes, with real-time dimension manipulation and transformation tracking. This is not a game—it is a professional-grade geometry visualization tool that happens to be designed for K–12.</w:t>
      </w:r>
    </w:p>
    <w:p>
      <w:pPr>
        <w:pStyle w:val="Heading3"/>
      </w:pPr>
      <w:r>
        <w:t xml:space="preserve">Key Features Inventory</w:t>
      </w:r>
    </w:p>
    <w:p>
      <w:pPr>
        <w:pStyle w:val="ListParagraph"/>
        <w:numPr>
          <w:ilvl w:val="0"/>
          <w:numId w:val="2"/>
        </w:numPr>
        <w:spacing w:after="80"/>
      </w:pPr>
      <w:r>
        <w:rPr>
          <w:b/>
          <w:bCs/>
        </w:rPr>
        <w:t xml:space="preserve">Nine Geometric Primitives: </w:t>
      </w:r>
      <w:r>
        <w:t xml:space="preserve">Cube, Tetrahedron, Octahedron, Triangular Prism, Square Pyramid, Unit Cube, Rectangular Prism, Cylinder, and Dodecahedron provide comprehensive coverage of the geometry curriculum.</w:t>
      </w:r>
    </w:p>
    <w:p>
      <w:pPr>
        <w:pStyle w:val="ListParagraph"/>
        <w:numPr>
          <w:ilvl w:val="0"/>
          <w:numId w:val="2"/>
        </w:numPr>
        <w:spacing w:after="80"/>
      </w:pPr>
      <w:r>
        <w:rPr>
          <w:b/>
          <w:bCs/>
        </w:rPr>
        <w:t xml:space="preserve">Four Display Modes: </w:t>
      </w:r>
      <w:r>
        <w:t xml:space="preserve">Solid (opaque surface), Glass (transparent with visible internal structure), Explode (faces separated to show construction), and Off (wireframe only). Each mode serves a distinct pedagogical purpose.</w:t>
      </w:r>
    </w:p>
    <w:p>
      <w:pPr>
        <w:pStyle w:val="ListParagraph"/>
        <w:numPr>
          <w:ilvl w:val="0"/>
          <w:numId w:val="2"/>
        </w:numPr>
        <w:spacing w:after="80"/>
      </w:pPr>
      <w:r>
        <w:rPr>
          <w:b/>
          <w:bCs/>
        </w:rPr>
        <w:t xml:space="preserve">Five Camera Views: </w:t>
      </w:r>
      <w:r>
        <w:t xml:space="preserve">Isometric, Front, Top, Right, and Free Orbit. Named views provide consistent reference frames for classroom discussion; Free Orbit allows exploration.</w:t>
      </w:r>
    </w:p>
    <w:p>
      <w:pPr>
        <w:pStyle w:val="ListParagraph"/>
        <w:numPr>
          <w:ilvl w:val="0"/>
          <w:numId w:val="2"/>
        </w:numPr>
        <w:spacing w:after="80"/>
      </w:pPr>
      <w:r>
        <w:rPr>
          <w:b/>
          <w:bCs/>
        </w:rPr>
        <w:t xml:space="preserve">Dimension Sliders with Live Stats: </w:t>
      </w:r>
      <w:r>
        <w:t xml:space="preserve">Adjusting width, height, or depth immediately updates surface area and volume calculations, creating a direct feedback loop between dimension changes and their mathematical consequences.</w:t>
      </w:r>
    </w:p>
    <w:p>
      <w:pPr>
        <w:pStyle w:val="ListParagraph"/>
        <w:numPr>
          <w:ilvl w:val="0"/>
          <w:numId w:val="2"/>
        </w:numPr>
        <w:spacing w:after="80"/>
      </w:pPr>
      <w:r>
        <w:rPr>
          <w:b/>
          <w:bCs/>
        </w:rPr>
        <w:t xml:space="preserve">3D Lattice System: </w:t>
      </w:r>
      <w:r>
        <w:t xml:space="preserve">Overlay coordinate grids on solids to connect geometry to coordinate systems and spatial reasoning.</w:t>
      </w:r>
    </w:p>
    <w:p>
      <w:pPr>
        <w:pStyle w:val="ListParagraph"/>
        <w:numPr>
          <w:ilvl w:val="0"/>
          <w:numId w:val="2"/>
        </w:numPr>
        <w:spacing w:after="80"/>
      </w:pPr>
      <w:r>
        <w:rPr>
          <w:b/>
          <w:bCs/>
        </w:rPr>
        <w:t xml:space="preserve">Vertex Labeling: </w:t>
      </w:r>
      <w:r>
        <w:t xml:space="preserve">Toggle vertex coordinates on and off, making the connection between geometric shapes and ordered triples explicit.</w:t>
      </w:r>
    </w:p>
    <w:p>
      <w:pPr>
        <w:pStyle w:val="ListParagraph"/>
        <w:numPr>
          <w:ilvl w:val="0"/>
          <w:numId w:val="2"/>
        </w:numPr>
        <w:spacing w:after="80"/>
      </w:pPr>
      <w:r>
        <w:rPr>
          <w:b/>
          <w:bCs/>
        </w:rPr>
        <w:t xml:space="preserve">Shimmer/Numbers Toggle: </w:t>
      </w:r>
      <w:r>
        <w:t xml:space="preserve">Visual effects and numerical annotations can be independently controlled, letting teachers choose between aesthetic engagement and data density.</w:t>
      </w:r>
    </w:p>
    <w:p>
      <w:pPr>
        <w:pStyle w:val="ListParagraph"/>
        <w:numPr>
          <w:ilvl w:val="0"/>
          <w:numId w:val="2"/>
        </w:numPr>
        <w:spacing w:after="80"/>
      </w:pPr>
      <w:r>
        <w:rPr>
          <w:b/>
          <w:bCs/>
        </w:rPr>
        <w:t xml:space="preserve">Examine Moves Panel: </w:t>
      </w:r>
      <w:r>
        <w:t xml:space="preserve">Timestamped history of all rotations, reflections, and translations applied to the current solid, creating an audit trail of geometric transformations.</w:t>
      </w:r>
    </w:p>
    <w:p>
      <w:pPr>
        <w:pStyle w:val="ListParagraph"/>
        <w:numPr>
          <w:ilvl w:val="0"/>
          <w:numId w:val="2"/>
        </w:numPr>
        <w:spacing w:after="80"/>
      </w:pPr>
      <w:r>
        <w:rPr>
          <w:b/>
          <w:bCs/>
        </w:rPr>
        <w:t xml:space="preserve">Transformation System: </w:t>
      </w:r>
      <w:r>
        <w:t xml:space="preserve">Apply rotation, reflection, and translation transformations with precise controls, directly supporting transformation geometry standards.</w:t>
      </w:r>
    </w:p>
    <w:p>
      <w:pPr>
        <w:pStyle w:val="Heading3"/>
      </w:pPr>
      <w:r>
        <w:t xml:space="preserve">Whiteboard Demonstration Value</w:t>
      </w:r>
    </w:p>
    <w:p>
      <w:pPr>
        <w:spacing w:after="160"/>
      </w:pPr>
      <w:r>
        <w:t xml:space="preserve">Rated exceptional. This is the premium app most ready for daily classroom use as-is. A geometry teacher can project the Engine, select a rectangular prism, adjust dimensions while students watch surface area and volume update live, switch to Glass mode to show internal structure, toggle vertex labels for coordinate discussions, and apply transformations—all without leaving a single interface. The Examine Moves panel creates a class discussion artifact: “What happened to the coordinates when we reflected across the x-axis?”</w:t>
      </w:r>
    </w:p>
    <w:p>
      <w:r>
        <w:br w:type="page"/>
      </w:r>
    </w:p>
    <w:p>
      <w:pPr>
        <w:pStyle w:val="Heading1"/>
      </w:pPr>
      <w:r>
        <w:t xml:space="preserve">Comparative Feature Matrix</w:t>
      </w:r>
    </w:p>
    <w:p>
      <w:pPr>
        <w:spacing w:after="160"/>
      </w:pPr>
      <w:r>
        <w:t xml:space="preserve">The following table maps key design features across the three premium apps and the current Hub standard, identifying which features are unique to premium apps and which already exist in some form within Hub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64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vAlign w:val="center"/>
          </w:tcPr>
          <w:p>
            <w:r>
              <w:rPr>
                <w:rFonts w:ascii="Arial" w:cs="Arial" w:eastAsia="Arial" w:hAnsi="Arial"/>
                <w:b/>
                <w:bCs/>
                <w:color w:val="FFFFFF"/>
                <w:sz w:val="20"/>
                <w:szCs w:val="20"/>
              </w:rPr>
              <w:t xml:space="preserve">Vortex</w:t>
            </w:r>
          </w:p>
        </w:tc>
        <w:tc>
          <w:tcPr>
            <w:tcW w:type="dxa" w:w="164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vAlign w:val="center"/>
          </w:tcPr>
          <w:p>
            <w:r>
              <w:rPr>
                <w:rFonts w:ascii="Arial" w:cs="Arial" w:eastAsia="Arial" w:hAnsi="Arial"/>
                <w:b/>
                <w:bCs/>
                <w:color w:val="FFFFFF"/>
                <w:sz w:val="20"/>
                <w:szCs w:val="20"/>
              </w:rPr>
              <w:t xml:space="preserve">Array</w:t>
            </w:r>
          </w:p>
        </w:tc>
        <w:tc>
          <w:tcPr>
            <w:tcW w:type="dxa" w:w="164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vAlign w:val="center"/>
          </w:tcPr>
          <w:p>
            <w:r>
              <w:rPr>
                <w:rFonts w:ascii="Arial" w:cs="Arial" w:eastAsia="Arial" w:hAnsi="Arial"/>
                <w:b/>
                <w:bCs/>
                <w:color w:val="FFFFFF"/>
                <w:sz w:val="20"/>
                <w:szCs w:val="20"/>
              </w:rPr>
              <w:t xml:space="preserve">3D Geo</w:t>
            </w:r>
          </w:p>
        </w:tc>
        <w:tc>
          <w:tcPr>
            <w:tcW w:type="dxa" w:w="164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vAlign w:val="center"/>
          </w:tcPr>
          <w:p>
            <w:r>
              <w:rPr>
                <w:rFonts w:ascii="Arial" w:cs="Arial" w:eastAsia="Arial" w:hAnsi="Arial"/>
                <w:b/>
                <w:bCs/>
                <w:color w:val="FFFFFF"/>
                <w:sz w:val="20"/>
                <w:szCs w:val="20"/>
              </w:rPr>
              <w:t xml:space="preserve">Hub Std</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3D Rendering (Three.js)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SVG Visualization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Multi-Modal Display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Live Data Readouts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Interactive Scaffolding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Capture/History Log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Character/Avatar System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Streak/Reward Mechanics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Timed Challenge Mode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CRA Mode Progression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Theme System (15 themes)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Shared Module Chain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Dark Premium Aesthetic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Animation as Signal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w:t>
            </w:r>
          </w:p>
        </w:tc>
      </w:tr>
      <w:tr>
        <w:tc>
          <w:tcPr>
            <w:tcW w:type="dxa" w:w="2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sz w:val="20"/>
                <w:szCs w:val="20"/>
              </w:rPr>
              <w:t xml:space="preserve">Narrative Framing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bl>
    <w:p>
      <w:pPr>
        <w:spacing w:after="160"/>
      </w:pPr>
      <w:r>
        <w:rPr>
          <w:i/>
          <w:iCs/>
          <w:color w:val="666680"/>
          <w:sz w:val="18"/>
          <w:szCs w:val="18"/>
        </w:rPr>
        <w:t xml:space="preserve">✓ = Full implementation  |  ✔ = Present via shared modules  |  * = New in Pi Explorer  |  — = Not present</w:t>
      </w:r>
    </w:p>
    <w:p>
      <w:r>
        <w:br w:type="page"/>
      </w:r>
    </w:p>
    <w:p>
      <w:pPr>
        <w:pStyle w:val="Heading1"/>
      </w:pPr>
      <w:r>
        <w:t xml:space="preserve">Transferable Feature Catalog</w:t>
      </w:r>
    </w:p>
    <w:p>
      <w:pPr>
        <w:spacing w:after="160"/>
      </w:pPr>
      <w:r>
        <w:t xml:space="preserve">The following features can be extracted from the premium apps and adapted for Hub-wide use without requiring Three.js or breaking the existing shared module chain. Each feature is rated by implementation effort (Low/Medium/High) and pedagogical impact (1–5 scale).</w:t>
      </w:r>
    </w:p>
    <w:p>
      <w:pPr>
        <w:pStyle w:val="Heading2"/>
      </w:pPr>
      <w:r>
        <w:t xml:space="preserve">Visual Proof Patterns</w:t>
      </w:r>
    </w:p>
    <w:p>
      <w:pPr>
        <w:spacing w:after="160"/>
      </w:pPr>
      <w:r>
        <w:t xml:space="preserve">The premium apps share a design philosophy: show the math, don’t just check answers. This manifests as visual proof—animated, interactive demonstrations that make mathematical relationships visible.</w:t>
      </w:r>
    </w:p>
    <w:p>
      <w:pPr>
        <w:pStyle w:val="ListParagraph"/>
        <w:numPr>
          <w:ilvl w:val="0"/>
          <w:numId w:val="2"/>
        </w:numPr>
        <w:spacing w:after="80"/>
      </w:pPr>
      <w:r>
        <w:rPr>
          <w:b/>
          <w:bCs/>
        </w:rPr>
        <w:t xml:space="preserve">SVG-Based Proof Animations: </w:t>
      </w:r>
      <w:r>
        <w:t xml:space="preserve">Pi Explorer demonstrates that premium-quality visualization is achievable with SVG alone. Polygon convergence, rolling circle animation, and area grid estimation all run without Three.js. This pattern can be extended to fraction bars, area models, number line operations, and geometric constructions across the Hub.</w:t>
      </w:r>
    </w:p>
    <w:p>
      <w:pPr>
        <w:pStyle w:val="ListParagraph"/>
        <w:numPr>
          <w:ilvl w:val="1"/>
          <w:numId w:val="2"/>
        </w:numPr>
        <w:spacing w:after="80"/>
      </w:pPr>
      <w:r>
        <w:t xml:space="preserve">Implementation effort: Medium | Pedagogical impact: 5/5</w:t>
      </w:r>
    </w:p>
    <w:p>
      <w:pPr>
        <w:pStyle w:val="ListParagraph"/>
        <w:numPr>
          <w:ilvl w:val="0"/>
          <w:numId w:val="2"/>
        </w:numPr>
        <w:spacing w:after="80"/>
      </w:pPr>
      <w:r>
        <w:rPr>
          <w:b/>
          <w:bCs/>
        </w:rPr>
        <w:t xml:space="preserve">Multi-Modal Display Toggle: </w:t>
      </w:r>
      <w:r>
        <w:t xml:space="preserve">The 3D Geometry Engine’s Solid/Glass/Explode/Off pattern can be adapted as a display-mode concept for 2D tools. For example, a fraction tool could toggle between shaded region (solid), grid overlay (glass), equation form (wireframe), and step-by-step decomposition (explode).</w:t>
      </w:r>
    </w:p>
    <w:p>
      <w:pPr>
        <w:pStyle w:val="ListParagraph"/>
        <w:numPr>
          <w:ilvl w:val="1"/>
          <w:numId w:val="2"/>
        </w:numPr>
        <w:spacing w:after="80"/>
      </w:pPr>
      <w:r>
        <w:t xml:space="preserve">Implementation effort: Medium | Pedagogical impact: 4/5</w:t>
      </w:r>
    </w:p>
    <w:p>
      <w:pPr>
        <w:pStyle w:val="ListParagraph"/>
        <w:numPr>
          <w:ilvl w:val="0"/>
          <w:numId w:val="2"/>
        </w:numPr>
        <w:spacing w:after="80"/>
      </w:pPr>
      <w:r>
        <w:rPr>
          <w:b/>
          <w:bCs/>
        </w:rPr>
        <w:t xml:space="preserve">Live Readout Panels: </w:t>
      </w:r>
      <w:r>
        <w:t xml:space="preserve">All three premium apps feature constantly-updating numerical displays that respond to user interaction. The 3D Geometry Engine’s dimension sliders with live surface area and volume are the clearest model. Hub tools should display computed results that update as students manipulate inputs, not just after submission.</w:t>
      </w:r>
    </w:p>
    <w:p>
      <w:pPr>
        <w:pStyle w:val="ListParagraph"/>
        <w:numPr>
          <w:ilvl w:val="1"/>
          <w:numId w:val="2"/>
        </w:numPr>
        <w:spacing w:after="80"/>
      </w:pPr>
      <w:r>
        <w:t xml:space="preserve">Implementation effort: Low | Pedagogical impact: 5/5</w:t>
      </w:r>
    </w:p>
    <w:p>
      <w:pPr>
        <w:pStyle w:val="ListParagraph"/>
        <w:numPr>
          <w:ilvl w:val="0"/>
          <w:numId w:val="2"/>
        </w:numPr>
        <w:spacing w:after="80"/>
      </w:pPr>
      <w:r>
        <w:rPr>
          <w:b/>
          <w:bCs/>
        </w:rPr>
        <w:t xml:space="preserve">Dimension/Parameter Sliders: </w:t>
      </w:r>
      <w:r>
        <w:t xml:space="preserve">Physical sliders that adjust mathematical parameters create an immediate cause-and-effect feedback loop. Applicable to: coefficient exploration in algebra, angle manipulation in geometry, base/exponent adjustment in exponential functions, and sample size in statistics.</w:t>
      </w:r>
    </w:p>
    <w:p>
      <w:pPr>
        <w:pStyle w:val="ListParagraph"/>
        <w:numPr>
          <w:ilvl w:val="1"/>
          <w:numId w:val="2"/>
        </w:numPr>
        <w:spacing w:after="80"/>
      </w:pPr>
      <w:r>
        <w:t xml:space="preserve">Implementation effort: Low | Pedagogical impact: 5/5</w:t>
      </w:r>
    </w:p>
    <w:p>
      <w:pPr>
        <w:pStyle w:val="Heading2"/>
      </w:pPr>
      <w:r>
        <w:t xml:space="preserve">Engagement Mechanics</w:t>
      </w:r>
    </w:p>
    <w:p>
      <w:pPr>
        <w:spacing w:after="160"/>
      </w:pPr>
      <w:r>
        <w:t xml:space="preserve">The premium apps use game mechanics not as gimmicks but as pedagogical structures that motivate sustained practice and provide meaningful feedback.</w:t>
      </w:r>
    </w:p>
    <w:p>
      <w:pPr>
        <w:pStyle w:val="ListParagraph"/>
        <w:numPr>
          <w:ilvl w:val="0"/>
          <w:numId w:val="2"/>
        </w:numPr>
        <w:spacing w:after="80"/>
      </w:pPr>
      <w:r>
        <w:rPr>
          <w:b/>
          <w:bCs/>
        </w:rPr>
        <w:t xml:space="preserve">Streak-Based Reward System: </w:t>
      </w:r>
      <w:r>
        <w:t xml:space="preserve">Vortex Runner’s FREE PASS mechanic rewards consecutive correct answers with tangible benefits. This can be generalized as a Hub-wide streak system where sustained accuracy unlocks visual rewards, difficulty increases, or bonus challenges.</w:t>
      </w:r>
    </w:p>
    <w:p>
      <w:pPr>
        <w:pStyle w:val="ListParagraph"/>
        <w:numPr>
          <w:ilvl w:val="1"/>
          <w:numId w:val="2"/>
        </w:numPr>
        <w:spacing w:after="80"/>
      </w:pPr>
      <w:r>
        <w:t xml:space="preserve">Implementation effort: Low | Pedagogical impact: 3/5</w:t>
      </w:r>
    </w:p>
    <w:p>
      <w:pPr>
        <w:pStyle w:val="ListParagraph"/>
        <w:numPr>
          <w:ilvl w:val="0"/>
          <w:numId w:val="2"/>
        </w:numPr>
        <w:spacing w:after="80"/>
      </w:pPr>
      <w:r>
        <w:rPr>
          <w:b/>
          <w:bCs/>
        </w:rPr>
        <w:t xml:space="preserve">Character/Avatar Selection: </w:t>
      </w:r>
      <w:r>
        <w:t xml:space="preserve">Both Vortex Runner and Array Runner offer character selection that creates personal investment. A lightweight avatar system could give students a persistent identity across Hub tools without requiring 3D rendering—simple SVG characters or icons would suffice.</w:t>
      </w:r>
    </w:p>
    <w:p>
      <w:pPr>
        <w:pStyle w:val="ListParagraph"/>
        <w:numPr>
          <w:ilvl w:val="1"/>
          <w:numId w:val="2"/>
        </w:numPr>
        <w:spacing w:after="80"/>
      </w:pPr>
      <w:r>
        <w:t xml:space="preserve">Implementation effort: Medium | Pedagogical impact: 3/5</w:t>
      </w:r>
    </w:p>
    <w:p>
      <w:pPr>
        <w:pStyle w:val="ListParagraph"/>
        <w:numPr>
          <w:ilvl w:val="0"/>
          <w:numId w:val="2"/>
        </w:numPr>
        <w:spacing w:after="80"/>
      </w:pPr>
      <w:r>
        <w:rPr>
          <w:b/>
          <w:bCs/>
        </w:rPr>
        <w:t xml:space="preserve">Mission/Narrative Framing: </w:t>
      </w:r>
      <w:r>
        <w:t xml:space="preserve">Presenting problems as mission objectives rather than exercises recontextualizes math as purposeful. Hub tools can adopt contextual framing: word problems become scenarios, practice sets become investigations, and play modes become challenges with narrative stakes.</w:t>
      </w:r>
    </w:p>
    <w:p>
      <w:pPr>
        <w:pStyle w:val="ListParagraph"/>
        <w:numPr>
          <w:ilvl w:val="1"/>
          <w:numId w:val="2"/>
        </w:numPr>
        <w:spacing w:after="80"/>
      </w:pPr>
      <w:r>
        <w:t xml:space="preserve">Implementation effort: Low | Pedagogical impact: 4/5</w:t>
      </w:r>
    </w:p>
    <w:p>
      <w:pPr>
        <w:pStyle w:val="ListParagraph"/>
        <w:numPr>
          <w:ilvl w:val="0"/>
          <w:numId w:val="2"/>
        </w:numPr>
        <w:spacing w:after="80"/>
      </w:pPr>
      <w:r>
        <w:rPr>
          <w:b/>
          <w:bCs/>
        </w:rPr>
        <w:t xml:space="preserve">Shimmer/Animation as Pedagogical Signal: </w:t>
      </w:r>
      <w:r>
        <w:t xml:space="preserve">In the premium apps, animation is never decorative—it signals mathematical relationships. A shimmer on the 3D Geometry Engine highlights active faces; particle effects in Vortex Runner mark correct answers. Hub tools should adopt animation as a semantic layer: pulse to indicate a value is changing, shimmer to highlight related elements, glow to signal correct relationships.</w:t>
      </w:r>
    </w:p>
    <w:p>
      <w:pPr>
        <w:pStyle w:val="ListParagraph"/>
        <w:numPr>
          <w:ilvl w:val="1"/>
          <w:numId w:val="2"/>
        </w:numPr>
        <w:spacing w:after="80"/>
      </w:pPr>
      <w:r>
        <w:t xml:space="preserve">Implementation effort: Low | Pedagogical impact: 4/5</w:t>
      </w:r>
    </w:p>
    <w:p>
      <w:pPr>
        <w:pStyle w:val="Heading2"/>
      </w:pPr>
      <w:r>
        <w:t xml:space="preserve">Workspace &amp; Evidence Patterns</w:t>
      </w:r>
    </w:p>
    <w:p>
      <w:pPr>
        <w:spacing w:after="160"/>
      </w:pPr>
      <w:r>
        <w:t xml:space="preserve">The premium apps provide tools for capturing, reviewing, and reflecting on mathematical work—essential for formative assessment and student metacognition.</w:t>
      </w:r>
    </w:p>
    <w:p>
      <w:pPr>
        <w:pStyle w:val="ListParagraph"/>
        <w:numPr>
          <w:ilvl w:val="0"/>
          <w:numId w:val="2"/>
        </w:numPr>
        <w:spacing w:after="80"/>
      </w:pPr>
      <w:r>
        <w:rPr>
          <w:b/>
          <w:bCs/>
        </w:rPr>
        <w:t xml:space="preserve">Capture Log System: </w:t>
      </w:r>
      <w:r>
        <w:t xml:space="preserve">Pi Explorer’s capture log lets students snapshot states with annotations, building an evidence trail. This pattern is directly transferable to any Hub tool: capture a graph state, a step in a solution, a geometric construction, or a statistical sample. The log becomes a portfolio artifact.</w:t>
      </w:r>
    </w:p>
    <w:p>
      <w:pPr>
        <w:pStyle w:val="ListParagraph"/>
        <w:numPr>
          <w:ilvl w:val="1"/>
          <w:numId w:val="2"/>
        </w:numPr>
        <w:spacing w:after="80"/>
      </w:pPr>
      <w:r>
        <w:t xml:space="preserve">Implementation effort: Medium | Pedagogical impact: 5/5</w:t>
      </w:r>
    </w:p>
    <w:p>
      <w:pPr>
        <w:pStyle w:val="ListParagraph"/>
        <w:numPr>
          <w:ilvl w:val="0"/>
          <w:numId w:val="2"/>
        </w:numPr>
        <w:spacing w:after="80"/>
      </w:pPr>
      <w:r>
        <w:rPr>
          <w:b/>
          <w:bCs/>
        </w:rPr>
        <w:t xml:space="preserve">Examine Moves / History Panel: </w:t>
      </w:r>
      <w:r>
        <w:t xml:space="preserve">The 3D Geometry Engine’s timestamped transformation history creates a reviewable audit trail. Adapted for Hub tools, this becomes a step history for equation solving, a move log for geometric constructions, or a decision record for statistical experiments.</w:t>
      </w:r>
    </w:p>
    <w:p>
      <w:pPr>
        <w:pStyle w:val="ListParagraph"/>
        <w:numPr>
          <w:ilvl w:val="1"/>
          <w:numId w:val="2"/>
        </w:numPr>
        <w:spacing w:after="80"/>
      </w:pPr>
      <w:r>
        <w:t xml:space="preserve">Implementation effort: Medium | Pedagogical impact: 4/5</w:t>
      </w:r>
    </w:p>
    <w:p>
      <w:pPr>
        <w:pStyle w:val="ListParagraph"/>
        <w:numPr>
          <w:ilvl w:val="0"/>
          <w:numId w:val="2"/>
        </w:numPr>
        <w:spacing w:after="80"/>
      </w:pPr>
      <w:r>
        <w:rPr>
          <w:b/>
          <w:bCs/>
        </w:rPr>
        <w:t xml:space="preserve">Dual Representation Display: </w:t>
      </w:r>
      <w:r>
        <w:t xml:space="preserve">Array Runner’s side-by-side array views in Explore mode demonstrate the commutative property visually. This dual-view pattern applies broadly: show an equation alongside its graph, a fraction alongside its decimal, or a data table alongside its chart.</w:t>
      </w:r>
    </w:p>
    <w:p>
      <w:pPr>
        <w:pStyle w:val="ListParagraph"/>
        <w:numPr>
          <w:ilvl w:val="1"/>
          <w:numId w:val="2"/>
        </w:numPr>
        <w:spacing w:after="80"/>
      </w:pPr>
      <w:r>
        <w:t xml:space="preserve">Implementation effort: Medium | Pedagogical impact: 5/5</w:t>
      </w:r>
    </w:p>
    <w:p>
      <w:r>
        <w:br w:type="page"/>
      </w:r>
    </w:p>
    <w:p>
      <w:pPr>
        <w:pStyle w:val="Heading1"/>
      </w:pPr>
      <w:r>
        <w:t xml:space="preserve">System-Wide Integration Strategy</w:t>
      </w:r>
    </w:p>
    <w:p>
      <w:pPr>
        <w:spacing w:after="160"/>
      </w:pPr>
      <w:r>
        <w:t xml:space="preserve">The central challenge is clear: how do we bring premium-quality visualization and interaction design into the Hub without disrupting the CRA framework that organizes all 218 tools? The answer lies in understanding that CRA and premium design are not in conflict—they operate on different axes. CRA defines the pedagogical progression (what students do); premium design defines the interaction quality (how it looks and feels).</w:t>
      </w:r>
    </w:p>
    <w:p>
      <w:pPr>
        <w:pStyle w:val="Heading2"/>
      </w:pPr>
      <w:r>
        <w:t xml:space="preserve">Principle: CRA as Scaffold, Premium as Surface</w:t>
      </w:r>
    </w:p>
    <w:p>
      <w:pPr>
        <w:spacing w:after="160"/>
      </w:pPr>
      <w:r>
        <w:t xml:space="preserve">The premium apps lack CRA not because CRA would harm them, but because they were built as single-purpose demonstration tools. Vortex Runner is essentially a Play-mode experience. The 3D Geometry Engine is an Explore-mode experience. Array Runner’s dual-mode system already approximates Explore and Play. The integration insight is that premium visual quality should be applied as a surface layer on top of CRA structure, not as a replacement for it.</w:t>
      </w:r>
    </w:p>
    <w:p>
      <w:pPr>
        <w:spacing w:after="160"/>
      </w:pPr>
      <w:r>
        <w:rPr>
          <w:b/>
          <w:bCs/>
        </w:rPr>
        <w:t xml:space="preserve">Explore Mode </w:t>
      </w:r>
      <w:r>
        <w:t xml:space="preserve">should look and feel like the 3D Geometry Engine: interactive, slider-driven, multi-modal, with live readouts and no time pressure. Students manipulate mathematical objects and see immediate visual consequences.</w:t>
      </w:r>
    </w:p>
    <w:p>
      <w:pPr>
        <w:spacing w:after="160"/>
      </w:pPr>
      <w:r>
        <w:rPr>
          <w:b/>
          <w:bCs/>
        </w:rPr>
        <w:t xml:space="preserve">Practice Mode </w:t>
      </w:r>
      <w:r>
        <w:t xml:space="preserve">should incorporate scaffolding patterns from Vortex Runner: when students struggle, visual proof appears (number line count-back, area model decomposition, step-by-step animation). Scaffolding is animated, not static.</w:t>
      </w:r>
    </w:p>
    <w:p>
      <w:pPr>
        <w:spacing w:after="160"/>
      </w:pPr>
      <w:r>
        <w:rPr>
          <w:b/>
          <w:bCs/>
        </w:rPr>
        <w:t xml:space="preserve">Play Mode </w:t>
      </w:r>
      <w:r>
        <w:t xml:space="preserve">should channel the engagement mechanics of Array Runner and Vortex Runner: timed challenges, streak rewards, narrative framing, and the energy of game-like interaction—while the underlying mathematics remains rigorous.</w:t>
      </w:r>
    </w:p>
    <w:p>
      <w:pPr>
        <w:pStyle w:val="Heading2"/>
      </w:pPr>
      <w:r>
        <w:t xml:space="preserve">Implementation Phases</w:t>
      </w:r>
    </w:p>
    <w:p>
      <w:pPr>
        <w:pStyle w:val="Heading3"/>
      </w:pPr>
      <w:r>
        <w:t xml:space="preserve">Phase 1: Foundation (Shared Module Enhancements)</w:t>
      </w:r>
    </w:p>
    <w:p>
      <w:pPr>
        <w:spacing w:after="160"/>
      </w:pPr>
      <w:r>
        <w:t xml:space="preserve">Enhance the existing shared module chain to support premium patterns without requiring changes to individual tools:</w:t>
      </w:r>
    </w:p>
    <w:p>
      <w:pPr>
        <w:pStyle w:val="ListParagraph"/>
        <w:numPr>
          <w:ilvl w:val="0"/>
          <w:numId w:val="2"/>
        </w:numPr>
        <w:spacing w:after="80"/>
      </w:pPr>
      <w:r>
        <w:rPr>
          <w:b/>
          <w:bCs/>
        </w:rPr>
        <w:t xml:space="preserve">vinculum-core.css: </w:t>
      </w:r>
      <w:r>
        <w:t xml:space="preserve">Add utility classes for live-readout panels, slider containers, shimmer animations, and multi-modal toggle buttons. The Laser Pro theme already demonstrates that the theme system can support premium aesthetics.</w:t>
      </w:r>
    </w:p>
    <w:p>
      <w:pPr>
        <w:pStyle w:val="ListParagraph"/>
        <w:numPr>
          <w:ilvl w:val="0"/>
          <w:numId w:val="2"/>
        </w:numPr>
        <w:spacing w:after="80"/>
      </w:pPr>
      <w:r>
        <w:rPr>
          <w:b/>
          <w:bCs/>
        </w:rPr>
        <w:t xml:space="preserve">vinculum-feedback.js: </w:t>
      </w:r>
      <w:r>
        <w:t xml:space="preserve">Extend to support animated scaffolding (SVG-based proof animations that appear on incorrect answers), streak tracking with visual rewards, and capture-log functionality.</w:t>
      </w:r>
    </w:p>
    <w:p>
      <w:pPr>
        <w:pStyle w:val="ListParagraph"/>
        <w:numPr>
          <w:ilvl w:val="0"/>
          <w:numId w:val="2"/>
        </w:numPr>
        <w:spacing w:after="80"/>
      </w:pPr>
      <w:r>
        <w:rPr>
          <w:b/>
          <w:bCs/>
        </w:rPr>
        <w:t xml:space="preserve">vinculum-input.js: </w:t>
      </w:r>
      <w:r>
        <w:t xml:space="preserve">Add slider components with live-bound output displays, drag-and-drop interfaces, and parameter adjustment controls.</w:t>
      </w:r>
    </w:p>
    <w:p>
      <w:pPr>
        <w:pStyle w:val="ListParagraph"/>
        <w:numPr>
          <w:ilvl w:val="0"/>
          <w:numId w:val="2"/>
        </w:numPr>
        <w:spacing w:after="80"/>
      </w:pPr>
      <w:r>
        <w:rPr>
          <w:b/>
          <w:bCs/>
        </w:rPr>
        <w:t xml:space="preserve">New: vinculum-viz.js: </w:t>
      </w:r>
      <w:r>
        <w:t xml:space="preserve">A shared SVG visualization module providing reusable chart types (number lines, area models, fraction bars, coordinate grids, function graphs) that any tool can instantiate with data binding.</w:t>
      </w:r>
    </w:p>
    <w:p>
      <w:pPr>
        <w:pStyle w:val="Heading3"/>
      </w:pPr>
      <w:r>
        <w:t xml:space="preserve">Phase 2: Pilot Tools (Proof of Concept)</w:t>
      </w:r>
    </w:p>
    <w:p>
      <w:pPr>
        <w:spacing w:after="160"/>
      </w:pPr>
      <w:r>
        <w:t xml:space="preserve">Apply premium patterns to a selection of existing tools across grade bands, demonstrating the integration at each CRA level:</w:t>
      </w:r>
    </w:p>
    <w:p>
      <w:pPr>
        <w:pStyle w:val="ListParagraph"/>
        <w:numPr>
          <w:ilvl w:val="0"/>
          <w:numId w:val="2"/>
        </w:numPr>
        <w:spacing w:after="80"/>
      </w:pPr>
      <w:r>
        <w:t xml:space="preserve">Pi Explorer (Grade 7, already complete) — SVG visualization + capture log + CRA modes</w:t>
      </w:r>
    </w:p>
    <w:p>
      <w:pPr>
        <w:pStyle w:val="ListParagraph"/>
        <w:numPr>
          <w:ilvl w:val="0"/>
          <w:numId w:val="2"/>
        </w:numPr>
        <w:spacing w:after="80"/>
      </w:pPr>
      <w:r>
        <w:t xml:space="preserve">Solving Linear Equations (Algebra 1) — Balance SVG + step modeling + difficulty tiers</w:t>
      </w:r>
    </w:p>
    <w:p>
      <w:pPr>
        <w:pStyle w:val="ListParagraph"/>
        <w:numPr>
          <w:ilvl w:val="0"/>
          <w:numId w:val="2"/>
        </w:numPr>
        <w:spacing w:after="80"/>
      </w:pPr>
      <w:r>
        <w:t xml:space="preserve">Fraction Operations (Grade 3–5) — Area model visualization + dual representation + animated scaffolding</w:t>
      </w:r>
    </w:p>
    <w:p>
      <w:pPr>
        <w:pStyle w:val="ListParagraph"/>
        <w:numPr>
          <w:ilvl w:val="0"/>
          <w:numId w:val="2"/>
        </w:numPr>
        <w:spacing w:after="80"/>
      </w:pPr>
      <w:r>
        <w:t xml:space="preserve">Coordinate Geometry (Grade 6) — Interactive grid + point plotting + transformation preview</w:t>
      </w:r>
    </w:p>
    <w:p>
      <w:pPr>
        <w:pStyle w:val="ListParagraph"/>
        <w:numPr>
          <w:ilvl w:val="0"/>
          <w:numId w:val="2"/>
        </w:numPr>
        <w:spacing w:after="80"/>
      </w:pPr>
      <w:r>
        <w:t xml:space="preserve">Statistics &amp; Probability (Grade 6–8) — Live sampling visualization + histogram animation + parameter sliders</w:t>
      </w:r>
    </w:p>
    <w:p>
      <w:pPr>
        <w:pStyle w:val="Heading3"/>
      </w:pPr>
      <w:r>
        <w:t xml:space="preserve">Phase 3: Scale (System-Wide Rollout)</w:t>
      </w:r>
    </w:p>
    <w:p>
      <w:pPr>
        <w:spacing w:after="160"/>
      </w:pPr>
      <w:r>
        <w:t xml:space="preserve">Once the shared modules and pilot tools validate the approach, apply premium patterns across the full 218-tool catalog in priority order:</w:t>
      </w:r>
    </w:p>
    <w:p>
      <w:pPr>
        <w:pStyle w:val="ListParagraph"/>
        <w:numPr>
          <w:ilvl w:val="0"/>
          <w:numId w:val="2"/>
        </w:numPr>
        <w:spacing w:after="80"/>
      </w:pPr>
      <w:r>
        <w:t xml:space="preserve">High-visualization tools first (geometry, graphing, measurement)</w:t>
      </w:r>
    </w:p>
    <w:p>
      <w:pPr>
        <w:pStyle w:val="ListParagraph"/>
        <w:numPr>
          <w:ilvl w:val="0"/>
          <w:numId w:val="2"/>
        </w:numPr>
        <w:spacing w:after="80"/>
      </w:pPr>
      <w:r>
        <w:t xml:space="preserve">Scaffolding-heavy tools second (operations, equation solving, word problems)</w:t>
      </w:r>
    </w:p>
    <w:p>
      <w:pPr>
        <w:pStyle w:val="ListParagraph"/>
        <w:numPr>
          <w:ilvl w:val="0"/>
          <w:numId w:val="2"/>
        </w:numPr>
        <w:spacing w:after="80"/>
      </w:pPr>
      <w:r>
        <w:t xml:space="preserve">Assessment/fluency tools third (fact practice, timed challenges)</w:t>
      </w:r>
    </w:p>
    <w:p>
      <w:pPr>
        <w:pStyle w:val="ListParagraph"/>
        <w:numPr>
          <w:ilvl w:val="0"/>
          <w:numId w:val="2"/>
        </w:numPr>
        <w:spacing w:after="80"/>
      </w:pPr>
      <w:r>
        <w:t xml:space="preserve">Reference/utility tools last (calculators, converters, lookup tables)</w:t>
      </w:r>
    </w:p>
    <w:p>
      <w:r>
        <w:br w:type="page"/>
      </w:r>
    </w:p>
    <w:p>
      <w:pPr>
        <w:pStyle w:val="Heading1"/>
      </w:pPr>
      <w:r>
        <w:t xml:space="preserve">Preserving the CRA Framework</w:t>
      </w:r>
    </w:p>
    <w:p>
      <w:pPr>
        <w:spacing w:after="160"/>
      </w:pPr>
      <w:r>
        <w:t xml:space="preserve">The most important constraint in this integration is that the CRA progression must remain intact. CRA is not just an organizational scheme—it is the pedagogical backbone of the Hub, aligning with decades of mathematics education research on how students develop conceptual understanding.</w:t>
      </w:r>
    </w:p>
    <w:p>
      <w:pPr>
        <w:pStyle w:val="Heading2"/>
      </w:pPr>
      <w:r>
        <w:t xml:space="preserve">What Changes</w:t>
      </w:r>
    </w:p>
    <w:p>
      <w:pPr>
        <w:pStyle w:val="ListParagraph"/>
        <w:numPr>
          <w:ilvl w:val="0"/>
          <w:numId w:val="2"/>
        </w:numPr>
        <w:spacing w:after="80"/>
      </w:pPr>
      <w:r>
        <w:rPr>
          <w:b/>
          <w:bCs/>
        </w:rPr>
        <w:t xml:space="preserve">Visual quality: </w:t>
      </w:r>
      <w:r>
        <w:t xml:space="preserve">Every mode gets premium rendering. Explore stops looking like a static diagram; Practice stops looking like a worksheet; Play stops looking like a timer on a text box.</w:t>
      </w:r>
    </w:p>
    <w:p>
      <w:pPr>
        <w:pStyle w:val="ListParagraph"/>
        <w:numPr>
          <w:ilvl w:val="0"/>
          <w:numId w:val="2"/>
        </w:numPr>
        <w:spacing w:after="80"/>
      </w:pPr>
      <w:r>
        <w:rPr>
          <w:b/>
          <w:bCs/>
        </w:rPr>
        <w:t xml:space="preserve">Interaction richness: </w:t>
      </w:r>
      <w:r>
        <w:t xml:space="preserve">Sliders replace typed inputs where appropriate. Drag-and-drop replaces click-to-select. Animation replaces static state changes.</w:t>
      </w:r>
    </w:p>
    <w:p>
      <w:pPr>
        <w:pStyle w:val="ListParagraph"/>
        <w:numPr>
          <w:ilvl w:val="0"/>
          <w:numId w:val="2"/>
        </w:numPr>
        <w:spacing w:after="80"/>
      </w:pPr>
      <w:r>
        <w:rPr>
          <w:b/>
          <w:bCs/>
        </w:rPr>
        <w:t xml:space="preserve">Scaffolding depth: </w:t>
      </w:r>
      <w:r>
        <w:t xml:space="preserve">Wrong answers trigger visual proof, not just error messages. The number line count-back from Vortex Runner becomes a system-wide pattern.</w:t>
      </w:r>
    </w:p>
    <w:p>
      <w:pPr>
        <w:pStyle w:val="ListParagraph"/>
        <w:numPr>
          <w:ilvl w:val="0"/>
          <w:numId w:val="2"/>
        </w:numPr>
        <w:spacing w:after="80"/>
      </w:pPr>
      <w:r>
        <w:rPr>
          <w:b/>
          <w:bCs/>
        </w:rPr>
        <w:t xml:space="preserve">Evidence capture: </w:t>
      </w:r>
      <w:r>
        <w:t xml:space="preserve">Every mode supports capturing mathematical states for review, discussion, and portfolio building.</w:t>
      </w:r>
    </w:p>
    <w:p>
      <w:pPr>
        <w:pStyle w:val="Heading2"/>
      </w:pPr>
      <w:r>
        <w:t xml:space="preserve">What Does Not Change</w:t>
      </w:r>
    </w:p>
    <w:p>
      <w:pPr>
        <w:pStyle w:val="ListParagraph"/>
        <w:numPr>
          <w:ilvl w:val="0"/>
          <w:numId w:val="2"/>
        </w:numPr>
        <w:spacing w:after="80"/>
      </w:pPr>
      <w:r>
        <w:rPr>
          <w:b/>
          <w:bCs/>
        </w:rPr>
        <w:t xml:space="preserve">Three-mode structure: </w:t>
      </w:r>
      <w:r>
        <w:t xml:space="preserve">Every tool still has Explore, Practice, and Play tabs (or their equivalents). The progression is sacred.</w:t>
      </w:r>
    </w:p>
    <w:p>
      <w:pPr>
        <w:pStyle w:val="ListParagraph"/>
        <w:numPr>
          <w:ilvl w:val="0"/>
          <w:numId w:val="2"/>
        </w:numPr>
        <w:spacing w:after="80"/>
      </w:pPr>
      <w:r>
        <w:rPr>
          <w:b/>
          <w:bCs/>
        </w:rPr>
        <w:t xml:space="preserve">Shared module chain: </w:t>
      </w:r>
      <w:r>
        <w:t xml:space="preserve">All tools still load vinculum-core.css, vinculum-feedback.js, and the other shared modules. Premium features are delivered through these modules, not around them.</w:t>
      </w:r>
    </w:p>
    <w:p>
      <w:pPr>
        <w:pStyle w:val="ListParagraph"/>
        <w:numPr>
          <w:ilvl w:val="0"/>
          <w:numId w:val="2"/>
        </w:numPr>
        <w:spacing w:after="80"/>
      </w:pPr>
      <w:r>
        <w:rPr>
          <w:b/>
          <w:bCs/>
        </w:rPr>
        <w:t xml:space="preserve">Validator compliance: </w:t>
      </w:r>
      <w:r>
        <w:t xml:space="preserve">All tools still pass 6/6 validator checks. Premium visual enhancements never break structural requirements.</w:t>
      </w:r>
    </w:p>
    <w:p>
      <w:pPr>
        <w:pStyle w:val="ListParagraph"/>
        <w:numPr>
          <w:ilvl w:val="0"/>
          <w:numId w:val="2"/>
        </w:numPr>
        <w:spacing w:after="80"/>
      </w:pPr>
      <w:r>
        <w:rPr>
          <w:b/>
          <w:bCs/>
        </w:rPr>
        <w:t xml:space="preserve">Curricular alignment: </w:t>
      </w:r>
      <w:r>
        <w:t xml:space="preserve">Content standards, grade-level targeting, and mathematical accuracy remain unchanged. Premium is a visual and interaction layer, not a content layer.</w:t>
      </w:r>
    </w:p>
    <w:p>
      <w:pPr>
        <w:pStyle w:val="ListParagraph"/>
        <w:numPr>
          <w:ilvl w:val="0"/>
          <w:numId w:val="2"/>
        </w:numPr>
        <w:spacing w:after="80"/>
      </w:pPr>
      <w:r>
        <w:rPr>
          <w:b/>
          <w:bCs/>
        </w:rPr>
        <w:t xml:space="preserve">Theme compatibility: </w:t>
      </w:r>
      <w:r>
        <w:t xml:space="preserve">All 15 themes (including Laser Pro) continue to work. Premium visual patterns are theme-aware, adapting their colors to the active theme’s palette.</w:t>
      </w:r>
    </w:p>
    <w:p>
      <w:r>
        <w:br w:type="page"/>
      </w:r>
    </w:p>
    <w:p>
      <w:pPr>
        <w:pStyle w:val="Heading1"/>
      </w:pPr>
      <w:r>
        <w:t xml:space="preserve">Potential Benefits to the System</w:t>
      </w:r>
    </w:p>
    <w:p>
      <w:pPr>
        <w:pStyle w:val="Heading2"/>
      </w:pPr>
      <w:r>
        <w:t xml:space="preserve">Pedagogical Benefits</w:t>
      </w:r>
    </w:p>
    <w:p>
      <w:pPr>
        <w:pStyle w:val="ListParagraph"/>
        <w:numPr>
          <w:ilvl w:val="0"/>
          <w:numId w:val="2"/>
        </w:numPr>
        <w:spacing w:after="80"/>
      </w:pPr>
      <w:r>
        <w:rPr>
          <w:b/>
          <w:bCs/>
        </w:rPr>
        <w:t xml:space="preserve">Visual proof replaces answer checking: </w:t>
      </w:r>
      <w:r>
        <w:t xml:space="preserve">Students see why mathematics works, not just whether their answer was right. This develops conceptual understanding (Standards for Mathematical Practice #1, #3, #7).</w:t>
      </w:r>
    </w:p>
    <w:p>
      <w:pPr>
        <w:pStyle w:val="ListParagraph"/>
        <w:numPr>
          <w:ilvl w:val="0"/>
          <w:numId w:val="2"/>
        </w:numPr>
        <w:spacing w:after="80"/>
      </w:pPr>
      <w:r>
        <w:rPr>
          <w:b/>
          <w:bCs/>
        </w:rPr>
        <w:t xml:space="preserve">Multi-modal access: </w:t>
      </w:r>
      <w:r>
        <w:t xml:space="preserve">The same concept rendered as a physical model (Explore), an animated scaffold (Practice), and a game challenge (Play) reaches diverse learners through multiple modalities.</w:t>
      </w:r>
    </w:p>
    <w:p>
      <w:pPr>
        <w:pStyle w:val="ListParagraph"/>
        <w:numPr>
          <w:ilvl w:val="0"/>
          <w:numId w:val="2"/>
        </w:numPr>
        <w:spacing w:after="80"/>
      </w:pPr>
      <w:r>
        <w:rPr>
          <w:b/>
          <w:bCs/>
        </w:rPr>
        <w:t xml:space="preserve">Metacognitive development: </w:t>
      </w:r>
      <w:r>
        <w:t xml:space="preserve">Capture logs and history panels make mathematical thinking visible, supporting student reflection and teacher formative assessment.</w:t>
      </w:r>
    </w:p>
    <w:p>
      <w:pPr>
        <w:pStyle w:val="ListParagraph"/>
        <w:numPr>
          <w:ilvl w:val="0"/>
          <w:numId w:val="2"/>
        </w:numPr>
        <w:spacing w:after="80"/>
      </w:pPr>
      <w:r>
        <w:rPr>
          <w:b/>
          <w:bCs/>
        </w:rPr>
        <w:t xml:space="preserve">Productive struggle support: </w:t>
      </w:r>
      <w:r>
        <w:t xml:space="preserve">Animated scaffolding (not immediate answers) supports students through difficulty, maintaining cognitive demand while preventing frustration.</w:t>
      </w:r>
    </w:p>
    <w:p>
      <w:pPr>
        <w:pStyle w:val="ListParagraph"/>
        <w:numPr>
          <w:ilvl w:val="0"/>
          <w:numId w:val="2"/>
        </w:numPr>
        <w:spacing w:after="80"/>
      </w:pPr>
      <w:r>
        <w:rPr>
          <w:b/>
          <w:bCs/>
        </w:rPr>
        <w:t xml:space="preserve">Mathematical discourse: </w:t>
      </w:r>
      <w:r>
        <w:t xml:space="preserve">Premium visualizations projected on whiteboards create shared reference points for classroom discussion, especially the dual-representation and multi-modal display patterns.</w:t>
      </w:r>
    </w:p>
    <w:p>
      <w:pPr>
        <w:pStyle w:val="Heading2"/>
      </w:pPr>
      <w:r>
        <w:t xml:space="preserve">Technical Benefits</w:t>
      </w:r>
    </w:p>
    <w:p>
      <w:pPr>
        <w:pStyle w:val="ListParagraph"/>
        <w:numPr>
          <w:ilvl w:val="0"/>
          <w:numId w:val="2"/>
        </w:numPr>
        <w:spacing w:after="80"/>
      </w:pPr>
      <w:r>
        <w:rPr>
          <w:b/>
          <w:bCs/>
        </w:rPr>
        <w:t xml:space="preserve">SVG over Three.js: </w:t>
      </w:r>
      <w:r>
        <w:t xml:space="preserve">Pi Explorer proves that premium-quality visualization does not require 3D rendering libraries. SVG handles the vast majority of K–12 math visualization needs with zero external dependencies, smaller file sizes, and better accessibility.</w:t>
      </w:r>
    </w:p>
    <w:p>
      <w:pPr>
        <w:pStyle w:val="ListParagraph"/>
        <w:numPr>
          <w:ilvl w:val="0"/>
          <w:numId w:val="2"/>
        </w:numPr>
        <w:spacing w:after="80"/>
      </w:pPr>
      <w:r>
        <w:rPr>
          <w:b/>
          <w:bCs/>
        </w:rPr>
        <w:t xml:space="preserve">Shared module efficiency: </w:t>
      </w:r>
      <w:r>
        <w:t xml:space="preserve">Delivering premium features through the existing module chain means individual tools gain capabilities by updating the shared modules, not through tool-by-tool rewrites.</w:t>
      </w:r>
    </w:p>
    <w:p>
      <w:pPr>
        <w:pStyle w:val="ListParagraph"/>
        <w:numPr>
          <w:ilvl w:val="0"/>
          <w:numId w:val="2"/>
        </w:numPr>
        <w:spacing w:after="80"/>
      </w:pPr>
      <w:r>
        <w:rPr>
          <w:b/>
          <w:bCs/>
        </w:rPr>
        <w:t xml:space="preserve">Theme system leverage: </w:t>
      </w:r>
      <w:r>
        <w:t xml:space="preserve">The 15-theme system already provides aesthetic variety. Premium visual patterns that are theme-aware multiply this variety without additional design work.</w:t>
      </w:r>
    </w:p>
    <w:p>
      <w:pPr>
        <w:pStyle w:val="ListParagraph"/>
        <w:numPr>
          <w:ilvl w:val="0"/>
          <w:numId w:val="2"/>
        </w:numPr>
        <w:spacing w:after="80"/>
      </w:pPr>
      <w:r>
        <w:rPr>
          <w:b/>
          <w:bCs/>
        </w:rPr>
        <w:t xml:space="preserve">Progressive enhancement: </w:t>
      </w:r>
      <w:r>
        <w:t xml:space="preserve">Tools can adopt premium features incrementally. A tool does not need to implement every premium pattern at once—it can add a slider here, a visualization there, a capture log later.</w:t>
      </w:r>
    </w:p>
    <w:p>
      <w:pPr>
        <w:pStyle w:val="Heading2"/>
      </w:pPr>
      <w:r>
        <w:t xml:space="preserve">Strategic Benefits</w:t>
      </w:r>
    </w:p>
    <w:p>
      <w:pPr>
        <w:pStyle w:val="ListParagraph"/>
        <w:numPr>
          <w:ilvl w:val="0"/>
          <w:numId w:val="2"/>
        </w:numPr>
        <w:spacing w:after="80"/>
      </w:pPr>
      <w:r>
        <w:rPr>
          <w:b/>
          <w:bCs/>
        </w:rPr>
        <w:t xml:space="preserve">Competitive differentiation: </w:t>
      </w:r>
      <w:r>
        <w:t xml:space="preserve">Most math tool platforms offer worksheet-style interfaces. A Hub where every tool features premium visualization, animated scaffolding, and evidence capture occupies a unique market position.</w:t>
      </w:r>
    </w:p>
    <w:p>
      <w:pPr>
        <w:pStyle w:val="ListParagraph"/>
        <w:numPr>
          <w:ilvl w:val="0"/>
          <w:numId w:val="2"/>
        </w:numPr>
        <w:spacing w:after="80"/>
      </w:pPr>
      <w:r>
        <w:rPr>
          <w:b/>
          <w:bCs/>
        </w:rPr>
        <w:t xml:space="preserve">Teacher adoption: </w:t>
      </w:r>
      <w:r>
        <w:t xml:space="preserve">Interactive whiteboard compatibility is a primary adoption driver in K–12 classrooms. Premium visual quality makes projection-based instruction compelling.</w:t>
      </w:r>
    </w:p>
    <w:p>
      <w:pPr>
        <w:pStyle w:val="ListParagraph"/>
        <w:numPr>
          <w:ilvl w:val="0"/>
          <w:numId w:val="2"/>
        </w:numPr>
        <w:spacing w:after="80"/>
      </w:pPr>
      <w:r>
        <w:rPr>
          <w:b/>
          <w:bCs/>
        </w:rPr>
        <w:t xml:space="preserve">Student engagement: </w:t>
      </w:r>
      <w:r>
        <w:t xml:space="preserve">The gap between gaming interfaces students use recreationally and educational tool interfaces creates a motivation deficit. Premium patterns close this gap without sacrificing mathematical rigor.</w:t>
      </w:r>
    </w:p>
    <w:p>
      <w:pPr>
        <w:pStyle w:val="ListParagraph"/>
        <w:numPr>
          <w:ilvl w:val="0"/>
          <w:numId w:val="2"/>
        </w:numPr>
        <w:spacing w:after="80"/>
      </w:pPr>
      <w:r>
        <w:rPr>
          <w:b/>
          <w:bCs/>
        </w:rPr>
        <w:t xml:space="preserve">Portfolio and assessment: </w:t>
      </w:r>
      <w:r>
        <w:t xml:space="preserve">Capture logs provide artifact-based evidence of mathematical thinking, supporting both formative assessment and standards-based grading.</w:t>
      </w:r>
    </w:p>
    <w:p>
      <w:r>
        <w:br w:type="page"/>
      </w:r>
    </w:p>
    <w:p>
      <w:pPr>
        <w:pStyle w:val="Heading1"/>
      </w:pPr>
      <w:r>
        <w:t xml:space="preserve">Case Study: Pi Explorer as Integration Proof</w:t>
      </w:r>
    </w:p>
    <w:p>
      <w:pPr>
        <w:spacing w:after="160"/>
      </w:pPr>
      <w:r>
        <w:t xml:space="preserve">The Pi Explorer (Tool 7) serves as the first concrete proof that premium app design and CRA structure can coexist. It was built by translating a standalone React concept—originally a single-mode visual demonstration—into a full Hub tool with all three CRA modes, all 15 themes, and validator compliance.</w:t>
      </w:r>
    </w:p>
    <w:p>
      <w:pPr>
        <w:pStyle w:val="Heading2"/>
      </w:pPr>
      <w:r>
        <w:t xml:space="preserve">Premium Features Implemented</w:t>
      </w:r>
    </w:p>
    <w:p>
      <w:pPr>
        <w:pStyle w:val="ListParagraph"/>
        <w:numPr>
          <w:ilvl w:val="0"/>
          <w:numId w:val="2"/>
        </w:numPr>
        <w:spacing w:after="80"/>
      </w:pPr>
      <w:r>
        <w:rPr>
          <w:b/>
          <w:bCs/>
        </w:rPr>
        <w:t xml:space="preserve">Three SVG Visualization Modes: </w:t>
      </w:r>
      <w:r>
        <w:t xml:space="preserve">Polygon convergence (Archimedes’ exhaustion method), rolling circle animation (C = πd proof), and area grid estimation (circle/square ratio). Each provides a different visual proof of π.</w:t>
      </w:r>
    </w:p>
    <w:p>
      <w:pPr>
        <w:pStyle w:val="ListParagraph"/>
        <w:numPr>
          <w:ilvl w:val="0"/>
          <w:numId w:val="2"/>
        </w:numPr>
        <w:spacing w:after="80"/>
      </w:pPr>
      <w:r>
        <w:rPr>
          <w:b/>
          <w:bCs/>
        </w:rPr>
        <w:t xml:space="preserve">Live Readout Sidebar: </w:t>
      </w:r>
      <w:r>
        <w:t xml:space="preserve">Bounds, digits of convergence, and geometric properties update in real time as students adjust polygon sides via slider.</w:t>
      </w:r>
    </w:p>
    <w:p>
      <w:pPr>
        <w:pStyle w:val="ListParagraph"/>
        <w:numPr>
          <w:ilvl w:val="0"/>
          <w:numId w:val="2"/>
        </w:numPr>
        <w:spacing w:after="80"/>
      </w:pPr>
      <w:r>
        <w:rPr>
          <w:b/>
          <w:bCs/>
        </w:rPr>
        <w:t xml:space="preserve">Capture Log: </w:t>
      </w:r>
      <w:r>
        <w:t xml:space="preserve">Students snapshot any state with timestamp and annotation, building an evidence portfolio of their π investigation.</w:t>
      </w:r>
    </w:p>
    <w:p>
      <w:pPr>
        <w:pStyle w:val="ListParagraph"/>
        <w:numPr>
          <w:ilvl w:val="0"/>
          <w:numId w:val="2"/>
        </w:numPr>
        <w:spacing w:after="80"/>
      </w:pPr>
      <w:r>
        <w:rPr>
          <w:b/>
          <w:bCs/>
        </w:rPr>
        <w:t xml:space="preserve">Animated Transitions: </w:t>
      </w:r>
      <w:r>
        <w:t xml:space="preserve">Polygon morphing and circle rolling use smooth SVG animation that serves as pedagogical signal, not decoration.</w:t>
      </w:r>
    </w:p>
    <w:p>
      <w:pPr>
        <w:pStyle w:val="Heading2"/>
      </w:pPr>
      <w:r>
        <w:t xml:space="preserve">CRA Integration</w:t>
      </w:r>
    </w:p>
    <w:p>
      <w:pPr>
        <w:pStyle w:val="ListParagraph"/>
        <w:numPr>
          <w:ilvl w:val="0"/>
          <w:numId w:val="2"/>
        </w:numPr>
        <w:spacing w:after="80"/>
      </w:pPr>
      <w:r>
        <w:rPr>
          <w:b/>
          <w:bCs/>
        </w:rPr>
        <w:t xml:space="preserve">Explore: </w:t>
      </w:r>
      <w:r>
        <w:t xml:space="preserve">Free manipulation of all three visualization modes. No assessment, no time pressure. Students discover π through interaction.</w:t>
      </w:r>
    </w:p>
    <w:p>
      <w:pPr>
        <w:pStyle w:val="ListParagraph"/>
        <w:numPr>
          <w:ilvl w:val="0"/>
          <w:numId w:val="2"/>
        </w:numPr>
        <w:spacing w:after="80"/>
      </w:pPr>
      <w:r>
        <w:rPr>
          <w:b/>
          <w:bCs/>
        </w:rPr>
        <w:t xml:space="preserve">Practice: </w:t>
      </w:r>
      <w:r>
        <w:t xml:space="preserve">Step-card reveals with difficulty levels (Emergent, Proficient, Advanced). Students work through structured problems about π with scaffolded support.</w:t>
      </w:r>
    </w:p>
    <w:p>
      <w:pPr>
        <w:spacing w:after="160"/>
      </w:pPr>
      <w:r>
        <w:rPr>
          <w:b/>
          <w:bCs/>
        </w:rPr>
        <w:t xml:space="preserve">Play: </w:t>
      </w:r>
      <w:r>
        <w:t xml:space="preserve">60-second timed challenges testing π knowledge, using the engagement patterns from the premium apps.</w:t>
      </w:r>
    </w:p>
    <w:p>
      <w:pPr>
        <w:pStyle w:val="Heading2"/>
      </w:pPr>
      <w:r>
        <w:t xml:space="preserve">Results</w:t>
      </w:r>
    </w:p>
    <w:p>
      <w:pPr>
        <w:spacing w:after="160"/>
      </w:pPr>
      <w:r>
        <w:t xml:space="preserve">Pi Explorer passes all 6/6 validator checks, integrates with all 15 themes (including Laser Pro), and loads through the shared module chain. It demonstrates that a tool can be both a premium visual proof engine and a CRA-structured learning progression. This is the template for system-wide integration.</w:t>
      </w:r>
    </w:p>
    <w:p>
      <w:r>
        <w:br w:type="page"/>
      </w:r>
    </w:p>
    <w:p>
      <w:pPr>
        <w:pStyle w:val="Heading1"/>
      </w:pPr>
      <w:r>
        <w:t xml:space="preserve">Recommendations</w:t>
      </w:r>
    </w:p>
    <w:p>
      <w:pPr>
        <w:pStyle w:val="ListParagraph"/>
        <w:numPr>
          <w:ilvl w:val="0"/>
          <w:numId w:val="3"/>
        </w:numPr>
        <w:spacing w:after="120"/>
      </w:pPr>
      <w:r>
        <w:rPr>
          <w:b/>
          <w:bCs/>
        </w:rPr>
        <w:t xml:space="preserve">Adopt SVG as the primary visualization layer. </w:t>
      </w:r>
      <w:r>
        <w:t xml:space="preserve">Reserve Three.js for tools that genuinely require 3D (geometry solids, graphing in three dimensions). For the vast majority of K–12 math, SVG provides premium-quality visualization with zero dependencies.</w:t>
      </w:r>
    </w:p>
    <w:p>
      <w:pPr>
        <w:pStyle w:val="ListParagraph"/>
        <w:numPr>
          <w:ilvl w:val="0"/>
          <w:numId w:val="3"/>
        </w:numPr>
        <w:spacing w:after="120"/>
      </w:pPr>
      <w:r>
        <w:rPr>
          <w:b/>
          <w:bCs/>
        </w:rPr>
        <w:t xml:space="preserve">Build vinculum-viz.js as a shared visualization module. </w:t>
      </w:r>
      <w:r>
        <w:t xml:space="preserve">This should provide reusable, theme-aware SVG components: number lines, area models, fraction bars, coordinate grids, function graphs, and statistical displays. Every tool should be able to instantiate a visualization with a single function call.</w:t>
      </w:r>
    </w:p>
    <w:p>
      <w:pPr>
        <w:pStyle w:val="ListParagraph"/>
        <w:numPr>
          <w:ilvl w:val="0"/>
          <w:numId w:val="3"/>
        </w:numPr>
        <w:spacing w:after="120"/>
      </w:pPr>
      <w:r>
        <w:rPr>
          <w:b/>
          <w:bCs/>
        </w:rPr>
        <w:t xml:space="preserve">Implement live readout panels as a core UI pattern. </w:t>
      </w:r>
      <w:r>
        <w:t xml:space="preserve">Every tool should display computed results that update in real time as students interact, not just after form submission. This is the single highest-impact, lowest-effort improvement available.</w:t>
      </w:r>
    </w:p>
    <w:p>
      <w:pPr>
        <w:pStyle w:val="ListParagraph"/>
        <w:numPr>
          <w:ilvl w:val="0"/>
          <w:numId w:val="3"/>
        </w:numPr>
        <w:spacing w:after="120"/>
      </w:pPr>
      <w:r>
        <w:rPr>
          <w:b/>
          <w:bCs/>
        </w:rPr>
        <w:t xml:space="preserve">Add animated scaffolding to vinculum-feedback.js. </w:t>
      </w:r>
      <w:r>
        <w:t xml:space="preserve">When students answer incorrectly, the response should be a visual proof of the correct process (number line animation, area model decomposition, step-by-step equation solving), not a text-based error message.</w:t>
      </w:r>
    </w:p>
    <w:p>
      <w:pPr>
        <w:pStyle w:val="ListParagraph"/>
        <w:numPr>
          <w:ilvl w:val="0"/>
          <w:numId w:val="3"/>
        </w:numPr>
        <w:spacing w:after="120"/>
      </w:pPr>
      <w:r>
        <w:rPr>
          <w:b/>
          <w:bCs/>
        </w:rPr>
        <w:t xml:space="preserve">Deploy capture log as a system-wide feature. </w:t>
      </w:r>
      <w:r>
        <w:t xml:space="preserve">Add snapshot capability to every tool through the shared module chain. Students should be able to capture any mathematical state, annotate it, and build a portfolio of evidence across tools.</w:t>
      </w:r>
    </w:p>
    <w:p>
      <w:pPr>
        <w:pStyle w:val="ListParagraph"/>
        <w:numPr>
          <w:ilvl w:val="0"/>
          <w:numId w:val="3"/>
        </w:numPr>
        <w:spacing w:after="120"/>
      </w:pPr>
      <w:r>
        <w:rPr>
          <w:b/>
          <w:bCs/>
        </w:rPr>
        <w:t xml:space="preserve">Pilot premium integration on five tools across grade bands. </w:t>
      </w:r>
      <w:r>
        <w:t xml:space="preserve">Use Pi Explorer as the template. Select one tool per grade band (K–2, 3–5, 6–8, Algebra, Geometry) and apply the full premium treatment while maintaining CRA compliance.</w:t>
      </w:r>
    </w:p>
    <w:p>
      <w:pPr>
        <w:pStyle w:val="ListParagraph"/>
        <w:numPr>
          <w:ilvl w:val="0"/>
          <w:numId w:val="3"/>
        </w:numPr>
        <w:spacing w:after="120"/>
      </w:pPr>
      <w:r>
        <w:rPr>
          <w:b/>
          <w:bCs/>
        </w:rPr>
        <w:t xml:space="preserve">Preserve the premium standalone apps as whiteboard demonstration tools. </w:t>
      </w:r>
      <w:r>
        <w:t xml:space="preserve">Vortex Runner, Array Runner, and the 3D Geometry Engine should remain available as dedicated teaching tools. Their value as interactive whiteboard demonstrations is distinct from their value as feature benchmarks for the Hub.</w:t>
      </w:r>
    </w:p>
    <w:p>
      <w:pPr>
        <w:spacing w:before="400"/>
      </w:pPr>
    </w:p>
    <w:p>
      <w:pPr>
        <w:pBdr>
          <w:top w:val="single" w:color="CC2233" w:sz="4" w:space="8"/>
        </w:pBdr>
        <w:spacing w:before="200"/>
        <w:jc w:val="center"/>
      </w:pPr>
      <w:r>
        <w:rPr>
          <w:i/>
          <w:iCs/>
          <w:color w:val="88889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98"/>
        <w:sz w:val="18"/>
        <w:szCs w:val="18"/>
      </w:rPr>
      <w:t xml:space="preserve">Page </w:t>
    </w:r>
    <w:r>
      <w:rPr>
        <w:color w:val="88889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2233" w:sz="4" w:space="4"/>
      </w:pBdr>
    </w:pPr>
    <w:r>
      <w:rPr>
        <w:b/>
        <w:bCs/>
        <w:color w:val="1A1A24"/>
        <w:sz w:val="18"/>
        <w:szCs w:val="18"/>
      </w:rPr>
      <w:t xml:space="preserve">VINCULUM Hub </w:t>
    </w:r>
    <w:r>
      <w:rPr>
        <w:color w:val="888898"/>
        <w:sz w:val="18"/>
        <w:szCs w:val="18"/>
      </w:rPr>
      <w:t xml:space="preserve">| Premium App Analysis &amp; Integration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22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2026-03-16T01:05:36.139Z</dcterms:created>
  <dcterms:modified xsi:type="dcterms:W3CDTF">2026-03-16T01:05:36.140Z</dcterms:modified>
</cp:coreProperties>
</file>

<file path=docProps/custom.xml><?xml version="1.0" encoding="utf-8"?>
<Properties xmlns="http://schemas.openxmlformats.org/officeDocument/2006/custom-properties" xmlns:vt="http://schemas.openxmlformats.org/officeDocument/2006/docPropsVTypes"/>
</file>