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36"/>
          <w:szCs w:val="36"/>
        </w:rPr>
        <w:t xml:space="preserve">VINCULUM STANDARDS-PROBLEM DATABASE</w:t>
      </w:r>
    </w:p>
    <w:p>
      <w:pPr>
        <w:spacing w:after="40"/>
      </w:pPr>
      <w:r>
        <w:rPr>
          <w:color w:val="64748B"/>
          <w:sz w:val="26"/>
          <w:szCs w:val="26"/>
        </w:rPr>
        <w:t xml:space="preserve">Architecture, Schema &amp; Seed Data Export</w:t>
      </w:r>
    </w:p>
    <w:p>
      <w:pPr>
        <w:pBdr>
          <w:bottom w:val="single" w:color="D4870F" w:sz="6" w:space="1"/>
        </w:pBdr>
        <w:spacing w:after="200"/>
      </w:pPr>
      <w:r>
        <w:rPr>
          <w:color w:val="94A3B8"/>
          <w:sz w:val="20"/>
          <w:szCs w:val="20"/>
        </w:rPr>
        <w:t xml:space="preserve">Lesson Digester Project  |  March 2026  |  K-12 Math</w:t>
      </w:r>
    </w:p>
    <w:p>
      <w:pPr>
        <w:pStyle w:val="Heading1"/>
        <w:spacing w:before="240" w:after="120"/>
      </w:pPr>
      <w:r>
        <w:rPr>
          <w:b/>
          <w:bCs/>
        </w:rPr>
        <w:t xml:space="preserve">1. Executive Summary</w:t>
      </w:r>
    </w:p>
    <w:p>
      <w:pPr>
        <w:spacing w:after="120"/>
      </w:pPr>
      <w:r>
        <w:rPr>
          <w:sz w:val="22"/>
          <w:szCs w:val="22"/>
        </w:rPr>
        <w:t xml:space="preserve">This document defines the architecture for a unified K-12 mathematics standards-problem database that will power the Lesson Digester and all Vinculum tools. The database organizes problems at the benchmark level across four standards frameworks (Common Core, MN 2007, MN 2022, TEKS) with teaching context, differentiation strategies, and tiered intervention paths baked into every entry.</w:t>
      </w:r>
    </w:p>
    <w:p>
      <w:pPr>
        <w:spacing w:after="120"/>
      </w:pPr>
      <w:r>
        <w:rPr>
          <w:sz w:val="22"/>
          <w:szCs w:val="22"/>
        </w:rPr>
        <w:t xml:space="preserve">The goal: a teacher drops a lesson, and the system instantly generates worksheets, interventions, and remediations that are precisely aligned to the benchmarks detected in that lesson. No random arithmetic. No loose connections. Every problem traces back to a specific benchmark with known misconceptions, prerequisite skills, and a proficiency scale.</w:t>
      </w:r>
    </w:p>
    <w:p>
      <w:r>
        <w:br w:type="page"/>
      </w:r>
    </w:p>
    <w:p>
      <w:pPr>
        <w:pStyle w:val="Heading1"/>
        <w:spacing w:before="240" w:after="120"/>
      </w:pPr>
      <w:r>
        <w:rPr>
          <w:b/>
          <w:bCs/>
        </w:rPr>
        <w:t xml:space="preserve">2. Current Project Inventory</w:t>
      </w:r>
    </w:p>
    <w:p>
      <w:pPr>
        <w:spacing w:after="120"/>
      </w:pPr>
      <w:r>
        <w:rPr>
          <w:sz w:val="22"/>
          <w:szCs w:val="22"/>
        </w:rPr>
        <w:t xml:space="preserve">The Lesson Digester currently contains 5,000+ structured data points across 7 JavaScript data files. Here is what exists today:</w:t>
      </w:r>
    </w:p>
    <w:p>
      <w:pPr>
        <w:pStyle w:val="Heading2"/>
        <w:spacing w:before="240" w:after="120"/>
      </w:pPr>
      <w:r>
        <w:rPr>
          <w:b/>
          <w:bCs/>
        </w:rPr>
        <w:t xml:space="preserve">2.1 Data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c>
          <w:tcPr>
            <w:tcW w:type="dxa" w:w="2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b/>
                <w:bCs/>
                <w:color w:val="FFFFFF"/>
                <w:sz w:val="20"/>
                <w:szCs w:val="20"/>
              </w:rPr>
              <w:t xml:space="preserve">Entries</w:t>
            </w:r>
          </w:p>
        </w:tc>
        <w:tc>
          <w:tcPr>
            <w:tcW w:type="dxa" w:w="1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b/>
                <w:bCs/>
                <w:color w:val="FFFFFF"/>
                <w:sz w:val="20"/>
                <w:szCs w:val="20"/>
              </w:rPr>
              <w:t xml:space="preserve">Grades</w:t>
            </w:r>
          </w:p>
        </w:tc>
        <w:tc>
          <w:tcPr>
            <w:tcW w:type="dxa" w:w="44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leveled-problems-data.js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150+ problems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DOK-leveled problem stems with answers/hints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standards-db.js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 frameworks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K-12</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CCSS, MN07, MN22, TEKS cross-reference with 43 topic mappings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benchmark-descriptors.js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 descriptors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4-level proficiency descriptors per benchmark cluster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rubric-descriptors.js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97 benchmarks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5-level MDE Achievement Level Descriptors with DOK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teaching-insights-data.js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43 topics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Misconceptions, differentiation (3 levels), essential understandings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lesson-components-data.js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140+ skills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Prerequisite skills, success criteria, career/real-life connections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structured-dialogues-data.js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 structures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Dialogue phases, error taxonomy, cooperative learning structures</w:t>
            </w:r>
          </w:p>
        </w:tc>
      </w:tr>
    </w:tbl>
    <w:p>
      <w:pPr>
        <w:pStyle w:val="Heading2"/>
        <w:spacing w:before="240" w:after="120"/>
      </w:pPr>
      <w:r>
        <w:rPr>
          <w:b/>
          <w:bCs/>
        </w:rPr>
        <w:t xml:space="preserve">2.2 Critical Bug Fixed This Session</w:t>
      </w:r>
    </w:p>
    <w:p>
      <w:pPr>
        <w:spacing w:after="120"/>
      </w:pPr>
      <w:r>
        <w:rPr>
          <w:sz w:val="22"/>
          <w:szCs w:val="22"/>
        </w:rPr>
        <w:t xml:space="preserve">DOK_PROBLEMS was declared with const (not var), making it invisible to window.DOK_PROBLEMS lookups. ProblemGenerator always fell through to random arithmetic. Every worksheet ever generated used "What is 4 + 8?" style problems. The entire DOK database was unreachable. Fixed by adding window.DOK_PROBLEMS = DOK_PROBLEMS.</w:t>
      </w:r>
    </w:p>
    <w:p>
      <w:r>
        <w:br w:type="page"/>
      </w:r>
    </w:p>
    <w:p>
      <w:pPr>
        <w:pStyle w:val="Heading1"/>
        <w:spacing w:before="240" w:after="120"/>
      </w:pPr>
      <w:r>
        <w:rPr>
          <w:b/>
          <w:bCs/>
        </w:rPr>
        <w:t xml:space="preserve">3. Database Schema</w:t>
      </w:r>
    </w:p>
    <w:p>
      <w:pPr>
        <w:spacing w:after="120"/>
      </w:pPr>
      <w:r>
        <w:rPr>
          <w:sz w:val="22"/>
          <w:szCs w:val="22"/>
        </w:rPr>
        <w:t xml:space="preserve">The database uses a hierarchical JSON structure organized by framework, grade, domain, and benchmark. Each benchmark entry contains everything needed to generate problems, assess proficiency, and provide teaching guidance.</w:t>
      </w:r>
    </w:p>
    <w:p>
      <w:pPr>
        <w:pStyle w:val="Heading2"/>
        <w:spacing w:before="240" w:after="120"/>
      </w:pPr>
      <w:r>
        <w:rPr>
          <w:b/>
          <w:bCs/>
        </w:rPr>
        <w:t xml:space="preserve">3.1 Directory Structure</w:t>
      </w:r>
    </w:p>
    <w:p>
      <w:pPr>
        <w:spacing w:after="120"/>
      </w:pPr>
      <w:r>
        <w:rPr>
          <w:rFonts w:ascii="Consolas" w:cs="Consolas" w:eastAsia="Consolas" w:hAnsi="Consolas"/>
          <w:sz w:val="18"/>
          <w:szCs w:val="18"/>
        </w:rPr>
        <w:t xml:space="preserve">lesson-digester/webapp/data/
  frameworks/
    ccss/
      grade-K.json ... grade-8.json, hs-algebra.json
    mn07/
      grade-6.json ... grade-8.json
    mn22/
      grade-K.json ... grade-8.json
    teks/
      grade-K.json ... grade-8.json, algebra-1.json
  cross-ref/
    topic-map.json          (topic -&gt; frameworks lookup)
    prerequisite-graph.json  (skill dependency DAG)
  teaching/
    misconceptions.json      (benchmark-keyed misconceptions)
    differentiation.json     (3-tier scaffolds per benchmark)
    sentence-frames.json     (ELL frames by activity type)
  problems/
    seed-problems.json       (hand-curated DOK 1/2/3 stems)
    generation-rules.json    (parametric variation templates)
  index.json                 (manifest with version + counts)</w:t>
      </w:r>
    </w:p>
    <w:p>
      <w:pPr>
        <w:pStyle w:val="Heading2"/>
        <w:spacing w:before="240" w:after="120"/>
      </w:pPr>
      <w:r>
        <w:rPr>
          <w:b/>
          <w:bCs/>
        </w:rPr>
        <w:t xml:space="preserve">3.2 Benchmark Entry Schema</w:t>
      </w:r>
    </w:p>
    <w:p>
      <w:pPr>
        <w:spacing w:after="120"/>
      </w:pPr>
      <w:r>
        <w:rPr>
          <w:sz w:val="22"/>
          <w:szCs w:val="22"/>
        </w:rPr>
        <w:t xml:space="preserve">Each benchmark is the atomic unit. Here is the full schema for one benchmark entry:</w:t>
      </w:r>
    </w:p>
    <w:p>
      <w:pPr>
        <w:spacing w:after="120"/>
      </w:pPr>
      <w:r>
        <w:rPr>
          <w:rFonts w:ascii="Consolas" w:cs="Consolas" w:eastAsia="Consolas" w:hAnsi="Consolas"/>
          <w:sz w:val="16"/>
          <w:szCs w:val="16"/>
        </w:rPr>
        <w:t xml:space="preserve">{
  "id": "6.RP.A.1",
  "framework": "ccss",
  "grade": 6,
  "domain": "Ratios &amp; Proportional Relationships",
  "cluster": "Understand ratio concepts",
  "description": "Understand the concept of a ratio...",
  "dok": 2,
  "crossRef": {
    "ccss": "6.RP.A.1",
    "mn07": "6.1.2.1",
    "mn22": "6.1.2.1",
    "teks": "6.4B"
  },
  "proficiency": {
    "advanced":   "Applies ratio reasoning to novel multi-step contexts...",
    "proficient":  "Uses ratio language to describe relationships...",
    "developing":  "Identifies ratios in familiar contexts with support...",
    "beginning":   "Recognizes basic part-to-part relationships..."
  },
  "problems": {
    "dok1": [
      { "stem": "Write the ratio of cats to dogs: 3 cats, 5 dogs.",
        "answer": "3:5 or 3/5",
        "hint": "Count each group separately",
        "variations": { "type": "swap-numbers", "ranges": [[2,12],[2,12]] }
      }
    ],
    "dok2": [...],
    "dok3": [...]
  },
  "teaching": {
    "misconceptions": [
      { "error": "Writes ratio as addition (3+5=8)",
        "why": "Confuses ratio with total",
        "address": "Use discrete objects, circle each group separately" }
    ],
    "differentiation": {
      "emergent": "Use physical manipulatives...",
      "ell": "Provide bilingual ratio vocabulary cards...",
      "extending": "Explore equivalent ratios with scaling..."
    },
    "essentialUnderstandings": [
      "A ratio compares two quantities by division, not addition",
      "The order of a ratio matters: 3:5 is not 5:3"
    ],
    "prerequisites": [
      { "skill": "Multiplication facts to 12", "grade": 3 },
      { "skill": "Fraction as division", "grade": 5 }
    ]
  },
  "connections": {
    "careers": ["Chef (recipe scaling)", "Nurse (medication ratios)"],
    "realLife": ["Mixing paint colors", "Sports statistics"],
    "progression": "Leads to proportional relationships in Grade 7"
  }
}</w:t>
      </w:r>
    </w:p>
    <w:p>
      <w:r>
        <w:br w:type="page"/>
      </w:r>
    </w:p>
    <w:p>
      <w:pPr>
        <w:pStyle w:val="Heading1"/>
        <w:spacing w:before="240" w:after="120"/>
      </w:pPr>
      <w:r>
        <w:rPr>
          <w:b/>
          <w:bCs/>
        </w:rPr>
        <w:t xml:space="preserve">4. How the System Uses This Data</w:t>
      </w:r>
    </w:p>
    <w:p>
      <w:pPr>
        <w:pStyle w:val="Heading2"/>
        <w:spacing w:before="240" w:after="120"/>
      </w:pPr>
      <w:r>
        <w:rPr>
          <w:b/>
          <w:bCs/>
        </w:rPr>
        <w:t xml:space="preserve">4.1 Worksheet Generation Flow</w:t>
      </w:r>
    </w:p>
    <w:p>
      <w:pPr>
        <w:spacing w:after="120"/>
      </w:pPr>
      <w:r>
        <w:rPr>
          <w:sz w:val="22"/>
          <w:szCs w:val="22"/>
        </w:rPr>
        <w:t xml:space="preserve">Teacher drops PPTX -&gt; Topic detection -&gt; Benchmark lookup -&gt; Problem selection by DOK level -&gt; Parametric variation -&gt; PDF generation. Each worksheet level (L1-L6) maps to a DOK distribution: L1 = all DOK 1, L4 = balanced mix, L6 = all DOK 3 with open-ended extensions.</w:t>
      </w:r>
    </w:p>
    <w:p>
      <w:pPr>
        <w:pStyle w:val="Heading2"/>
        <w:spacing w:before="240" w:after="120"/>
      </w:pPr>
      <w:r>
        <w:rPr>
          <w:b/>
          <w:bCs/>
        </w:rPr>
        <w:t xml:space="preserve">4.2 Proficiency-Based Pivoting</w:t>
      </w:r>
    </w:p>
    <w:p>
      <w:pPr>
        <w:spacing w:after="120"/>
      </w:pPr>
      <w:r>
        <w:rPr>
          <w:sz w:val="22"/>
          <w:szCs w:val="22"/>
        </w:rPr>
        <w:t xml:space="preserve">The teacher provides feedback (student is at "developing" on benchmark 6.RP.A.1). The system immediately: (1) selects problems from the DOK 1-2 range for that benchmark, (2) pulls the "emergent" differentiation strategy, (3) loads prerequisite skills that scaffold backward to Grade 5, (4) generates a Tier 2 intervention targeting the specific misconception. No manual searching. The benchmark entry has everything.</w:t>
      </w:r>
    </w:p>
    <w:p>
      <w:pPr>
        <w:pStyle w:val="Heading2"/>
        <w:spacing w:before="240" w:after="120"/>
      </w:pPr>
      <w:r>
        <w:rPr>
          <w:b/>
          <w:bCs/>
        </w:rPr>
        <w:t xml:space="preserve">4.3 Tiered Intervention Mapping</w:t>
      </w:r>
    </w:p>
    <w:p>
      <w:pPr>
        <w:spacing w:after="120"/>
      </w:pPr>
      <w:r>
        <w:rPr>
          <w:sz w:val="22"/>
          <w:szCs w:val="22"/>
        </w:rPr>
        <w:t xml:space="preserve">Tier 1 (core instruction): Grade-level problems from the benchmark, DOK 2-3. Tier 2 (small group): DOK 1-2 problems with worked examples, sentence frames, and the "developing" proficiency descriptor as the success target. Tier 3 (intensive): Prerequisites from the dependency graph, DOK 1 only, with manipulative-based strategies from the "emergent" differentiation field. Every tier traces to the same benchmark.</w:t>
      </w:r>
    </w:p>
    <w:p>
      <w:r>
        <w:br w:type="page"/>
      </w:r>
    </w:p>
    <w:p>
      <w:pPr>
        <w:pStyle w:val="Heading1"/>
        <w:spacing w:before="240" w:after="120"/>
      </w:pPr>
      <w:r>
        <w:rPr>
          <w:b/>
          <w:bCs/>
        </w:rPr>
        <w:t xml:space="preserve">5. Coverage Roadmap</w:t>
      </w:r>
    </w:p>
    <w:p>
      <w:pPr>
        <w:spacing w:after="120"/>
      </w:pPr>
      <w:r>
        <w:rPr>
          <w:sz w:val="22"/>
          <w:szCs w:val="22"/>
        </w:rPr>
        <w:t xml:space="preserve">Building K-12 coverage across 4 frameworks in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200"/>
        <w:gridCol w:w="2160"/>
      </w:tblGrid>
      <w:tr>
        <w:tc>
          <w:tcPr>
            <w:tcW w:type="dxa" w:w="1400"/>
            <w:tcBorders>
              <w:top w:val="single" w:color="CCCCCC" w:sz="1"/>
              <w:left w:val="single" w:color="CCCCCC" w:sz="1"/>
              <w:bottom w:val="single" w:color="CCCCCC" w:sz="1"/>
              <w:right w:val="single" w:color="CCCCCC" w:sz="1"/>
            </w:tcBorders>
            <w:shd w:fill="D4870F" w:val="clear"/>
            <w:tcMar>
              <w:top w:type="dxa" w:w="60"/>
              <w:left w:type="dxa" w:w="100"/>
              <w:bottom w:type="dxa" w:w="60"/>
              <w:right w:type="dxa" w:w="100"/>
            </w:tcMar>
          </w:tcPr>
          <w:p>
            <w:r>
              <w:rPr>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D4870F" w:val="clear"/>
            <w:tcMar>
              <w:top w:type="dxa" w:w="60"/>
              <w:left w:type="dxa" w:w="100"/>
              <w:bottom w:type="dxa" w:w="60"/>
              <w:right w:type="dxa" w:w="100"/>
            </w:tcMar>
          </w:tcPr>
          <w:p>
            <w:r>
              <w:rPr>
                <w:b/>
                <w:bCs/>
                <w:color w:val="FFFFFF"/>
                <w:sz w:val="20"/>
                <w:szCs w:val="20"/>
              </w:rPr>
              <w:t xml:space="preserve">Grades</w:t>
            </w:r>
          </w:p>
        </w:tc>
        <w:tc>
          <w:tcPr>
            <w:tcW w:type="dxa" w:w="2000"/>
            <w:tcBorders>
              <w:top w:val="single" w:color="CCCCCC" w:sz="1"/>
              <w:left w:val="single" w:color="CCCCCC" w:sz="1"/>
              <w:bottom w:val="single" w:color="CCCCCC" w:sz="1"/>
              <w:right w:val="single" w:color="CCCCCC" w:sz="1"/>
            </w:tcBorders>
            <w:shd w:fill="D4870F" w:val="clear"/>
            <w:tcMar>
              <w:top w:type="dxa" w:w="60"/>
              <w:left w:type="dxa" w:w="100"/>
              <w:bottom w:type="dxa" w:w="60"/>
              <w:right w:type="dxa" w:w="100"/>
            </w:tcMar>
          </w:tcPr>
          <w:p>
            <w:r>
              <w:rPr>
                <w:b/>
                <w:bCs/>
                <w:color w:val="FFFFFF"/>
                <w:sz w:val="20"/>
                <w:szCs w:val="20"/>
              </w:rPr>
              <w:t xml:space="preserve">Frameworks</w:t>
            </w:r>
          </w:p>
        </w:tc>
        <w:tc>
          <w:tcPr>
            <w:tcW w:type="dxa" w:w="2200"/>
            <w:tcBorders>
              <w:top w:val="single" w:color="CCCCCC" w:sz="1"/>
              <w:left w:val="single" w:color="CCCCCC" w:sz="1"/>
              <w:bottom w:val="single" w:color="CCCCCC" w:sz="1"/>
              <w:right w:val="single" w:color="CCCCCC" w:sz="1"/>
            </w:tcBorders>
            <w:shd w:fill="D4870F" w:val="clear"/>
            <w:tcMar>
              <w:top w:type="dxa" w:w="60"/>
              <w:left w:type="dxa" w:w="100"/>
              <w:bottom w:type="dxa" w:w="60"/>
              <w:right w:type="dxa" w:w="100"/>
            </w:tcMar>
          </w:tcPr>
          <w:p>
            <w:r>
              <w:rPr>
                <w:b/>
                <w:bCs/>
                <w:color w:val="FFFFFF"/>
                <w:sz w:val="20"/>
                <w:szCs w:val="20"/>
              </w:rPr>
              <w:t xml:space="preserve">Benchmarks</w:t>
            </w:r>
          </w:p>
        </w:tc>
        <w:tc>
          <w:tcPr>
            <w:tcW w:type="dxa" w:w="2160"/>
            <w:tcBorders>
              <w:top w:val="single" w:color="CCCCCC" w:sz="1"/>
              <w:left w:val="single" w:color="CCCCCC" w:sz="1"/>
              <w:bottom w:val="single" w:color="CCCCCC" w:sz="1"/>
              <w:right w:val="single" w:color="CCCCCC" w:sz="1"/>
            </w:tcBorders>
            <w:shd w:fill="D4870F" w:val="clear"/>
            <w:tcMar>
              <w:top w:type="dxa" w:w="60"/>
              <w:left w:type="dxa" w:w="100"/>
              <w:bottom w:type="dxa" w:w="60"/>
              <w:right w:type="dxa" w:w="100"/>
            </w:tcMar>
          </w:tcPr>
          <w:p>
            <w:r>
              <w:rPr>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1 (Now)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CCSS + MN07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~97 (from rubric-descriptors)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Seed data exists, migrating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MN22 + TEKS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~200 (cross-ref mapping)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Cross-ref map exists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CCSS + MN + TEKS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~150 new benchmarks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K-5 descriptors started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CCSS + MN + TEKS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~100 new benchmarks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 descriptors started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 4 + 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HS algebra/geometry/stats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Standards codes exist</w:t>
            </w:r>
          </w:p>
        </w:tc>
      </w:tr>
    </w:tbl>
    <w:p>
      <w:pPr>
        <w:pStyle w:val="Heading1"/>
        <w:spacing w:before="240" w:after="120"/>
      </w:pPr>
      <w:r>
        <w:rPr>
          <w:b/>
          <w:bCs/>
        </w:rPr>
        <w:t xml:space="preserve">6. Existing Data Mapped to New Schema</w:t>
      </w:r>
    </w:p>
    <w:p>
      <w:pPr>
        <w:spacing w:after="120"/>
      </w:pPr>
      <w:r>
        <w:rPr>
          <w:sz w:val="22"/>
          <w:szCs w:val="22"/>
        </w:rPr>
        <w:t xml:space="preserve">Here is exactly what migrates from the current project into the new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tcPr>
          <w:p>
            <w:r>
              <w:rPr>
                <w:b/>
                <w:bCs/>
                <w:color w:val="FFFFFF"/>
                <w:sz w:val="20"/>
                <w:szCs w:val="20"/>
              </w:rPr>
              <w:t xml:space="preserve">Current Source</w:t>
            </w:r>
          </w:p>
        </w:tc>
        <w:tc>
          <w:tcPr>
            <w:tcW w:type="dxa" w:w="320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tcPr>
          <w:p>
            <w:r>
              <w:rPr>
                <w:b/>
                <w:bCs/>
                <w:color w:val="FFFFFF"/>
                <w:sz w:val="20"/>
                <w:szCs w:val="20"/>
              </w:rPr>
              <w:t xml:space="preserve">Maps To (New Schema)</w:t>
            </w:r>
          </w:p>
        </w:tc>
        <w:tc>
          <w:tcPr>
            <w:tcW w:type="dxa" w:w="3360"/>
            <w:tcBorders>
              <w:top w:val="single" w:color="CCCCCC" w:sz="1"/>
              <w:left w:val="single" w:color="CCCCCC" w:sz="1"/>
              <w:bottom w:val="single" w:color="CCCCCC" w:sz="1"/>
              <w:right w:val="single" w:color="CCCCCC" w:sz="1"/>
            </w:tcBorders>
            <w:shd w:fill="0D9488" w:val="clear"/>
            <w:tcMar>
              <w:top w:type="dxa" w:w="60"/>
              <w:left w:type="dxa" w:w="100"/>
              <w:bottom w:type="dxa" w:w="60"/>
              <w:right w:type="dxa" w:w="10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DOK_PROBLEMS (15 topics)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problems.dok1/dok2/dok3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150+ stems become seed problems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RUBRIC_DESCRIPTORS (97)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proficiency scale per benchmark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Official MDE ALDs, direct migration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TEACHING_INSIGHTS (43 topics)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teaching.misconceptions + differentiation + essentialUnderstandings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 misconceptions per topic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TOPIC_STANDARDS (43 mappings)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crossRef object per benchmark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4-framework cross-reference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BenchmarkDescriptors (55)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proficiency scale (K-5 grades)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4-level descriptors, extends to 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PREREQUISITE_SKILLS (140+)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teaching.prerequisites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Skill dependency with grade level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RELEVANCE_CONNECTIONS (129)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connections.careers/realLife/progression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 career + 3 real-life per topic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SENTENCE_FRAMES (23)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teaching/sentence-frames.json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ELL scaffolding by activity type</w:t>
            </w:r>
          </w:p>
        </w:tc>
      </w:tr>
    </w:tbl>
    <w:p>
      <w:r>
        <w:br w:type="page"/>
      </w:r>
    </w:p>
    <w:p>
      <w:pPr>
        <w:pStyle w:val="Heading1"/>
        <w:spacing w:before="240" w:after="120"/>
      </w:pPr>
      <w:r>
        <w:rPr>
          <w:b/>
          <w:bCs/>
        </w:rPr>
        <w:t xml:space="preserve">7. Gaps to Fill</w:t>
      </w:r>
    </w:p>
    <w:p>
      <w:pPr>
        <w:spacing w:after="120"/>
      </w:pPr>
      <w:r>
        <w:rPr>
          <w:sz w:val="22"/>
          <w:szCs w:val="22"/>
        </w:rPr>
        <w:t xml:space="preserve">What the current project does NOT have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E8436D" w:val="clear"/>
            <w:tcMar>
              <w:top w:type="dxa" w:w="60"/>
              <w:left w:type="dxa" w:w="100"/>
              <w:bottom w:type="dxa" w:w="60"/>
              <w:right w:type="dxa" w:w="100"/>
            </w:tcMar>
          </w:tcPr>
          <w:p>
            <w:r>
              <w:rPr>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E8436D" w:val="clear"/>
            <w:tcMar>
              <w:top w:type="dxa" w:w="60"/>
              <w:left w:type="dxa" w:w="100"/>
              <w:bottom w:type="dxa" w:w="60"/>
              <w:right w:type="dxa" w:w="100"/>
            </w:tcMar>
          </w:tcPr>
          <w:p>
            <w:r>
              <w:rPr>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E8436D" w:val="clear"/>
            <w:tcMar>
              <w:top w:type="dxa" w:w="60"/>
              <w:left w:type="dxa" w:w="100"/>
              <w:bottom w:type="dxa" w:w="60"/>
              <w:right w:type="dxa" w:w="100"/>
            </w:tcMar>
          </w:tcPr>
          <w:p>
            <w:r>
              <w:rPr>
                <w:b/>
                <w:bCs/>
                <w:color w:val="FFFFFF"/>
                <w:sz w:val="20"/>
                <w:szCs w:val="20"/>
              </w:rPr>
              <w:t xml:space="preserve">Plan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K-5 problems (DOK-leveled)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C262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Build from CCSS K-5 benchmarks. Use existing K-5 descriptors as seed.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HS problems (Alg/Geo/Stats)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97706"/>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Standards codes exist in standards-db.js. Need stems + teaching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California framework (CA CCSSM)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97706"/>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Largely maps to CCSS with CA-specific additions. Add as cross-ref.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Parametric variation rules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C262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ProblemGenerator.generateVariation() exists but is basic. Needs topic-aware number ranges and constraint rules.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Prerequisite dependency graph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C262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PREREQUISITE_SKILLS has the data but it is flat. Need a DAG for automatic backward-chaining in Tier 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K-5 misconceptions + differentiation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DC2626"/>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TEACHING_INSIGHTS covers 6-8 only. K-5 needs full misconception + scaffold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Problem context library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59669"/>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Real-world contexts (cooking, sports, shopping) as plug-in templates for problem stems.</w:t>
            </w:r>
          </w:p>
        </w:tc>
      </w:tr>
    </w:tbl>
    <w:p>
      <w:pPr>
        <w:pStyle w:val="Heading1"/>
        <w:spacing w:before="240" w:after="120"/>
      </w:pPr>
      <w:r>
        <w:rPr>
          <w:b/>
          <w:bCs/>
        </w:rPr>
        <w:t xml:space="preserve">8. Implementation: Immediate Next Steps</w:t>
      </w:r>
    </w:p>
    <w:p>
      <w:pPr>
        <w:spacing w:after="120"/>
      </w:pPr>
      <w:r>
        <w:rPr>
          <w:sz w:val="22"/>
          <w:szCs w:val="22"/>
        </w:rPr>
        <w:t xml:space="preserve">Phase 1 work that can begin today:</w:t>
      </w:r>
    </w:p>
    <w:p>
      <w:pPr>
        <w:spacing w:after="120"/>
      </w:pPr>
      <w:r>
        <w:rPr>
          <w:sz w:val="22"/>
          <w:szCs w:val="22"/>
        </w:rPr>
        <w:t xml:space="preserve">1. Create /webapp/data/ directory structure as shown in Section 3.1</w:t>
      </w:r>
    </w:p>
    <w:p>
      <w:pPr>
        <w:spacing w:after="120"/>
      </w:pPr>
      <w:r>
        <w:rPr>
          <w:sz w:val="22"/>
          <w:szCs w:val="22"/>
        </w:rPr>
        <w:t xml:space="preserve">2. Migrate DOK_PROBLEMS into problems/seed-problems.json, keyed by benchmark code instead of topic name</w:t>
      </w:r>
    </w:p>
    <w:p>
      <w:pPr>
        <w:spacing w:after="120"/>
      </w:pPr>
      <w:r>
        <w:rPr>
          <w:sz w:val="22"/>
          <w:szCs w:val="22"/>
        </w:rPr>
        <w:t xml:space="preserve">3. Migrate RUBRIC_DESCRIPTORS into frameworks/mn07/grade-6.json through grade-8.json</w:t>
      </w:r>
    </w:p>
    <w:p>
      <w:pPr>
        <w:spacing w:after="120"/>
      </w:pPr>
      <w:r>
        <w:rPr>
          <w:sz w:val="22"/>
          <w:szCs w:val="22"/>
        </w:rPr>
        <w:t xml:space="preserve">4. Migrate TEACHING_INSIGHTS into teaching/misconceptions.json and teaching/differentiation.json</w:t>
      </w:r>
    </w:p>
    <w:p>
      <w:pPr>
        <w:spacing w:after="120"/>
      </w:pPr>
      <w:r>
        <w:rPr>
          <w:sz w:val="22"/>
          <w:szCs w:val="22"/>
        </w:rPr>
        <w:t xml:space="preserve">5. Build cross-ref/topic-map.json from TOPIC_STANDARDS</w:t>
      </w:r>
    </w:p>
    <w:p>
      <w:pPr>
        <w:spacing w:after="120"/>
      </w:pPr>
      <w:r>
        <w:rPr>
          <w:sz w:val="22"/>
          <w:szCs w:val="22"/>
        </w:rPr>
        <w:t xml:space="preserve">6. Update ProblemGenerator to load from the new JSON structure instead of window.DOK_PROBLEMS</w:t>
      </w:r>
    </w:p>
    <w:p>
      <w:pPr>
        <w:spacing w:after="120"/>
      </w:pPr>
      <w:r>
        <w:rPr>
          <w:sz w:val="22"/>
          <w:szCs w:val="22"/>
        </w:rPr>
        <w:t xml:space="preserve">7. Update WorksheetPDFEngine to use the richer benchmark data for better problem generation</w:t>
      </w:r>
    </w:p>
    <w:p>
      <w:pPr>
        <w:spacing w:after="120"/>
      </w:pPr>
      <w:r>
        <w:rPr>
          <w:sz w:val="22"/>
          <w:szCs w:val="22"/>
        </w:rPr>
        <w:t xml:space="preserve">8. Begin K-5 benchmark population starting with Grade 5 fractions (highest value for Lesson Digester users)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0F" w:sz="1"/>
      </w:pBdr>
    </w:pPr>
    <w:r>
      <w:rPr>
        <w:rFonts w:ascii="Arial" w:cs="Arial" w:eastAsia="Arial" w:hAnsi="Arial"/>
        <w:color w:val="94A3B8"/>
        <w:sz w:val="16"/>
        <w:szCs w:val="16"/>
      </w:rPr>
      <w:t xml:space="preserve">Vinculum Standards-Problem Database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276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2026-03-16T02:30:40.028Z</dcterms:created>
  <dcterms:modified xsi:type="dcterms:W3CDTF">2026-03-16T02:30:40.028Z</dcterms:modified>
</cp:coreProperties>
</file>

<file path=docProps/custom.xml><?xml version="1.0" encoding="utf-8"?>
<Properties xmlns="http://schemas.openxmlformats.org/officeDocument/2006/custom-properties" xmlns:vt="http://schemas.openxmlformats.org/officeDocument/2006/docPropsVTypes"/>
</file>