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40"/>
        </w:rPr>
        <w:t>Indigenous Context Engine</w:t>
      </w:r>
    </w:p>
    <w:p>
      <w:pPr>
        <w:jc w:val="center"/>
      </w:pPr>
      <w:r>
        <w:rPr>
          <w:i/>
          <w:color w:val="555555"/>
          <w:sz w:val="22"/>
        </w:rPr>
        <w:t>A Free, Open-Source Tool for Integrating Indigenous Knowledge into K–12 Mathematics</w:t>
      </w:r>
    </w:p>
    <w:p>
      <w:pPr>
        <w:jc w:val="center"/>
      </w:pPr>
      <w:r>
        <w:rPr>
          <w:b/>
          <w:color w:val="2D6A4F"/>
          <w:sz w:val="20"/>
        </w:rPr>
        <w:t>Seeking Review from Indigenous Educators and Tribal Nation Communities</w:t>
      </w:r>
    </w:p>
    <w:p>
      <w:pPr>
        <w:pStyle w:val="Heading1"/>
      </w:pPr>
      <w:r>
        <w:rPr>
          <w:color w:val="1B4332"/>
          <w:sz w:val="28"/>
        </w:rPr>
        <w:t>What This Tool Does</w:t>
      </w:r>
    </w:p>
    <w:p>
      <w:r>
        <w:t>The Indigenous Context Engine is a free search tool built into the VINCULUM Math Solutions Hub. When a teacher selects a grade level, math domain, and topic, the engine returns curated Indigenous cultural contexts—stories, themes, measurement traditions, and design practices—that connect meaningfully to that math concept.</w:t>
      </w:r>
    </w:p>
    <w:p>
      <w:r>
        <w:t xml:space="preserve">For example, a Grade 4 Geometry lesson on symmetry returns </w:t>
      </w:r>
      <w:r>
        <w:rPr>
          <w:b/>
        </w:rPr>
        <w:t>Beadwork Design</w:t>
      </w:r>
      <w:r>
        <w:t xml:space="preserve"> (Ojibwe, Dakota, Shoshone-Bannock), with a sample problem about reflection symmetry on a coordinate grid. A Grade 6 lesson on angles returns </w:t>
      </w:r>
      <w:r>
        <w:rPr>
          <w:b/>
        </w:rPr>
        <w:t>Star Navigation</w:t>
      </w:r>
      <w:r>
        <w:t xml:space="preserve"> (Yup’ik), based on Jerry Lipka’s RCT-validated Math in a Cultural Context module.</w:t>
      </w:r>
    </w:p>
    <w:p>
      <w:pPr>
        <w:pStyle w:val="Heading1"/>
      </w:pPr>
      <w:r>
        <w:rPr>
          <w:color w:val="1B4332"/>
          <w:sz w:val="28"/>
        </w:rPr>
        <w:t>What This Tool Is Not</w:t>
      </w:r>
    </w:p>
    <w:p>
      <w:pPr>
        <w:pStyle w:val="ListBullet"/>
      </w:pPr>
      <w:r>
        <w:rPr>
          <w:b/>
        </w:rPr>
        <w:t>No AI-generated cultural content.</w:t>
      </w:r>
      <w:r>
        <w:t xml:space="preserve"> Every entry is pre-written by humans, sourced to published research, named cultural practices, or specific educational programs. The engine performs keyword matching against a curated database—it does not generate or interpret cultural material.</w:t>
      </w:r>
    </w:p>
    <w:p>
      <w:pPr>
        <w:pStyle w:val="ListBullet"/>
      </w:pPr>
      <w:r>
        <w:rPr>
          <w:b/>
        </w:rPr>
        <w:t>Not a finished curriculum.</w:t>
      </w:r>
      <w:r>
        <w:t xml:space="preserve"> The engine provides starting points and connections. It is designed to support teachers, not replace the guidance of Indigenous educators and community members.</w:t>
      </w:r>
    </w:p>
    <w:p>
      <w:pPr>
        <w:pStyle w:val="ListBullet"/>
      </w:pPr>
      <w:r>
        <w:rPr>
          <w:b/>
        </w:rPr>
        <w:t>Not published for classroom use yet.</w:t>
      </w:r>
      <w:r>
        <w:t xml:space="preserve"> The tool is live for demonstration purposes but is explicitly flagged as requiring Indigenous educator review before classroom adoption. That review is what we are requesting.</w:t>
      </w:r>
    </w:p>
    <w:p>
      <w:pPr>
        <w:pStyle w:val="Heading1"/>
      </w:pPr>
      <w:r>
        <w:rPr>
          <w:color w:val="1B4332"/>
          <w:sz w:val="28"/>
        </w:rPr>
        <w:t>Repository at a Glance</w:t>
      </w:r>
    </w:p>
    <w:tbl>
      <w:tblPr>
        <w:tblStyle w:val="TableGrid"/>
        <w:tblW w:type="auto" w:w="0"/>
        <w:jc w:val="center"/>
        <w:tblLook w:firstColumn="1" w:firstRow="1" w:lastColumn="0" w:lastRow="0" w:noHBand="0" w:noVBand="1" w:val="04A0"/>
      </w:tblPr>
      <w:tblGrid>
        <w:gridCol w:w="4680"/>
        <w:gridCol w:w="4680"/>
      </w:tblGrid>
      <w:tr>
        <w:tc>
          <w:tcPr>
            <w:tcW w:type="dxa" w:w="4680"/>
            <w:shd w:fill="F0F7F4" w:val="clear"/>
          </w:tcPr>
          <w:p>
            <w:pPr/>
            <w:r/>
            <w:r>
              <w:rPr>
                <w:b/>
                <w:sz w:val="20"/>
              </w:rPr>
              <w:t>Curated Story/Theme Entries</w:t>
            </w:r>
          </w:p>
        </w:tc>
        <w:tc>
          <w:tcPr>
            <w:tcW w:type="dxa" w:w="4680"/>
            <w:shd w:fill="F0F7F4" w:val="clear"/>
          </w:tcPr>
          <w:p>
            <w:pPr/>
            <w:r/>
            <w:r>
              <w:rPr>
                <w:sz w:val="20"/>
              </w:rPr>
              <w:t>39 (K–12)</w:t>
            </w:r>
          </w:p>
        </w:tc>
      </w:tr>
      <w:tr>
        <w:tc>
          <w:tcPr>
            <w:tcW w:type="dxa" w:w="4680"/>
          </w:tcPr>
          <w:p>
            <w:r/>
            <w:r>
              <w:rPr>
                <w:b/>
                <w:sz w:val="20"/>
              </w:rPr>
              <w:t>Math Domain Crosswalk Entries</w:t>
            </w:r>
          </w:p>
        </w:tc>
        <w:tc>
          <w:tcPr>
            <w:tcW w:type="dxa" w:w="4680"/>
          </w:tcPr>
          <w:p>
            <w:r/>
            <w:r>
              <w:rPr>
                <w:sz w:val="20"/>
              </w:rPr>
              <w:t>24</w:t>
            </w:r>
          </w:p>
        </w:tc>
      </w:tr>
      <w:tr>
        <w:tc>
          <w:tcPr>
            <w:tcW w:type="dxa" w:w="4680"/>
            <w:shd w:fill="F0F7F4" w:val="clear"/>
          </w:tcPr>
          <w:p>
            <w:pPr/>
            <w:r/>
            <w:r>
              <w:rPr>
                <w:b/>
                <w:sz w:val="20"/>
              </w:rPr>
              <w:t>Resource Registry (with evidence levels)</w:t>
            </w:r>
          </w:p>
        </w:tc>
        <w:tc>
          <w:tcPr>
            <w:tcW w:type="dxa" w:w="4680"/>
            <w:shd w:fill="F0F7F4" w:val="clear"/>
          </w:tcPr>
          <w:p>
            <w:pPr/>
            <w:r/>
            <w:r>
              <w:rPr>
                <w:sz w:val="20"/>
              </w:rPr>
              <w:t>15</w:t>
            </w:r>
          </w:p>
        </w:tc>
      </w:tr>
      <w:tr>
        <w:tc>
          <w:tcPr>
            <w:tcW w:type="dxa" w:w="4680"/>
          </w:tcPr>
          <w:p>
            <w:r/>
            <w:r>
              <w:rPr>
                <w:b/>
                <w:sz w:val="20"/>
              </w:rPr>
              <w:t>Grade Bands Covered</w:t>
            </w:r>
          </w:p>
        </w:tc>
        <w:tc>
          <w:tcPr>
            <w:tcW w:type="dxa" w:w="4680"/>
          </w:tcPr>
          <w:p>
            <w:r/>
            <w:r>
              <w:rPr>
                <w:sz w:val="20"/>
              </w:rPr>
              <w:t>K–2, 3–5, 6–8, 9–12</w:t>
            </w:r>
          </w:p>
        </w:tc>
      </w:tr>
      <w:tr>
        <w:tc>
          <w:tcPr>
            <w:tcW w:type="dxa" w:w="4680"/>
            <w:shd w:fill="F0F7F4" w:val="clear"/>
          </w:tcPr>
          <w:p>
            <w:pPr/>
            <w:r/>
            <w:r>
              <w:rPr>
                <w:b/>
                <w:sz w:val="20"/>
              </w:rPr>
              <w:t>Nations Represented</w:t>
            </w:r>
          </w:p>
        </w:tc>
        <w:tc>
          <w:tcPr>
            <w:tcW w:type="dxa" w:w="4680"/>
            <w:shd w:fill="F0F7F4" w:val="clear"/>
          </w:tcPr>
          <w:p>
            <w:pPr/>
            <w:r/>
            <w:r>
              <w:rPr>
                <w:sz w:val="20"/>
              </w:rPr>
              <w:t>Ojibwe, Dakota, Lakota, Yup’ik, Diné (Navajo), Hawaiian, Polynesian, Shoshone-Bannock, and others</w:t>
            </w:r>
          </w:p>
        </w:tc>
      </w:tr>
      <w:tr>
        <w:tc>
          <w:tcPr>
            <w:tcW w:type="dxa" w:w="4680"/>
          </w:tcPr>
          <w:p>
            <w:r/>
            <w:r>
              <w:rPr>
                <w:b/>
                <w:sz w:val="20"/>
              </w:rPr>
              <w:t>MN 2022 Standards Aligned</w:t>
            </w:r>
          </w:p>
        </w:tc>
        <w:tc>
          <w:tcPr>
            <w:tcW w:type="dxa" w:w="4680"/>
          </w:tcPr>
          <w:p>
            <w:r/>
            <w:r>
              <w:rPr>
                <w:sz w:val="20"/>
              </w:rPr>
              <w:t>Yes (✜ benchmarks)</w:t>
            </w:r>
          </w:p>
        </w:tc>
      </w:tr>
      <w:tr>
        <w:tc>
          <w:tcPr>
            <w:tcW w:type="dxa" w:w="4680"/>
            <w:shd w:fill="F0F7F4" w:val="clear"/>
          </w:tcPr>
          <w:p>
            <w:pPr/>
            <w:r/>
            <w:r>
              <w:rPr>
                <w:b/>
                <w:sz w:val="20"/>
              </w:rPr>
              <w:t>Cost</w:t>
            </w:r>
          </w:p>
        </w:tc>
        <w:tc>
          <w:tcPr>
            <w:tcW w:type="dxa" w:w="4680"/>
            <w:shd w:fill="F0F7F4" w:val="clear"/>
          </w:tcPr>
          <w:p>
            <w:pPr/>
            <w:r/>
            <w:r>
              <w:rPr>
                <w:sz w:val="20"/>
              </w:rPr>
              <w:t>Free and open-source (GitHub)</w:t>
            </w:r>
          </w:p>
        </w:tc>
      </w:tr>
      <w:tr>
        <w:tc>
          <w:tcPr>
            <w:tcW w:type="dxa" w:w="4680"/>
          </w:tcPr>
          <w:p>
            <w:r/>
            <w:r>
              <w:rPr>
                <w:b/>
                <w:sz w:val="20"/>
              </w:rPr>
              <w:t>AI-Generated Cultural Content</w:t>
            </w:r>
          </w:p>
        </w:tc>
        <w:tc>
          <w:tcPr>
            <w:tcW w:type="dxa" w:w="4680"/>
          </w:tcPr>
          <w:p>
            <w:r/>
            <w:r>
              <w:rPr>
                <w:sz w:val="20"/>
              </w:rPr>
              <w:t>None. Zero.</w:t>
            </w:r>
          </w:p>
        </w:tc>
      </w:tr>
    </w:tbl>
    <w:p>
      <w:pPr>
        <w:pStyle w:val="Heading1"/>
      </w:pPr>
      <w:r>
        <w:rPr>
          <w:color w:val="1B4332"/>
          <w:sz w:val="28"/>
        </w:rPr>
        <w:t>Research Foundation</w:t>
      </w:r>
    </w:p>
    <w:p>
      <w:r>
        <w:t>The repository draws on peer-reviewed and practitioner-validated sources including: Ron Eglash’s Culturally Situated Design Tools (RCT evidence); Jerry Lipka’s Math in a Cultural Context / Yup’ik modules (IES-funded RCT evidence); Annette Lee’s Native Skywatchers D/Lakota and Ojibwe star maps (NASA-funded); the IK-HABME framework (Stavrou &amp; Miller, 2022); and Ubiratan D’Ambrosio’s ethnomathematics theoretical foundation.</w:t>
      </w:r>
    </w:p>
    <w:p>
      <w:r>
        <w:t xml:space="preserve">A newly developed </w:t>
      </w:r>
      <w:r>
        <w:rPr>
          <w:b/>
        </w:rPr>
        <w:t>Coordinate Systems Thread</w:t>
      </w:r>
      <w:r>
        <w:t xml:space="preserve"> traces one conceptual idea—how we describe position using a reference system—from kindergarten (physical weaving on a loom) through high school trigonometry (Polynesian celestial navigation), moving through the Concrete–Representational–Abstract instructional sequence.</w:t>
      </w:r>
    </w:p>
    <w:p>
      <w:pPr>
        <w:pStyle w:val="Heading1"/>
      </w:pPr>
      <w:r>
        <w:rPr>
          <w:color w:val="1B4332"/>
          <w:sz w:val="28"/>
        </w:rPr>
        <w:t>What We Are Asking For</w:t>
      </w:r>
    </w:p>
    <w:p>
      <w:r>
        <w:t>We are seeking review from Indigenous educators, Tribal Nation education departments, and community members to verify that the curated contexts in this repository are:</w:t>
      </w:r>
    </w:p>
    <w:p>
      <w:pPr>
        <w:pStyle w:val="ListBullet"/>
      </w:pPr>
      <w:r>
        <w:rPr>
          <w:b/>
        </w:rPr>
        <w:t>Culturally accurate</w:t>
      </w:r>
      <w:r>
        <w:t xml:space="preserve"> — Do the descriptions reflect living practices and knowledge systems respectfully and correctly?</w:t>
      </w:r>
    </w:p>
    <w:p>
      <w:pPr>
        <w:pStyle w:val="ListBullet"/>
      </w:pPr>
      <w:r>
        <w:rPr>
          <w:b/>
        </w:rPr>
        <w:t>Appropriately attributed</w:t>
      </w:r>
      <w:r>
        <w:t xml:space="preserve"> — Are the nations, sources, and cultural contexts correctly identified?</w:t>
      </w:r>
    </w:p>
    <w:p>
      <w:pPr>
        <w:pStyle w:val="ListBullet"/>
      </w:pPr>
      <w:r>
        <w:rPr>
          <w:b/>
        </w:rPr>
        <w:t>Respectful of knowledge sovereignty</w:t>
      </w:r>
      <w:r>
        <w:t xml:space="preserve"> — Is any content included that should not be shared in a public educational context?</w:t>
      </w:r>
    </w:p>
    <w:p>
      <w:pPr>
        <w:pStyle w:val="ListBullet"/>
      </w:pPr>
      <w:r>
        <w:rPr>
          <w:b/>
        </w:rPr>
        <w:t>Pedagogically sound</w:t>
      </w:r>
      <w:r>
        <w:t xml:space="preserve"> — Do the math connections feel authentic rather than superficial?</w:t>
      </w:r>
    </w:p>
    <w:p>
      <w:r>
        <w:rPr>
          <w:b/>
          <w:i/>
        </w:rPr>
        <w:t>We will not recommend this tool for classroom use until this review is complete.</w:t>
      </w:r>
    </w:p>
    <w:p>
      <w:pPr>
        <w:pStyle w:val="Heading1"/>
      </w:pPr>
      <w:r>
        <w:rPr>
          <w:color w:val="1B4332"/>
          <w:sz w:val="28"/>
        </w:rPr>
        <w:t>How to Try It Right Now</w:t>
      </w:r>
    </w:p>
    <w:p>
      <w:r>
        <w:rPr>
          <w:b/>
        </w:rPr>
        <w:t xml:space="preserve">Live demo: </w:t>
      </w:r>
      <w:r>
        <w:t>discrafty-cpu.github.io/vinculum-hub/VINCULUM-Hub.html</w:t>
      </w:r>
      <w:r>
        <w:t xml:space="preserve"> — click the green ✦ button in the bottom-right corner. Select a grade, domain, and topic keyword, then click </w:t>
      </w:r>
      <w:r>
        <w:rPr>
          <w:b/>
        </w:rPr>
        <w:t>Find Indigenous Contexts</w:t>
      </w:r>
      <w:r>
        <w:t>. No login, no cost, no installation required.</w:t>
      </w:r>
    </w:p>
    <w:p>
      <w:r>
        <w:rPr>
          <w:b/>
        </w:rPr>
        <w:t xml:space="preserve">Source code: </w:t>
      </w:r>
      <w:r>
        <w:t>github.com/discrafty-cpu/indigenous-math-integration</w:t>
      </w:r>
    </w:p>
    <w:p>
      <w:pPr>
        <w:pStyle w:val="Heading1"/>
      </w:pPr>
      <w:r>
        <w:rPr>
          <w:color w:val="1B4332"/>
          <w:sz w:val="28"/>
        </w:rPr>
        <w:t>Standards Alignment</w:t>
      </w:r>
    </w:p>
    <w:p>
      <w:r>
        <w:t>This tool was built in direct response to Minnesota’s 2022 Mathematics Standards and MN Statute 120B.021, which require embedding Dakota and Anishinaabe education across academic standards (implementation 2027–28). Five of 20 anchor standards ask students to apply math concepts to examples “found in historical and contemporary Dakota and Anishinaabe communities.” The four-directions symbol (✜) marks relevant benchmarks throughout the standards document. The engine also supports broader state mandates in Montana (IEFA), Washington, Oregon, and others.</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Contact: Jon Drummond • drummond.jon@gmail.com • discrafty-cpu.github.io/vinculum-hub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2D6A4F"/>
        <w:sz w:val="18"/>
      </w:rPr>
      <w:t>VINCULUM Math Solutions</w:t>
    </w:r>
    <w:r>
      <w:rPr>
        <w:color w:val="555555"/>
        <w:sz w:val="18"/>
      </w:rPr>
      <w:t xml:space="preserve">   •   Indigenous Context Engine — Review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