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f5dbdb0a58c255b0dc8a90a851e89b308dff2d"/>
      <w:r>
        <w:t xml:space="preserve">Indigenous Peoples and Cultures in K-12 Mathematics</w:t>
      </w:r>
      <w:bookmarkEnd w:id="20"/>
    </w:p>
    <w:p>
      <w:pPr>
        <w:pStyle w:val="Heading2"/>
      </w:pPr>
      <w:bookmarkStart w:id="21" w:name="X70bf2b7218cc56839625aad7ee1985864f03e87"/>
      <w:r>
        <w:t xml:space="preserve">Research, Practice, and Implementation Profile</w:t>
      </w:r>
      <w:bookmarkEnd w:id="21"/>
    </w:p>
    <w:p>
      <w:pPr>
        <w:pStyle w:val="FirstParagraph"/>
      </w:pPr>
      <w:r>
        <w:rPr>
          <w:b/>
        </w:rPr>
        <w:t xml:space="preserve">Purpose:</w:t>
      </w:r>
      <w:r>
        <w:t xml:space="preserve"> Data-driven research repository for integrating Indigenous stories, themes, cultural practices, measurement traditions, and mathematical knowledge systems into a K-12 mathematics curriculum system. Designed as a source layer for the VINCULUM Lesson Digester.</w:t>
      </w:r>
    </w:p>
    <w:p>
      <w:pPr>
        <w:pStyle w:val="BodyText"/>
      </w:pPr>
      <w:r>
        <w:rPr>
          <w:b/>
        </w:rPr>
        <w:t xml:space="preserve">Date:</w:t>
      </w:r>
      <w:r>
        <w:t xml:space="preserve"> March 2026</w:t>
      </w:r>
    </w:p>
    <w:p>
      <w:r>
        <w:pict>
          <v:rect style="width:0;height:1.5pt" o:hralign="center" o:hrstd="t" o:hr="t"/>
        </w:pict>
      </w:r>
    </w:p>
    <w:p>
      <w:pPr>
        <w:pStyle w:val="Heading2"/>
      </w:pPr>
      <w:bookmarkStart w:id="22" w:name="part-1-the-legal-and-policy-landscape"/>
      <w:r>
        <w:t xml:space="preserve">PART 1: THE LEGAL AND POLICY LANDSCAPE</w:t>
      </w:r>
      <w:bookmarkEnd w:id="22"/>
    </w:p>
    <w:p>
      <w:pPr>
        <w:pStyle w:val="Heading3"/>
      </w:pPr>
      <w:bookmarkStart w:id="23" w:name="minnesotas-mandate-primary-target"/>
      <w:r>
        <w:t xml:space="preserve">1.1 Minnesota’s Mandate (Primary Target)</w:t>
      </w:r>
      <w:bookmarkEnd w:id="23"/>
    </w:p>
    <w:p>
      <w:pPr>
        <w:pStyle w:val="FirstParagraph"/>
      </w:pPr>
      <w:r>
        <w:t xml:space="preserve">Minnesota Statute 120B.021 requires that the commissioner embed Indigenous education for all students into the state’s academic standards during review and revision. This includes contributions of the four Dakota and seven Anishinaabe/Ojibwe Tribal Nations, as well as Minnesota’s Urban Indigenous communities.</w:t>
      </w:r>
    </w:p>
    <w:p>
      <w:pPr>
        <w:pStyle w:val="BodyText"/>
      </w:pPr>
      <w:r>
        <w:rPr>
          <w:b/>
        </w:rPr>
        <w:t xml:space="preserve">Timeline:</w:t>
      </w:r>
      <w:r>
        <w:t xml:space="preserve"> The 2022 Minnesota K-12 Academic Standards in Mathematics were approved by the Office of Administrative Hearings on February 25, 2025, with full implementation required by the 2027-28 school year.</w:t>
      </w:r>
    </w:p>
    <w:p>
      <w:pPr>
        <w:pStyle w:val="BodyText"/>
      </w:pPr>
      <w:r>
        <w:rPr>
          <w:b/>
        </w:rPr>
        <w:t xml:space="preserve">What the standards require in math specifically:</w:t>
      </w:r>
    </w:p>
    <w:p>
      <w:pPr>
        <w:pStyle w:val="BodyText"/>
      </w:pPr>
      <w:r>
        <w:t xml:space="preserve">The standards use a four-directions symbol to mark benchmarks connected to Minnesota Tribal Nations contexts. Students at every grade level are expected to engage with problems connected to place, story, cultural practices, language, and perspectives relevant to historical and contemporary Dakota and Anishinaabe communities.</w:t>
      </w:r>
    </w:p>
    <w:p>
      <w:pPr>
        <w:pStyle w:val="BodyText"/>
      </w:pPr>
      <w:r>
        <w:rPr>
          <w:b/>
        </w:rPr>
        <w:t xml:space="preserve">Grade-level benchmark examples from the approved standards:</w:t>
      </w:r>
    </w:p>
    <w:p>
      <w:pPr>
        <w:numPr>
          <w:ilvl w:val="0"/>
          <w:numId w:val="1001"/>
        </w:numPr>
        <w:pStyle w:val="Compact"/>
      </w:pPr>
      <w:r>
        <w:rPr>
          <w:b/>
        </w:rPr>
        <w:t xml:space="preserve">Kindergarten:</w:t>
      </w:r>
      <w:r>
        <w:t xml:space="preserve"> Classify and sort objects, including historical and contemporary objects from Dakota and Anishinaabe Tribal Nations and other communities.</w:t>
      </w:r>
    </w:p>
    <w:p>
      <w:pPr>
        <w:numPr>
          <w:ilvl w:val="0"/>
          <w:numId w:val="1001"/>
        </w:numPr>
        <w:pStyle w:val="Compact"/>
      </w:pPr>
      <w:r>
        <w:rPr>
          <w:b/>
        </w:rPr>
        <w:t xml:space="preserve">Grade 2:</w:t>
      </w:r>
      <w:r>
        <w:t xml:space="preserve"> Generate measurement data, including historical and present-day ways of measuring from Dakota and Anishinaabe Tribal Nations and other communities, with whole unit lengths (using a variety of tools and the body) and display data on a line plot.</w:t>
      </w:r>
    </w:p>
    <w:p>
      <w:pPr>
        <w:numPr>
          <w:ilvl w:val="0"/>
          <w:numId w:val="1001"/>
        </w:numPr>
        <w:pStyle w:val="Compact"/>
      </w:pPr>
      <w:r>
        <w:rPr>
          <w:b/>
        </w:rPr>
        <w:t xml:space="preserve">Grade 3:</w:t>
      </w:r>
      <w:r>
        <w:t xml:space="preserve"> When using data, including data from tribal nations, analyze where it came from, who collected it, its purpose, and what and whose perspective may be missing.</w:t>
      </w:r>
    </w:p>
    <w:p>
      <w:pPr>
        <w:numPr>
          <w:ilvl w:val="0"/>
          <w:numId w:val="1001"/>
        </w:numPr>
        <w:pStyle w:val="Compact"/>
      </w:pPr>
      <w:r>
        <w:rPr>
          <w:b/>
        </w:rPr>
        <w:t xml:space="preserve">Grade 6:</w:t>
      </w:r>
      <w:r>
        <w:t xml:space="preserve"> Solve problems connected to place, story, cultural practices, language, and perspectives relevant to historical and contemporary Dakota and Anishinaabe communities (integrated across ratio, proportion, and algebraic reasoning benchmarks).</w:t>
      </w:r>
    </w:p>
    <w:p>
      <w:pPr>
        <w:pStyle w:val="FirstParagraph"/>
      </w:pPr>
      <w:r>
        <w:rPr>
          <w:b/>
        </w:rPr>
        <w:t xml:space="preserve">Key institutional support:</w:t>
      </w:r>
    </w:p>
    <w:p>
      <w:pPr>
        <w:numPr>
          <w:ilvl w:val="0"/>
          <w:numId w:val="1002"/>
        </w:numPr>
        <w:pStyle w:val="Compact"/>
      </w:pPr>
      <w:r>
        <w:t xml:space="preserve">Indigenous Education for All (IEFA) initiative integrates Anishinaabe and Dakota cultural, historical, and contemporary contributions across K-12.</w:t>
      </w:r>
    </w:p>
    <w:p>
      <w:pPr>
        <w:numPr>
          <w:ilvl w:val="0"/>
          <w:numId w:val="1002"/>
        </w:numPr>
        <w:pStyle w:val="Compact"/>
      </w:pPr>
      <w:r>
        <w:t xml:space="preserve">The Minnesota Department of Education (MDE) is responsible for providing Tribally endorsed resources. Educators and districts are not responsible for creating IEFA resources or seeking Tribal endorsement.</w:t>
      </w:r>
    </w:p>
    <w:p>
      <w:pPr>
        <w:numPr>
          <w:ilvl w:val="0"/>
          <w:numId w:val="1002"/>
        </w:numPr>
        <w:pStyle w:val="Compact"/>
      </w:pPr>
      <w:r>
        <w:t xml:space="preserve">Math Leadership Symposium planned for April 23, 2026, in Duluth, featuring Dr. Anton Treuer on integrating Indigenous perspectives into K-12 mathematics.</w:t>
      </w:r>
    </w:p>
    <w:p>
      <w:pPr>
        <w:numPr>
          <w:ilvl w:val="0"/>
          <w:numId w:val="1002"/>
        </w:numPr>
        <w:pStyle w:val="Compact"/>
      </w:pPr>
      <w:r>
        <w:t xml:space="preserve">Summer Math Standards Institute scheduled for August 3-7, 2026.</w:t>
      </w:r>
    </w:p>
    <w:p>
      <w:pPr>
        <w:pStyle w:val="FirstParagraph"/>
      </w:pPr>
      <w:r>
        <w:rPr>
          <w:b/>
        </w:rPr>
        <w:t xml:space="preserve">Critical implementation note:</w:t>
      </w:r>
      <w:r>
        <w:t xml:space="preserve"> Approximately 1% of the total learning benchmarks directly address tribes and cultures, but the integration is intended to be woven throughout instruction, not isolated.</w:t>
      </w:r>
    </w:p>
    <w:p>
      <w:pPr>
        <w:pStyle w:val="Heading3"/>
      </w:pPr>
      <w:bookmarkStart w:id="24" w:name="multi-state-mandate-landscape"/>
      <w:r>
        <w:t xml:space="preserve">1.2 Multi-State Mandate Landscape</w:t>
      </w:r>
      <w:bookmarkEnd w:id="24"/>
    </w:p>
    <w:p>
      <w:pPr>
        <w:pStyle w:val="FirstParagraph"/>
      </w:pPr>
      <w:r>
        <w:t xml:space="preserve">At least 10 states have enacted legislation or constitutional mandates requiring Indigenous education in K-12 curriculum. Here is the current landscape:</w:t>
      </w:r>
    </w:p>
    <w:p>
      <w:pPr>
        <w:pStyle w:val="BodyText"/>
      </w:pPr>
      <w:r>
        <w:rPr>
          <w:b/>
        </w:rPr>
        <w:t xml:space="preserve">Constitutional mandates:</w:t>
      </w:r>
      <w:r>
        <w:t xml:space="preserve"> - </w:t>
      </w:r>
      <w:r>
        <w:rPr>
          <w:b/>
        </w:rPr>
        <w:t xml:space="preserve">Montana</w:t>
      </w:r>
      <w:r>
        <w:t xml:space="preserve"> — Indian Education for All (IEFA), constitutionally mandated since 1972, legislatively funded since 2005. The most mature program in the nation. - </w:t>
      </w:r>
      <w:r>
        <w:rPr>
          <w:b/>
        </w:rPr>
        <w:t xml:space="preserve">Hawaii</w:t>
      </w:r>
      <w:r>
        <w:t xml:space="preserve"> — Constitutional mandate to teach Native Hawaiian history and culture.</w:t>
      </w:r>
    </w:p>
    <w:p>
      <w:pPr>
        <w:pStyle w:val="BodyText"/>
      </w:pPr>
      <w:r>
        <w:rPr>
          <w:b/>
        </w:rPr>
        <w:t xml:space="preserve">Legislative mandates:</w:t>
      </w:r>
      <w:r>
        <w:t xml:space="preserve"> - </w:t>
      </w:r>
      <w:r>
        <w:rPr>
          <w:b/>
        </w:rPr>
        <w:t xml:space="preserve">Washington</w:t>
      </w:r>
      <w:r>
        <w:t xml:space="preserve"> — Since Time Immemorial: Tribal Sovereignty in Washington State. Legislature passed SB 5433 in 2015 requiring tribally-developed curriculum in all schools. Endorsed by all 29 federally recognized tribes. - </w:t>
      </w:r>
      <w:r>
        <w:rPr>
          <w:b/>
        </w:rPr>
        <w:t xml:space="preserve">Oregon</w:t>
      </w:r>
      <w:r>
        <w:t xml:space="preserve"> — Law effective 2019 requiring “historically accurate, culturally embedded, place-based, contemporary, and developmentally appropriate” American Indian and Alaska Native curriculum in five subject areas. - </w:t>
      </w:r>
      <w:r>
        <w:rPr>
          <w:b/>
        </w:rPr>
        <w:t xml:space="preserve">North Dakota</w:t>
      </w:r>
      <w:r>
        <w:t xml:space="preserve"> — 2021 law requiring schools to teach Native American history. - </w:t>
      </w:r>
      <w:r>
        <w:rPr>
          <w:b/>
        </w:rPr>
        <w:t xml:space="preserve">South Dakota</w:t>
      </w:r>
      <w:r>
        <w:t xml:space="preserve"> — 2007 legislation requiring K-12 courses on history and culture of the state’s tribes. - </w:t>
      </w:r>
      <w:r>
        <w:rPr>
          <w:b/>
        </w:rPr>
        <w:t xml:space="preserve">Wisconsin</w:t>
      </w:r>
      <w:r>
        <w:t xml:space="preserve"> — Law requiring content about Wisconsin’s tribes in social studies standards. - </w:t>
      </w:r>
      <w:r>
        <w:rPr>
          <w:b/>
        </w:rPr>
        <w:t xml:space="preserve">Connecticut</w:t>
      </w:r>
      <w:r>
        <w:t xml:space="preserve"> — Required introduction of coursework by the 2023-24 academic year. - </w:t>
      </w:r>
      <w:r>
        <w:rPr>
          <w:b/>
        </w:rPr>
        <w:t xml:space="preserve">Nevada</w:t>
      </w:r>
      <w:r>
        <w:t xml:space="preserve"> and </w:t>
      </w:r>
      <w:r>
        <w:rPr>
          <w:b/>
        </w:rPr>
        <w:t xml:space="preserve">Oklahoma</w:t>
      </w:r>
      <w:r>
        <w:t xml:space="preserve"> — Have developed materials for K-12 students about Indigenous histories. - </w:t>
      </w:r>
      <w:r>
        <w:rPr>
          <w:b/>
        </w:rPr>
        <w:t xml:space="preserve">Minnesota</w:t>
      </w:r>
      <w:r>
        <w:t xml:space="preserve"> — Statute 120B.021 (2007, expanded in 2022 standards revision).</w:t>
      </w:r>
    </w:p>
    <w:p>
      <w:pPr>
        <w:pStyle w:val="Heading3"/>
      </w:pPr>
      <w:bookmarkStart w:id="25" w:name="X874dfed8dbc8dac0d91f176a91c3e21cc8e709e"/>
      <w:r>
        <w:t xml:space="preserve">1.3 Lessons from Montana’s IEFA (Longest-Running Model)</w:t>
      </w:r>
      <w:bookmarkEnd w:id="25"/>
    </w:p>
    <w:p>
      <w:pPr>
        <w:pStyle w:val="FirstParagraph"/>
      </w:pPr>
      <w:r>
        <w:t xml:space="preserve">Montana’s program, with over 20 years of implementation history, offers the most extensive lessons learned:</w:t>
      </w:r>
    </w:p>
    <w:p>
      <w:pPr>
        <w:pStyle w:val="BodyText"/>
      </w:pPr>
      <w:r>
        <w:rPr>
          <w:b/>
        </w:rPr>
        <w:t xml:space="preserve">What worked:</w:t>
      </w:r>
      <w:r>
        <w:t xml:space="preserve"> - Over 400 resources developed by the Office of Public Instruction (OPI), responsive to school size and classroom demographics. - Resources include books, lesson plans, and Essential Understandings Regarding Montana Indians. - Math standards explicitly state that students should solve problems within a cultural context, including those of Montana American Indians.</w:t>
      </w:r>
    </w:p>
    <w:p>
      <w:pPr>
        <w:pStyle w:val="BodyText"/>
      </w:pPr>
      <w:r>
        <w:rPr>
          <w:b/>
        </w:rPr>
        <w:t xml:space="preserve">What didn’t work (and what Minnesota should learn):</w:t>
      </w:r>
      <w:r>
        <w:t xml:space="preserve"> - 50% or more of teachers reported not using the activities or using them only once per year. - Interpretation of IEFA ranged widely — from a single annual event to comprehensive school-wide integration. - Investment in ongoing coaching (identified as needing 3 FTE minimum) was crucial but underfunded. - Teachers needed sustained professional development, not just resource lists.</w:t>
      </w:r>
    </w:p>
    <w:p>
      <w:pPr>
        <w:pStyle w:val="BodyText"/>
      </w:pPr>
      <w:r>
        <w:rPr>
          <w:b/>
        </w:rPr>
        <w:t xml:space="preserve">Implication for the Digester:</w:t>
      </w:r>
      <w:r>
        <w:t xml:space="preserve"> The system must make integration low-friction and embedded, not a separate add-on module. Resources need to be woven into the normal flow of lesson delivery.</w:t>
      </w:r>
    </w:p>
    <w:p>
      <w:r>
        <w:pict>
          <v:rect style="width:0;height:1.5pt" o:hralign="center" o:hrstd="t" o:hr="t"/>
        </w:pict>
      </w:r>
    </w:p>
    <w:p>
      <w:pPr>
        <w:pStyle w:val="Heading2"/>
      </w:pPr>
      <w:bookmarkStart w:id="26" w:name="part-2-proven-frameworks-and-curricula"/>
      <w:r>
        <w:t xml:space="preserve">PART 2: PROVEN FRAMEWORKS AND CURRICULA</w:t>
      </w:r>
      <w:bookmarkEnd w:id="26"/>
    </w:p>
    <w:p>
      <w:pPr>
        <w:pStyle w:val="Heading3"/>
      </w:pPr>
      <w:bookmarkStart w:id="27" w:name="X95f171cb281aecd1ea1dfb89caa560a64abb26a"/>
      <w:r>
        <w:t xml:space="preserve">2.1 Math in a Cultural Context (MCC) — The Gold Standard</w:t>
      </w:r>
      <w:bookmarkEnd w:id="27"/>
    </w:p>
    <w:p>
      <w:pPr>
        <w:pStyle w:val="FirstParagraph"/>
      </w:pPr>
      <w:r>
        <w:rPr>
          <w:b/>
        </w:rPr>
        <w:t xml:space="preserve">Origin:</w:t>
      </w:r>
      <w:r>
        <w:t xml:space="preserve"> University of Alaska Fairbanks, led by Dr. Jerry Lipka over nearly two decades of collaboration with Yup’ik elders, teachers, mathematicians, and school districts.</w:t>
      </w:r>
    </w:p>
    <w:p>
      <w:pPr>
        <w:pStyle w:val="BodyText"/>
      </w:pPr>
      <w:r>
        <w:rPr>
          <w:b/>
        </w:rPr>
        <w:t xml:space="preserve">Evidence base:</w:t>
      </w:r>
      <w:r>
        <w:t xml:space="preserve"> Randomized controlled trials showed that MCC modules significantly increased student math performance, including for Alaska Native students. This is one of the few Indigenous math programs with rigorous experimental evidence.</w:t>
      </w:r>
    </w:p>
    <w:p>
      <w:pPr>
        <w:pStyle w:val="BodyText"/>
      </w:pPr>
      <w:r>
        <w:rPr>
          <w:b/>
        </w:rPr>
        <w:t xml:space="preserve">Curriculum modules (4-6 weeks each):</w:t>
      </w:r>
    </w:p>
    <w:tbl>
      <w:tblPr>
        <w:tblStyle w:val="Table"/>
        <w:tblW w:type="pct" w:w="5000.0"/>
        <w:tblLook w:firstRow="1"/>
      </w:tblPr>
      <w:tblGrid>
        <w:gridCol w:w="1377"/>
        <w:gridCol w:w="1205"/>
        <w:gridCol w:w="2410"/>
        <w:gridCol w:w="2926"/>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Grade</w:t>
            </w:r>
          </w:p>
        </w:tc>
        <w:tc>
          <w:tcPr>
            <w:tcBorders>
              <w:bottom w:val="single"/>
            </w:tcBorders>
            <w:vAlign w:val="bottom"/>
          </w:tcPr>
          <w:p>
            <w:pPr>
              <w:pStyle w:val="Compact"/>
              <w:jc w:val="left"/>
            </w:pPr>
            <w:r>
              <w:t xml:space="preserve">Math Concepts</w:t>
            </w:r>
          </w:p>
        </w:tc>
        <w:tc>
          <w:tcPr>
            <w:tcBorders>
              <w:bottom w:val="single"/>
            </w:tcBorders>
            <w:vAlign w:val="bottom"/>
          </w:tcPr>
          <w:p>
            <w:pPr>
              <w:pStyle w:val="Compact"/>
              <w:jc w:val="left"/>
            </w:pPr>
            <w:r>
              <w:t xml:space="preserve">Cultural Context</w:t>
            </w:r>
          </w:p>
        </w:tc>
      </w:tr>
      <w:tr>
        <w:tc>
          <w:p>
            <w:pPr>
              <w:pStyle w:val="Compact"/>
              <w:jc w:val="left"/>
            </w:pPr>
            <w:r>
              <w:t xml:space="preserve">Picking Berries</w:t>
            </w:r>
          </w:p>
        </w:tc>
        <w:tc>
          <w:p>
            <w:pPr>
              <w:pStyle w:val="Compact"/>
              <w:jc w:val="left"/>
            </w:pPr>
            <w:r>
              <w:t xml:space="preserve">K-2</w:t>
            </w:r>
          </w:p>
        </w:tc>
        <w:tc>
          <w:p>
            <w:pPr>
              <w:pStyle w:val="Compact"/>
              <w:jc w:val="left"/>
            </w:pPr>
            <w:r>
              <w:t xml:space="preserve">Data collection, graphing, measuring</w:t>
            </w:r>
          </w:p>
        </w:tc>
        <w:tc>
          <w:p>
            <w:pPr>
              <w:pStyle w:val="Compact"/>
              <w:jc w:val="left"/>
            </w:pPr>
            <w:r>
              <w:t xml:space="preserve">Subsistence berry gathering</w:t>
            </w:r>
          </w:p>
        </w:tc>
      </w:tr>
      <w:tr>
        <w:tc>
          <w:p>
            <w:pPr>
              <w:pStyle w:val="Compact"/>
              <w:jc w:val="left"/>
            </w:pPr>
            <w:r>
              <w:t xml:space="preserve">Going to Egg Island</w:t>
            </w:r>
          </w:p>
        </w:tc>
        <w:tc>
          <w:p>
            <w:pPr>
              <w:pStyle w:val="Compact"/>
              <w:jc w:val="left"/>
            </w:pPr>
            <w:r>
              <w:t xml:space="preserve">2</w:t>
            </w:r>
          </w:p>
        </w:tc>
        <w:tc>
          <w:p>
            <w:pPr>
              <w:pStyle w:val="Compact"/>
              <w:jc w:val="left"/>
            </w:pPr>
            <w:r>
              <w:t xml:space="preserve">Grouping, place value</w:t>
            </w:r>
          </w:p>
        </w:tc>
        <w:tc>
          <w:p>
            <w:pPr>
              <w:pStyle w:val="Compact"/>
              <w:jc w:val="left"/>
            </w:pPr>
            <w:r>
              <w:t xml:space="preserve">Gathering bird eggs</w:t>
            </w:r>
          </w:p>
        </w:tc>
      </w:tr>
      <w:tr>
        <w:tc>
          <w:p>
            <w:pPr>
              <w:pStyle w:val="Compact"/>
              <w:jc w:val="left"/>
            </w:pPr>
            <w:r>
              <w:t xml:space="preserve">Patterns and Parkas</w:t>
            </w:r>
          </w:p>
        </w:tc>
        <w:tc>
          <w:p>
            <w:pPr>
              <w:pStyle w:val="Compact"/>
              <w:jc w:val="left"/>
            </w:pPr>
            <w:r>
              <w:t xml:space="preserve">3-5</w:t>
            </w:r>
          </w:p>
        </w:tc>
        <w:tc>
          <w:p>
            <w:pPr>
              <w:pStyle w:val="Compact"/>
              <w:jc w:val="left"/>
            </w:pPr>
            <w:r>
              <w:t xml:space="preserve">Shapes, area, symmetry, congruence</w:t>
            </w:r>
          </w:p>
        </w:tc>
        <w:tc>
          <w:p>
            <w:pPr>
              <w:pStyle w:val="Compact"/>
              <w:jc w:val="left"/>
            </w:pPr>
            <w:r>
              <w:t xml:space="preserve">Border patterns for parka hoods and hemlines</w:t>
            </w:r>
          </w:p>
        </w:tc>
      </w:tr>
      <w:tr>
        <w:tc>
          <w:p>
            <w:pPr>
              <w:pStyle w:val="Compact"/>
              <w:jc w:val="left"/>
            </w:pPr>
            <w:r>
              <w:t xml:space="preserve">Designing Patterns</w:t>
            </w:r>
          </w:p>
        </w:tc>
        <w:tc>
          <w:p>
            <w:pPr>
              <w:pStyle w:val="Compact"/>
              <w:jc w:val="left"/>
            </w:pPr>
            <w:r>
              <w:t xml:space="preserve">3-5</w:t>
            </w:r>
          </w:p>
        </w:tc>
        <w:tc>
          <w:p>
            <w:pPr>
              <w:pStyle w:val="Compact"/>
              <w:jc w:val="left"/>
            </w:pPr>
            <w:r>
              <w:t xml:space="preserve">Shapes and area</w:t>
            </w:r>
          </w:p>
        </w:tc>
        <w:tc>
          <w:p>
            <w:pPr>
              <w:pStyle w:val="Compact"/>
              <w:jc w:val="left"/>
            </w:pPr>
            <w:r>
              <w:t xml:space="preserve">Geometric pattern design</w:t>
            </w:r>
          </w:p>
        </w:tc>
      </w:tr>
      <w:tr>
        <w:tc>
          <w:p>
            <w:pPr>
              <w:pStyle w:val="Compact"/>
              <w:jc w:val="left"/>
            </w:pPr>
            <w:r>
              <w:t xml:space="preserve">Building a Fish Rack</w:t>
            </w:r>
          </w:p>
        </w:tc>
        <w:tc>
          <w:p>
            <w:pPr>
              <w:pStyle w:val="Compact"/>
              <w:jc w:val="left"/>
            </w:pPr>
            <w:r>
              <w:t xml:space="preserve">6</w:t>
            </w:r>
          </w:p>
        </w:tc>
        <w:tc>
          <w:p>
            <w:pPr>
              <w:pStyle w:val="Compact"/>
              <w:jc w:val="left"/>
            </w:pPr>
            <w:r>
              <w:t xml:space="preserve">Proof, properties, perimeter, area</w:t>
            </w:r>
          </w:p>
        </w:tc>
        <w:tc>
          <w:p>
            <w:pPr>
              <w:pStyle w:val="Compact"/>
              <w:jc w:val="left"/>
            </w:pPr>
            <w:r>
              <w:t xml:space="preserve">Traditional fish drying structures</w:t>
            </w:r>
          </w:p>
        </w:tc>
      </w:tr>
      <w:tr>
        <w:tc>
          <w:p>
            <w:pPr>
              <w:pStyle w:val="Compact"/>
              <w:jc w:val="left"/>
            </w:pPr>
            <w:r>
              <w:t xml:space="preserve">Drying Salmon</w:t>
            </w:r>
          </w:p>
        </w:tc>
        <w:tc>
          <w:p>
            <w:pPr>
              <w:pStyle w:val="Compact"/>
              <w:jc w:val="left"/>
            </w:pPr>
            <w:r>
              <w:t xml:space="preserve">6-7</w:t>
            </w:r>
          </w:p>
        </w:tc>
        <w:tc>
          <w:p>
            <w:pPr>
              <w:pStyle w:val="Compact"/>
              <w:jc w:val="left"/>
            </w:pPr>
            <w:r>
              <w:t xml:space="preserve">Proportional reasoning, pre-algebra</w:t>
            </w:r>
          </w:p>
        </w:tc>
        <w:tc>
          <w:p>
            <w:pPr>
              <w:pStyle w:val="Compact"/>
              <w:jc w:val="left"/>
            </w:pPr>
            <w:r>
              <w:t xml:space="preserve">Salmon preservation</w:t>
            </w:r>
          </w:p>
        </w:tc>
      </w:tr>
      <w:tr>
        <w:tc>
          <w:p>
            <w:pPr>
              <w:pStyle w:val="Compact"/>
              <w:jc w:val="left"/>
            </w:pPr>
            <w:r>
              <w:t xml:space="preserve">Building a Smokehouse</w:t>
            </w:r>
          </w:p>
        </w:tc>
        <w:tc>
          <w:p>
            <w:pPr>
              <w:pStyle w:val="Compact"/>
              <w:jc w:val="left"/>
            </w:pPr>
            <w:r>
              <w:t xml:space="preserve">6-7</w:t>
            </w:r>
          </w:p>
        </w:tc>
        <w:tc>
          <w:p>
            <w:pPr>
              <w:pStyle w:val="Compact"/>
              <w:jc w:val="left"/>
            </w:pPr>
            <w:r>
              <w:t xml:space="preserve">Geometry of rectangular prisms</w:t>
            </w:r>
          </w:p>
        </w:tc>
        <w:tc>
          <w:p>
            <w:pPr>
              <w:pStyle w:val="Compact"/>
              <w:jc w:val="left"/>
            </w:pPr>
            <w:r>
              <w:t xml:space="preserve">Traditional smokehouse construction</w:t>
            </w:r>
          </w:p>
        </w:tc>
      </w:tr>
      <w:tr>
        <w:tc>
          <w:p>
            <w:pPr>
              <w:pStyle w:val="Compact"/>
              <w:jc w:val="left"/>
            </w:pPr>
            <w:r>
              <w:t xml:space="preserve">Kayak Design</w:t>
            </w:r>
          </w:p>
        </w:tc>
        <w:tc>
          <w:p>
            <w:pPr>
              <w:pStyle w:val="Compact"/>
              <w:jc w:val="left"/>
            </w:pPr>
            <w:r>
              <w:t xml:space="preserve">6-8</w:t>
            </w:r>
          </w:p>
        </w:tc>
        <w:tc>
          <w:p>
            <w:pPr>
              <w:pStyle w:val="Compact"/>
              <w:jc w:val="left"/>
            </w:pPr>
            <w:r>
              <w:t xml:space="preserve">Scientific method, statistical analysis</w:t>
            </w:r>
          </w:p>
        </w:tc>
        <w:tc>
          <w:p>
            <w:pPr>
              <w:pStyle w:val="Compact"/>
              <w:jc w:val="left"/>
            </w:pPr>
            <w:r>
              <w:t xml:space="preserve">Traditional kayak engineering</w:t>
            </w:r>
          </w:p>
        </w:tc>
      </w:tr>
      <w:tr>
        <w:tc>
          <w:p>
            <w:pPr>
              <w:pStyle w:val="Compact"/>
              <w:jc w:val="left"/>
            </w:pPr>
            <w:r>
              <w:t xml:space="preserve">Star Navigation</w:t>
            </w:r>
          </w:p>
        </w:tc>
        <w:tc>
          <w:p>
            <w:pPr>
              <w:pStyle w:val="Compact"/>
              <w:jc w:val="left"/>
            </w:pPr>
            <w:r>
              <w:t xml:space="preserve">6-8</w:t>
            </w:r>
          </w:p>
        </w:tc>
        <w:tc>
          <w:p>
            <w:pPr>
              <w:pStyle w:val="Compact"/>
              <w:jc w:val="left"/>
            </w:pPr>
            <w:r>
              <w:t xml:space="preserve">Angles, movement, measuring</w:t>
            </w:r>
          </w:p>
        </w:tc>
        <w:tc>
          <w:p>
            <w:pPr>
              <w:pStyle w:val="Compact"/>
              <w:jc w:val="left"/>
            </w:pPr>
            <w:r>
              <w:t xml:space="preserve">Environmental navigation using stars, snowdrifts, mountains</w:t>
            </w:r>
          </w:p>
        </w:tc>
      </w:tr>
    </w:tbl>
    <w:p>
      <w:pPr>
        <w:pStyle w:val="BodyText"/>
      </w:pPr>
      <w:r>
        <w:rPr>
          <w:b/>
        </w:rPr>
        <w:t xml:space="preserve">Key design principle:</w:t>
      </w:r>
      <w:r>
        <w:t xml:space="preserve"> Elders’ knowledge provided alternative learning trajectories. For example, body-proportional measuring and non-numeric comparisons established an alternative approach to measurement that then connected to standard mathematical concepts.</w:t>
      </w:r>
    </w:p>
    <w:p>
      <w:pPr>
        <w:pStyle w:val="Heading3"/>
      </w:pPr>
      <w:bookmarkStart w:id="28" w:name="dakotalakota-math-connections"/>
      <w:r>
        <w:t xml:space="preserve">2.2 Dakota/Lakota Math Connections</w:t>
      </w:r>
      <w:bookmarkEnd w:id="28"/>
    </w:p>
    <w:p>
      <w:pPr>
        <w:pStyle w:val="FirstParagraph"/>
      </w:pPr>
      <w:r>
        <w:rPr>
          <w:b/>
        </w:rPr>
        <w:t xml:space="preserve">Origin:</w:t>
      </w:r>
      <w:r>
        <w:t xml:space="preserve"> Sitting Bull College, developed through collaboration between tribal college math instructors, Lakota language immersion teachers, and fluent elders.</w:t>
      </w:r>
    </w:p>
    <w:p>
      <w:pPr>
        <w:pStyle w:val="BodyText"/>
      </w:pPr>
      <w:r>
        <w:rPr>
          <w:b/>
        </w:rPr>
        <w:t xml:space="preserve">Framework:</w:t>
      </w:r>
      <w:r>
        <w:t xml:space="preserve"> An epistemological framework for curriculum development that follows an Indigenous research paradigm focusing on relationality and relational accountability.</w:t>
      </w:r>
    </w:p>
    <w:p>
      <w:pPr>
        <w:pStyle w:val="BodyText"/>
      </w:pPr>
      <w:r>
        <w:rPr>
          <w:b/>
        </w:rPr>
        <w:t xml:space="preserve">Key contribution:</w:t>
      </w:r>
      <w:r>
        <w:t xml:space="preserve"> Addresses the epistemological challenge — the question isn’t just “how do we add culture to math” but “how do we recognize that Indigenous knowledge systems have always contained mathematical thinking.”</w:t>
      </w:r>
    </w:p>
    <w:p>
      <w:pPr>
        <w:pStyle w:val="Heading3"/>
      </w:pPr>
      <w:bookmarkStart w:id="29" w:name="X15310cf433c360b29fc74dda7e775ca069ff1fe"/>
      <w:r>
        <w:t xml:space="preserve">2.3 IK-HABME (Indigenous Knowledge Has Always Been Mathematics Education)</w:t>
      </w:r>
      <w:bookmarkEnd w:id="29"/>
    </w:p>
    <w:p>
      <w:pPr>
        <w:pStyle w:val="FirstParagraph"/>
      </w:pPr>
      <w:r>
        <w:rPr>
          <w:b/>
        </w:rPr>
        <w:t xml:space="preserve">Core premise:</w:t>
      </w:r>
      <w:r>
        <w:t xml:space="preserve"> Curriculum should center on the recognition that Indigenous Knowledge has always been mathematics education, not that math needs to be “enriched” with cultural examples.</w:t>
      </w:r>
    </w:p>
    <w:p>
      <w:pPr>
        <w:pStyle w:val="BodyText"/>
      </w:pPr>
      <w:r>
        <w:rPr>
          <w:b/>
        </w:rPr>
        <w:t xml:space="preserve">Design principles:</w:t>
      </w:r>
      <w:r>
        <w:t xml:space="preserve"> - Honor relations with Elders, Community Partners, Indigenous youth, the natural world, and real-life experiences. - Avoid colonial constructs and measures of success. - Mathematical knowledge has been passed down through experiential relationships in the natural world.</w:t>
      </w:r>
    </w:p>
    <w:p>
      <w:pPr>
        <w:pStyle w:val="Heading3"/>
      </w:pPr>
      <w:bookmarkStart w:id="30" w:name="alliance-of-indigenous-math-circles-aimc"/>
      <w:r>
        <w:t xml:space="preserve">2.4 Alliance of Indigenous Math Circles (AIMC)</w:t>
      </w:r>
      <w:bookmarkEnd w:id="30"/>
    </w:p>
    <w:p>
      <w:pPr>
        <w:pStyle w:val="FirstParagraph"/>
      </w:pPr>
      <w:r>
        <w:rPr>
          <w:b/>
        </w:rPr>
        <w:t xml:space="preserve">Approach:</w:t>
      </w:r>
      <w:r>
        <w:t xml:space="preserve"> Informal after-school math circles where students, teachers, and mathematicians discuss problems and engage in mathematical activities rooted in Indigenous contexts.</w:t>
      </w:r>
    </w:p>
    <w:p>
      <w:pPr>
        <w:pStyle w:val="BodyText"/>
      </w:pPr>
      <w:r>
        <w:rPr>
          <w:b/>
        </w:rPr>
        <w:t xml:space="preserve">Example activities:</w:t>
      </w:r>
      <w:r>
        <w:t xml:space="preserve"> - Geometry of California Pomo basket designs - Exponential growth modeled through a turtle creation story from Indigenous contemporary art - Symmetric designs on Navajo blankets and Hopi pottery</w:t>
      </w:r>
    </w:p>
    <w:p>
      <w:pPr>
        <w:pStyle w:val="Heading3"/>
      </w:pPr>
      <w:bookmarkStart w:id="31" w:name="culturally-situated-design-tools-csdt"/>
      <w:r>
        <w:t xml:space="preserve">2.5 Culturally Situated Design Tools (CSDT)</w:t>
      </w:r>
      <w:bookmarkEnd w:id="31"/>
    </w:p>
    <w:p>
      <w:pPr>
        <w:pStyle w:val="FirstParagraph"/>
      </w:pPr>
      <w:r>
        <w:rPr>
          <w:b/>
        </w:rPr>
        <w:t xml:space="preserve">Origin:</w:t>
      </w:r>
      <w:r>
        <w:t xml:space="preserve"> Developed by Ron Eglash at Rensselaer Polytechnic Institute. A suite of web-based software applications.</w:t>
      </w:r>
    </w:p>
    <w:p>
      <w:pPr>
        <w:pStyle w:val="BodyText"/>
      </w:pPr>
      <w:r>
        <w:rPr>
          <w:b/>
        </w:rPr>
        <w:t xml:space="preserve">How it works:</w:t>
      </w:r>
      <w:r>
        <w:t xml:space="preserve"> Students create simulations of cultural arts — Native American beadwork, cornrow hairstyles, graffiti — using their underlying mathematical principles.</w:t>
      </w:r>
    </w:p>
    <w:p>
      <w:pPr>
        <w:pStyle w:val="BodyText"/>
      </w:pPr>
      <w:r>
        <w:rPr>
          <w:b/>
        </w:rPr>
        <w:t xml:space="preserve">Native American-specific tools include:</w:t>
      </w:r>
      <w:r>
        <w:t xml:space="preserve"> - Virtual Bead Loom (based on Shoshone-Bannock beadwork patterns, Cartesian coordinates) - Navajo Rug Weaver (iteration, reflection symmetry, four-fold symmetry) - Basket weaving simulations (geometric pattern generation)</w:t>
      </w:r>
    </w:p>
    <w:p>
      <w:pPr>
        <w:pStyle w:val="BodyText"/>
      </w:pPr>
      <w:r>
        <w:rPr>
          <w:b/>
        </w:rPr>
        <w:t xml:space="preserve">Evidence:</w:t>
      </w:r>
      <w:r>
        <w:t xml:space="preserve"> Two evaluations found statistically significant improvement in mathematics performance scores for students using CSDTs.</w:t>
      </w:r>
    </w:p>
    <w:p>
      <w:r>
        <w:pict>
          <v:rect style="width:0;height:1.5pt" o:hralign="center" o:hrstd="t" o:hr="t"/>
        </w:pict>
      </w:r>
    </w:p>
    <w:p>
      <w:pPr>
        <w:pStyle w:val="Heading2"/>
      </w:pPr>
      <w:bookmarkStart w:id="32" w:name="Xf61b660468dd48234cf1f9ad436add974e0caa6"/>
      <w:r>
        <w:t xml:space="preserve">PART 3: MATHEMATICAL KNOWLEDGE SYSTEMS BY DOMAIN</w:t>
      </w:r>
      <w:bookmarkEnd w:id="32"/>
    </w:p>
    <w:p>
      <w:pPr>
        <w:pStyle w:val="FirstParagraph"/>
      </w:pPr>
      <w:r>
        <w:t xml:space="preserve">This section maps Indigenous mathematical knowledge to standard K-12 math domains — the critical bridge for the Digester.</w:t>
      </w:r>
    </w:p>
    <w:p>
      <w:pPr>
        <w:pStyle w:val="Heading3"/>
      </w:pPr>
      <w:bookmarkStart w:id="33" w:name="number-and-operations"/>
      <w:r>
        <w:t xml:space="preserve">3.1 Number and Operations</w:t>
      </w:r>
      <w:bookmarkEnd w:id="33"/>
    </w:p>
    <w:p>
      <w:pPr>
        <w:pStyle w:val="FirstParagraph"/>
      </w:pPr>
      <w:r>
        <w:rPr>
          <w:b/>
        </w:rPr>
        <w:t xml:space="preserve">Ojibwe/Anishinaabe number system:</w:t>
      </w:r>
      <w:r>
        <w:t xml:space="preserve"> - Base-10 system with regular counting words: bezhig (1), niizh (2), niswi (3), niiwin (4), naanan (5), ingodaaswo (6), niizhwaaso (7), niswaaso (8), zhaangaso (9), midaaso (10). - Classificatory endings encode what is being counted: -gon/-gwan for days, -sag for wooden containers. This is a sophisticated mathematical concept — the number system carries categorical information that Western numerals do not. - Numbers referenced as “asigibii’iganan” (from verb “to write a tally”) or “agindaasowinan” (from verb “to count”).</w:t>
      </w:r>
    </w:p>
    <w:p>
      <w:pPr>
        <w:pStyle w:val="BodyText"/>
      </w:pPr>
      <w:r>
        <w:rPr>
          <w:b/>
        </w:rPr>
        <w:t xml:space="preserve">Lakota number system:</w:t>
      </w:r>
      <w:r>
        <w:t xml:space="preserve"> - Also base-10 but uses words rather than symbols. - Developed to estimate bison herd populations numbering in the millions — a practical large-number estimation context.</w:t>
      </w:r>
    </w:p>
    <w:p>
      <w:pPr>
        <w:pStyle w:val="BodyText"/>
      </w:pPr>
      <w:r>
        <w:rPr>
          <w:b/>
        </w:rPr>
        <w:t xml:space="preserve">Pedagogical application (K-5):</w:t>
      </w:r>
      <w:r>
        <w:t xml:space="preserve"> - Counting and place value lessons can introduce alternative number words alongside standard numerals. - Classification systems (counting different categories of objects differently) connects to early algebraic thinking about categorization. - Estimation of large quantities (bison herds, wild rice harvest) provides real-world contexts for place value and magnitude.</w:t>
      </w:r>
    </w:p>
    <w:p>
      <w:pPr>
        <w:pStyle w:val="Heading3"/>
      </w:pPr>
      <w:bookmarkStart w:id="34" w:name="measurement-and-data"/>
      <w:r>
        <w:t xml:space="preserve">3.2 Measurement and Data</w:t>
      </w:r>
      <w:bookmarkEnd w:id="34"/>
    </w:p>
    <w:p>
      <w:pPr>
        <w:pStyle w:val="FirstParagraph"/>
      </w:pPr>
      <w:r>
        <w:rPr>
          <w:b/>
        </w:rPr>
        <w:t xml:space="preserve">Traditional measurement systems:</w:t>
      </w:r>
      <w:r>
        <w:t xml:space="preserve"> - Body-proportional measuring (Yup’ik): using body parts as units — fathom (arm span), cubit, hand span. Connects to non-standard units in early grades and ratio/proportion in middle grades. - Dakota and Anishinaabe historical and present-day ways of measuring, including seasonal and environmental indicators. - Star navigation: angles measured by star positions relative to horizon and landmarks. Connects to coordinate geometry and trigonometry.</w:t>
      </w:r>
    </w:p>
    <w:p>
      <w:pPr>
        <w:pStyle w:val="BodyText"/>
      </w:pPr>
      <w:r>
        <w:rPr>
          <w:b/>
        </w:rPr>
        <w:t xml:space="preserve">Data and statistical reasoning:</w:t>
      </w:r>
      <w:r>
        <w:t xml:space="preserve"> - Wild rice harvesting data (seasonal, annual yield variation) — real data sets for statistical analysis. - Fish population tracking — connects to sampling, estimation, and environmental data analysis. - The Minnesota standards specifically ask students to analyze data from tribal nations: where it came from, who collected it, its purpose, and whose perspective may be missing. This is data literacy and critical statistical reasoning.</w:t>
      </w:r>
    </w:p>
    <w:p>
      <w:pPr>
        <w:pStyle w:val="Heading3"/>
      </w:pPr>
      <w:bookmarkStart w:id="35" w:name="geometry-and-spatial-reasoning"/>
      <w:r>
        <w:t xml:space="preserve">3.3 Geometry and Spatial Reasoning</w:t>
      </w:r>
      <w:bookmarkEnd w:id="35"/>
    </w:p>
    <w:p>
      <w:pPr>
        <w:pStyle w:val="FirstParagraph"/>
      </w:pPr>
      <w:r>
        <w:t xml:space="preserve">This is the richest domain for Indigenous mathematical connections.</w:t>
      </w:r>
    </w:p>
    <w:p>
      <w:pPr>
        <w:pStyle w:val="BodyText"/>
      </w:pPr>
      <w:r>
        <w:rPr>
          <w:b/>
        </w:rPr>
        <w:t xml:space="preserve">Beadwork (multiple nations):</w:t>
      </w:r>
      <w:r>
        <w:t xml:space="preserve"> - The traditional bead loom is structurally identical to a Cartesian coordinate system — beads arranged in rows and columns. - Four-fold symmetry is a deep design theme across many Native American cultures. - Reflection symmetry, rotational symmetry, and translation are embedded in beadwork patterns. - Connects to: coordinates, transformations, symmetry (Grades 4-8), and geometric proof (high school).</w:t>
      </w:r>
    </w:p>
    <w:p>
      <w:pPr>
        <w:pStyle w:val="BodyText"/>
      </w:pPr>
      <w:r>
        <w:rPr>
          <w:b/>
        </w:rPr>
        <w:t xml:space="preserve">Weaving (Navajo, Tlingit, and others):</w:t>
      </w:r>
      <w:r>
        <w:t xml:space="preserve"> - Navajo rug patterns demonstrate tessellation, iteration, and reflection symmetry. - Weavers use proportional reasoning to scale patterns. - The geometry of the loom itself embeds concepts of parallel lines, perpendicular lines, and grid systems. - Connects to: geometric transformations, proportional reasoning, area and perimeter.</w:t>
      </w:r>
    </w:p>
    <w:p>
      <w:pPr>
        <w:pStyle w:val="BodyText"/>
      </w:pPr>
      <w:r>
        <w:rPr>
          <w:b/>
        </w:rPr>
        <w:t xml:space="preserve">Basket weaving (Pomo, Tla’amin, and others):</w:t>
      </w:r>
      <w:r>
        <w:t xml:space="preserve"> - Three-dimensional geometry created through systematic pattern rules. - Algorithmic thinking: basket patterns follow explicit procedural rules (early computational thinking). - Connects to: 3D geometry, surface area, volume, and algorithmic reasoning.</w:t>
      </w:r>
    </w:p>
    <w:p>
      <w:pPr>
        <w:pStyle w:val="BodyText"/>
      </w:pPr>
      <w:r>
        <w:rPr>
          <w:b/>
        </w:rPr>
        <w:t xml:space="preserve">Architecture and construction:</w:t>
      </w:r>
      <w:r>
        <w:t xml:space="preserve"> - Smokehouse construction: properties of rectangles generalized to 3D rectangular prisms. - Fish rack construction: structural proof concepts, properties of geometric shapes under load. - Kayak design: hydrodynamic principles, measurement, proportion, statistical comparison of designs. - Connects to: 3D geometry, engineering applications, proportional reasoning, and data analysis.</w:t>
      </w:r>
    </w:p>
    <w:p>
      <w:pPr>
        <w:pStyle w:val="BodyText"/>
      </w:pPr>
      <w:r>
        <w:rPr>
          <w:b/>
        </w:rPr>
        <w:t xml:space="preserve">Star navigation (Yup’ik and others):</w:t>
      </w:r>
      <w:r>
        <w:t xml:space="preserve"> - Integration of environmental features (mountains, rivers) with celestial observation. - Seasonal indicators (snowdrift patterns) encode directional and angular information. - Connects to: angles, coordinate systems, vectors, and trigonometry.</w:t>
      </w:r>
    </w:p>
    <w:p>
      <w:pPr>
        <w:pStyle w:val="Heading3"/>
      </w:pPr>
      <w:bookmarkStart w:id="36" w:name="algebraic-thinking-and-patterns"/>
      <w:r>
        <w:t xml:space="preserve">3.4 Algebraic Thinking and Patterns</w:t>
      </w:r>
      <w:bookmarkEnd w:id="36"/>
    </w:p>
    <w:p>
      <w:pPr>
        <w:pStyle w:val="FirstParagraph"/>
      </w:pPr>
      <w:r>
        <w:rPr>
          <w:b/>
        </w:rPr>
        <w:t xml:space="preserve">Pattern recognition in cultural artifacts:</w:t>
      </w:r>
      <w:r>
        <w:t xml:space="preserve"> - Iterative design processes in weaving and beadwork are fundamentally algebraic — a base pattern is repeated according to rules (functions). - Growth patterns in creation stories (e.g., exponential growth of a turtle) model algebraic relationships. - The concept of four-fold symmetry as an organizing principle connects to transformation functions.</w:t>
      </w:r>
    </w:p>
    <w:p>
      <w:pPr>
        <w:pStyle w:val="BodyText"/>
      </w:pPr>
      <w:r>
        <w:rPr>
          <w:b/>
        </w:rPr>
        <w:t xml:space="preserve">Proportional reasoning:</w:t>
      </w:r>
      <w:r>
        <w:t xml:space="preserve"> - Scaling patterns from design to full-size artifact requires proportional thinking. - Body-proportional measurement creates natural ratio contexts. - Recipe scaling for traditional food preparation (drying salmon, making pemmican).</w:t>
      </w:r>
    </w:p>
    <w:p>
      <w:pPr>
        <w:pStyle w:val="Heading3"/>
      </w:pPr>
      <w:bookmarkStart w:id="37" w:name="statistics-probability-and-data-science"/>
      <w:r>
        <w:t xml:space="preserve">3.5 Statistics, Probability, and Data Science</w:t>
      </w:r>
      <w:bookmarkEnd w:id="37"/>
    </w:p>
    <w:p>
      <w:pPr>
        <w:pStyle w:val="FirstParagraph"/>
      </w:pPr>
      <w:r>
        <w:rPr>
          <w:b/>
        </w:rPr>
        <w:t xml:space="preserve">Real-world data contexts:</w:t>
      </w:r>
      <w:r>
        <w:t xml:space="preserve"> - Seasonal harvest data (wild rice, berries, fish) — natural data sets with variation, central tendency, and spread. - Population estimation (bison, fish, waterfowl) — sampling and inference. - Weather and seasonal prediction — pattern recognition in time series data. - Treaty-related data — land area calculations, population statistics, resource allocation (connects to civic data literacy).</w:t>
      </w:r>
    </w:p>
    <w:p>
      <w:pPr>
        <w:pStyle w:val="BodyText"/>
      </w:pPr>
      <w:r>
        <w:rPr>
          <w:b/>
        </w:rPr>
        <w:t xml:space="preserve">Critical data literacy (Minnesota-specific standard):</w:t>
      </w:r>
      <w:r>
        <w:t xml:space="preserve"> - Analyzing whose data, who collected it, for what purpose, and whose perspective is missing. - Historical misuse of data regarding Indigenous populations provides sobering and important case studies in statistical ethics.</w:t>
      </w:r>
    </w:p>
    <w:p>
      <w:r>
        <w:pict>
          <v:rect style="width:0;height:1.5pt" o:hralign="center" o:hrstd="t" o:hr="t"/>
        </w:pict>
      </w:r>
    </w:p>
    <w:p>
      <w:pPr>
        <w:pStyle w:val="Heading2"/>
      </w:pPr>
      <w:bookmarkStart w:id="38" w:name="part-4-story-and-theme-repository"/>
      <w:r>
        <w:t xml:space="preserve">PART 4: STORY AND THEME REPOSITORY</w:t>
      </w:r>
      <w:bookmarkEnd w:id="38"/>
    </w:p>
    <w:p>
      <w:pPr>
        <w:pStyle w:val="FirstParagraph"/>
      </w:pPr>
      <w:r>
        <w:t xml:space="preserve">These are specific story contexts, themes, and cultural practices that can be woven into problem sets across grade bands.</w:t>
      </w:r>
    </w:p>
    <w:p>
      <w:pPr>
        <w:pStyle w:val="Heading3"/>
      </w:pPr>
      <w:bookmarkStart w:id="39" w:name="grades-k-2-stories-and-themes"/>
      <w:r>
        <w:t xml:space="preserve">4.1 Grades K-2 Stories and Themes</w:t>
      </w:r>
      <w:bookmarkEnd w:id="39"/>
    </w:p>
    <w:tbl>
      <w:tblPr>
        <w:tblStyle w:val="Table"/>
        <w:tblW w:type="pct" w:w="5000.0"/>
        <w:tblLook w:firstRow="1"/>
      </w:tblPr>
      <w:tblGrid>
        <w:gridCol w:w="955"/>
        <w:gridCol w:w="2321"/>
        <w:gridCol w:w="2048"/>
        <w:gridCol w:w="2594"/>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Cultural Context</w:t>
            </w:r>
          </w:p>
        </w:tc>
        <w:tc>
          <w:tcPr>
            <w:tcBorders>
              <w:bottom w:val="single"/>
            </w:tcBorders>
            <w:vAlign w:val="bottom"/>
          </w:tcPr>
          <w:p>
            <w:pPr>
              <w:pStyle w:val="Compact"/>
              <w:jc w:val="left"/>
            </w:pPr>
            <w:r>
              <w:t xml:space="preserve">Math Concepts</w:t>
            </w:r>
          </w:p>
        </w:tc>
        <w:tc>
          <w:tcPr>
            <w:tcBorders>
              <w:bottom w:val="single"/>
            </w:tcBorders>
            <w:vAlign w:val="bottom"/>
          </w:tcPr>
          <w:p>
            <w:pPr>
              <w:pStyle w:val="Compact"/>
              <w:jc w:val="left"/>
            </w:pPr>
            <w:r>
              <w:t xml:space="preserve">Sample Problem Type</w:t>
            </w:r>
          </w:p>
        </w:tc>
      </w:tr>
      <w:tr>
        <w:tc>
          <w:p>
            <w:pPr>
              <w:pStyle w:val="Compact"/>
              <w:jc w:val="left"/>
            </w:pPr>
            <w:r>
              <w:t xml:space="preserve">Berry picking</w:t>
            </w:r>
          </w:p>
        </w:tc>
        <w:tc>
          <w:p>
            <w:pPr>
              <w:pStyle w:val="Compact"/>
              <w:jc w:val="left"/>
            </w:pPr>
            <w:r>
              <w:t xml:space="preserve">Yup’ik, Anishinaabe seasonal gathering</w:t>
            </w:r>
          </w:p>
        </w:tc>
        <w:tc>
          <w:p>
            <w:pPr>
              <w:pStyle w:val="Compact"/>
              <w:jc w:val="left"/>
            </w:pPr>
            <w:r>
              <w:t xml:space="preserve">Counting, sorting, graphing, measuring</w:t>
            </w:r>
          </w:p>
        </w:tc>
        <w:tc>
          <w:p>
            <w:pPr>
              <w:pStyle w:val="Compact"/>
              <w:jc w:val="left"/>
            </w:pPr>
            <w:r>
              <w:t>“The family picked 12 baskets of berries. They shared equally among 4 families. How many baskets did each family receive?”</w:t>
            </w:r>
          </w:p>
        </w:tc>
      </w:tr>
      <w:tr>
        <w:tc>
          <w:p>
            <w:pPr>
              <w:pStyle w:val="Compact"/>
              <w:jc w:val="left"/>
            </w:pPr>
            <w:r>
              <w:t xml:space="preserve">Moccasin making</w:t>
            </w:r>
          </w:p>
        </w:tc>
        <w:tc>
          <w:p>
            <w:pPr>
              <w:pStyle w:val="Compact"/>
              <w:jc w:val="left"/>
            </w:pPr>
            <w:r>
              <w:t xml:space="preserve">Dakota, Ojibwe craftwork</w:t>
            </w:r>
          </w:p>
        </w:tc>
        <w:tc>
          <w:p>
            <w:pPr>
              <w:pStyle w:val="Compact"/>
              <w:jc w:val="left"/>
            </w:pPr>
            <w:r>
              <w:t xml:space="preserve">Measurement (non-standard units using body), shapes</w:t>
            </w:r>
          </w:p>
        </w:tc>
        <w:tc>
          <w:p>
            <w:pPr>
              <w:pStyle w:val="Compact"/>
              <w:jc w:val="left"/>
            </w:pPr>
            <w:r>
              <w:t xml:space="preserve">Measuring foot lengths using hand spans; comparing sizes</w:t>
            </w:r>
          </w:p>
        </w:tc>
      </w:tr>
      <w:tr>
        <w:tc>
          <w:p>
            <w:pPr>
              <w:pStyle w:val="Compact"/>
              <w:jc w:val="left"/>
            </w:pPr>
            <w:r>
              <w:t xml:space="preserve">Counting in Ojibwe</w:t>
            </w:r>
          </w:p>
        </w:tc>
        <w:tc>
          <w:p>
            <w:pPr>
              <w:pStyle w:val="Compact"/>
              <w:jc w:val="left"/>
            </w:pPr>
            <w:r>
              <w:t xml:space="preserve">Anishinaabe language</w:t>
            </w:r>
          </w:p>
        </w:tc>
        <w:tc>
          <w:p>
            <w:pPr>
              <w:pStyle w:val="Compact"/>
              <w:jc w:val="left"/>
            </w:pPr>
            <w:r>
              <w:t xml:space="preserve">Number words, place value, counting patterns</w:t>
            </w:r>
          </w:p>
        </w:tc>
        <w:tc>
          <w:p>
            <w:pPr>
              <w:pStyle w:val="Compact"/>
              <w:jc w:val="left"/>
            </w:pPr>
            <w:r>
              <w:t xml:space="preserve">Counting objects using bezhig, niizh, niswi alongside 1, 2, 3</w:t>
            </w:r>
          </w:p>
        </w:tc>
      </w:tr>
      <w:tr>
        <w:tc>
          <w:p>
            <w:pPr>
              <w:pStyle w:val="Compact"/>
              <w:jc w:val="left"/>
            </w:pPr>
            <w:r>
              <w:t xml:space="preserve">Wild rice harvest</w:t>
            </w:r>
          </w:p>
        </w:tc>
        <w:tc>
          <w:p>
            <w:pPr>
              <w:pStyle w:val="Compact"/>
              <w:jc w:val="left"/>
            </w:pPr>
            <w:r>
              <w:t xml:space="preserve">Anishinaabe manoomin tradition</w:t>
            </w:r>
          </w:p>
        </w:tc>
        <w:tc>
          <w:p>
            <w:pPr>
              <w:pStyle w:val="Compact"/>
              <w:jc w:val="left"/>
            </w:pPr>
            <w:r>
              <w:t xml:space="preserve">Sorting, classifying, weighing</w:t>
            </w:r>
          </w:p>
        </w:tc>
        <w:tc>
          <w:p>
            <w:pPr>
              <w:pStyle w:val="Compact"/>
              <w:jc w:val="left"/>
            </w:pPr>
            <w:r>
              <w:t xml:space="preserve">Sorting rice by quality; comparing weights</w:t>
            </w:r>
          </w:p>
        </w:tc>
      </w:tr>
      <w:tr>
        <w:tc>
          <w:p>
            <w:pPr>
              <w:pStyle w:val="Compact"/>
              <w:jc w:val="left"/>
            </w:pPr>
            <w:r>
              <w:t xml:space="preserve">Birch bark biting</w:t>
            </w:r>
          </w:p>
        </w:tc>
        <w:tc>
          <w:p>
            <w:pPr>
              <w:pStyle w:val="Compact"/>
              <w:jc w:val="left"/>
            </w:pPr>
            <w:r>
              <w:t xml:space="preserve">Ojibwe art form</w:t>
            </w:r>
          </w:p>
        </w:tc>
        <w:tc>
          <w:p>
            <w:pPr>
              <w:pStyle w:val="Compact"/>
              <w:jc w:val="left"/>
            </w:pPr>
            <w:r>
              <w:t xml:space="preserve">Symmetry, folding, shapes</w:t>
            </w:r>
          </w:p>
        </w:tc>
        <w:tc>
          <w:p>
            <w:pPr>
              <w:pStyle w:val="Compact"/>
              <w:jc w:val="left"/>
            </w:pPr>
            <w:r>
              <w:t xml:space="preserve">Fold-and-cut symmetry activities</w:t>
            </w:r>
          </w:p>
        </w:tc>
      </w:tr>
      <w:tr>
        <w:tc>
          <w:p>
            <w:pPr>
              <w:pStyle w:val="Compact"/>
              <w:jc w:val="left"/>
            </w:pPr>
            <w:r>
              <w:t xml:space="preserve">Animal tracking</w:t>
            </w:r>
          </w:p>
        </w:tc>
        <w:tc>
          <w:p>
            <w:pPr>
              <w:pStyle w:val="Compact"/>
              <w:jc w:val="left"/>
            </w:pPr>
            <w:r>
              <w:t xml:space="preserve">Dakota/Lakota observation</w:t>
            </w:r>
          </w:p>
        </w:tc>
        <w:tc>
          <w:p>
            <w:pPr>
              <w:pStyle w:val="Compact"/>
              <w:jc w:val="left"/>
            </w:pPr>
            <w:r>
              <w:t xml:space="preserve">Patterns, measurement, comparison</w:t>
            </w:r>
          </w:p>
        </w:tc>
        <w:tc>
          <w:p>
            <w:pPr>
              <w:pStyle w:val="Compact"/>
              <w:jc w:val="left"/>
            </w:pPr>
            <w:r>
              <w:t xml:space="preserve">Measuring animal tracks; identifying repeating patterns</w:t>
            </w:r>
          </w:p>
        </w:tc>
      </w:tr>
    </w:tbl>
    <w:p>
      <w:pPr>
        <w:pStyle w:val="Heading3"/>
      </w:pPr>
      <w:bookmarkStart w:id="40" w:name="grades-3-5-stories-and-themes"/>
      <w:r>
        <w:t xml:space="preserve">4.2 Grades 3-5 Stories and Themes</w:t>
      </w:r>
      <w:bookmarkEnd w:id="40"/>
    </w:p>
    <w:tbl>
      <w:tblPr>
        <w:tblStyle w:val="Table"/>
        <w:tblW w:type="pct" w:w="5000.0"/>
        <w:tblLook w:firstRow="1"/>
      </w:tblPr>
      <w:tblGrid>
        <w:gridCol w:w="955"/>
        <w:gridCol w:w="2321"/>
        <w:gridCol w:w="2048"/>
        <w:gridCol w:w="2594"/>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Cultural Context</w:t>
            </w:r>
          </w:p>
        </w:tc>
        <w:tc>
          <w:tcPr>
            <w:tcBorders>
              <w:bottom w:val="single"/>
            </w:tcBorders>
            <w:vAlign w:val="bottom"/>
          </w:tcPr>
          <w:p>
            <w:pPr>
              <w:pStyle w:val="Compact"/>
              <w:jc w:val="left"/>
            </w:pPr>
            <w:r>
              <w:t xml:space="preserve">Math Concepts</w:t>
            </w:r>
          </w:p>
        </w:tc>
        <w:tc>
          <w:tcPr>
            <w:tcBorders>
              <w:bottom w:val="single"/>
            </w:tcBorders>
            <w:vAlign w:val="bottom"/>
          </w:tcPr>
          <w:p>
            <w:pPr>
              <w:pStyle w:val="Compact"/>
              <w:jc w:val="left"/>
            </w:pPr>
            <w:r>
              <w:t xml:space="preserve">Sample Problem Type</w:t>
            </w:r>
          </w:p>
        </w:tc>
      </w:tr>
      <w:tr>
        <w:tc>
          <w:p>
            <w:pPr>
              <w:pStyle w:val="Compact"/>
              <w:jc w:val="left"/>
            </w:pPr>
            <w:r>
              <w:t xml:space="preserve">Beadwork design</w:t>
            </w:r>
          </w:p>
        </w:tc>
        <w:tc>
          <w:p>
            <w:pPr>
              <w:pStyle w:val="Compact"/>
              <w:jc w:val="left"/>
            </w:pPr>
            <w:r>
              <w:t xml:space="preserve">Multiple nations</w:t>
            </w:r>
          </w:p>
        </w:tc>
        <w:tc>
          <w:p>
            <w:pPr>
              <w:pStyle w:val="Compact"/>
              <w:jc w:val="left"/>
            </w:pPr>
            <w:r>
              <w:t xml:space="preserve">Coordinates, symmetry, area, perimeter</w:t>
            </w:r>
          </w:p>
        </w:tc>
        <w:tc>
          <w:p>
            <w:pPr>
              <w:pStyle w:val="Compact"/>
              <w:jc w:val="left"/>
            </w:pPr>
            <w:r>
              <w:t xml:space="preserve">Design a beadwork pattern on a grid using reflection symmetry</w:t>
            </w:r>
          </w:p>
        </w:tc>
      </w:tr>
      <w:tr>
        <w:tc>
          <w:p>
            <w:pPr>
              <w:pStyle w:val="Compact"/>
              <w:jc w:val="left"/>
            </w:pPr>
            <w:r>
              <w:t xml:space="preserve">Fish rack building</w:t>
            </w:r>
          </w:p>
        </w:tc>
        <w:tc>
          <w:p>
            <w:pPr>
              <w:pStyle w:val="Compact"/>
              <w:jc w:val="left"/>
            </w:pPr>
            <w:r>
              <w:t xml:space="preserve">Yup’ik construction</w:t>
            </w:r>
          </w:p>
        </w:tc>
        <w:tc>
          <w:p>
            <w:pPr>
              <w:pStyle w:val="Compact"/>
              <w:jc w:val="left"/>
            </w:pPr>
            <w:r>
              <w:t xml:space="preserve">Properties of rectangles, perimeter, proof</w:t>
            </w:r>
          </w:p>
        </w:tc>
        <w:tc>
          <w:p>
            <w:pPr>
              <w:pStyle w:val="Compact"/>
              <w:jc w:val="left"/>
            </w:pPr>
            <w:r>
              <w:t xml:space="preserve">Calculate the perimeter needed for a fish rack given constraints</w:t>
            </w:r>
          </w:p>
        </w:tc>
      </w:tr>
      <w:tr>
        <w:tc>
          <w:p>
            <w:pPr>
              <w:pStyle w:val="Compact"/>
              <w:jc w:val="left"/>
            </w:pPr>
            <w:r>
              <w:t xml:space="preserve">Parka pattern design</w:t>
            </w:r>
          </w:p>
        </w:tc>
        <w:tc>
          <w:p>
            <w:pPr>
              <w:pStyle w:val="Compact"/>
              <w:jc w:val="left"/>
            </w:pPr>
            <w:r>
              <w:t xml:space="preserve">Yup’ik clothing</w:t>
            </w:r>
          </w:p>
        </w:tc>
        <w:tc>
          <w:p>
            <w:pPr>
              <w:pStyle w:val="Compact"/>
              <w:jc w:val="left"/>
            </w:pPr>
            <w:r>
              <w:t xml:space="preserve">Geometric shapes, area, tessellation</w:t>
            </w:r>
          </w:p>
        </w:tc>
        <w:tc>
          <w:p>
            <w:pPr>
              <w:pStyle w:val="Compact"/>
              <w:jc w:val="left"/>
            </w:pPr>
            <w:r>
              <w:t xml:space="preserve">Design a repeating border pattern and calculate the total area</w:t>
            </w:r>
          </w:p>
        </w:tc>
      </w:tr>
      <w:tr>
        <w:tc>
          <w:p>
            <w:pPr>
              <w:pStyle w:val="Compact"/>
              <w:jc w:val="left"/>
            </w:pPr>
            <w:r>
              <w:t xml:space="preserve">Star knowledge</w:t>
            </w:r>
          </w:p>
        </w:tc>
        <w:tc>
          <w:p>
            <w:pPr>
              <w:pStyle w:val="Compact"/>
              <w:jc w:val="left"/>
            </w:pPr>
            <w:r>
              <w:t xml:space="preserve">Dakota/Lakota astronomy</w:t>
            </w:r>
          </w:p>
        </w:tc>
        <w:tc>
          <w:p>
            <w:pPr>
              <w:pStyle w:val="Compact"/>
              <w:jc w:val="left"/>
            </w:pPr>
            <w:r>
              <w:t xml:space="preserve">Angles, directions, fractions of circles</w:t>
            </w:r>
          </w:p>
        </w:tc>
        <w:tc>
          <w:p>
            <w:pPr>
              <w:pStyle w:val="Compact"/>
              <w:jc w:val="left"/>
            </w:pPr>
            <w:r>
              <w:t xml:space="preserve">Use star positions to determine angles and cardinal directions</w:t>
            </w:r>
          </w:p>
        </w:tc>
      </w:tr>
      <w:tr>
        <w:tc>
          <w:p>
            <w:pPr>
              <w:pStyle w:val="Compact"/>
              <w:jc w:val="left"/>
            </w:pPr>
            <w:r>
              <w:t xml:space="preserve">Trading and exchange</w:t>
            </w:r>
          </w:p>
        </w:tc>
        <w:tc>
          <w:p>
            <w:pPr>
              <w:pStyle w:val="Compact"/>
              <w:jc w:val="left"/>
            </w:pPr>
            <w:r>
              <w:t xml:space="preserve">Historical inter-tribal commerce</w:t>
            </w:r>
          </w:p>
        </w:tc>
        <w:tc>
          <w:p>
            <w:pPr>
              <w:pStyle w:val="Compact"/>
              <w:jc w:val="left"/>
            </w:pPr>
            <w:r>
              <w:t xml:space="preserve">Multiplication, division, equivalence</w:t>
            </w:r>
          </w:p>
        </w:tc>
        <w:tc>
          <w:p>
            <w:pPr>
              <w:pStyle w:val="Compact"/>
              <w:jc w:val="left"/>
            </w:pPr>
            <w:r>
              <w:t xml:space="preserve">If 3 beaver pelts trade for 12 pounds of wild rice, how much rice for 7 pelts?</w:t>
            </w:r>
          </w:p>
        </w:tc>
      </w:tr>
      <w:tr>
        <w:tc>
          <w:p>
            <w:pPr>
              <w:pStyle w:val="Compact"/>
              <w:jc w:val="left"/>
            </w:pPr>
            <w:r>
              <w:t xml:space="preserve">Canoe dimensions</w:t>
            </w:r>
          </w:p>
        </w:tc>
        <w:tc>
          <w:p>
            <w:pPr>
              <w:pStyle w:val="Compact"/>
              <w:jc w:val="left"/>
            </w:pPr>
            <w:r>
              <w:t xml:space="preserve">Ojibwe/Dakota watercraft</w:t>
            </w:r>
          </w:p>
        </w:tc>
        <w:tc>
          <w:p>
            <w:pPr>
              <w:pStyle w:val="Compact"/>
              <w:jc w:val="left"/>
            </w:pPr>
            <w:r>
              <w:t xml:space="preserve">Measurement, proportion, fractions</w:t>
            </w:r>
          </w:p>
        </w:tc>
        <w:tc>
          <w:p>
            <w:pPr>
              <w:pStyle w:val="Compact"/>
              <w:jc w:val="left"/>
            </w:pPr>
            <w:r>
              <w:t xml:space="preserve">Scale a canoe design from a model to full size using proportions</w:t>
            </w:r>
          </w:p>
        </w:tc>
      </w:tr>
      <w:tr>
        <w:tc>
          <w:p>
            <w:pPr>
              <w:pStyle w:val="Compact"/>
              <w:jc w:val="left"/>
            </w:pPr>
            <w:r>
              <w:t xml:space="preserve">Seasonal calendar</w:t>
            </w:r>
          </w:p>
        </w:tc>
        <w:tc>
          <w:p>
            <w:pPr>
              <w:pStyle w:val="Compact"/>
              <w:jc w:val="left"/>
            </w:pPr>
            <w:r>
              <w:t xml:space="preserve">Anishinaabe 13-moon calendar</w:t>
            </w:r>
          </w:p>
        </w:tc>
        <w:tc>
          <w:p>
            <w:pPr>
              <w:pStyle w:val="Compact"/>
              <w:jc w:val="left"/>
            </w:pPr>
            <w:r>
              <w:t xml:space="preserve">Fractions, time, data over time</w:t>
            </w:r>
          </w:p>
        </w:tc>
        <w:tc>
          <w:p>
            <w:pPr>
              <w:pStyle w:val="Compact"/>
              <w:jc w:val="left"/>
            </w:pPr>
            <w:r>
              <w:t xml:space="preserve">The 13-moon calendar vs. 12-month calendar — explore fractions of a year</w:t>
            </w:r>
          </w:p>
        </w:tc>
      </w:tr>
    </w:tbl>
    <w:p>
      <w:pPr>
        <w:pStyle w:val="Heading3"/>
      </w:pPr>
      <w:bookmarkStart w:id="41" w:name="grades-6-8-stories-and-themes"/>
      <w:r>
        <w:t xml:space="preserve">4.3 Grades 6-8 Stories and Themes</w:t>
      </w:r>
      <w:bookmarkEnd w:id="41"/>
    </w:p>
    <w:tbl>
      <w:tblPr>
        <w:tblStyle w:val="Table"/>
        <w:tblW w:type="pct" w:w="5000.0"/>
        <w:tblLook w:firstRow="1"/>
      </w:tblPr>
      <w:tblGrid>
        <w:gridCol w:w="955"/>
        <w:gridCol w:w="2321"/>
        <w:gridCol w:w="2048"/>
        <w:gridCol w:w="2594"/>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Cultural Context</w:t>
            </w:r>
          </w:p>
        </w:tc>
        <w:tc>
          <w:tcPr>
            <w:tcBorders>
              <w:bottom w:val="single"/>
            </w:tcBorders>
            <w:vAlign w:val="bottom"/>
          </w:tcPr>
          <w:p>
            <w:pPr>
              <w:pStyle w:val="Compact"/>
              <w:jc w:val="left"/>
            </w:pPr>
            <w:r>
              <w:t xml:space="preserve">Math Concepts</w:t>
            </w:r>
          </w:p>
        </w:tc>
        <w:tc>
          <w:tcPr>
            <w:tcBorders>
              <w:bottom w:val="single"/>
            </w:tcBorders>
            <w:vAlign w:val="bottom"/>
          </w:tcPr>
          <w:p>
            <w:pPr>
              <w:pStyle w:val="Compact"/>
              <w:jc w:val="left"/>
            </w:pPr>
            <w:r>
              <w:t xml:space="preserve">Sample Problem Type</w:t>
            </w:r>
          </w:p>
        </w:tc>
      </w:tr>
      <w:tr>
        <w:tc>
          <w:p>
            <w:pPr>
              <w:pStyle w:val="Compact"/>
              <w:jc w:val="left"/>
            </w:pPr>
            <w:r>
              <w:t xml:space="preserve">Salmon drying ratios</w:t>
            </w:r>
          </w:p>
        </w:tc>
        <w:tc>
          <w:p>
            <w:pPr>
              <w:pStyle w:val="Compact"/>
              <w:jc w:val="left"/>
            </w:pPr>
            <w:r>
              <w:t xml:space="preserve">Yup’ik preservation</w:t>
            </w:r>
          </w:p>
        </w:tc>
        <w:tc>
          <w:p>
            <w:pPr>
              <w:pStyle w:val="Compact"/>
              <w:jc w:val="left"/>
            </w:pPr>
            <w:r>
              <w:t xml:space="preserve">Proportional reasoning, rates</w:t>
            </w:r>
          </w:p>
        </w:tc>
        <w:tc>
          <w:p>
            <w:pPr>
              <w:pStyle w:val="Compact"/>
              <w:jc w:val="left"/>
            </w:pPr>
            <w:r>
              <w:t xml:space="preserve">If 15 salmon yield 8 pounds of dried fish, how many salmon for 20 pounds?</w:t>
            </w:r>
          </w:p>
        </w:tc>
      </w:tr>
      <w:tr>
        <w:tc>
          <w:p>
            <w:pPr>
              <w:pStyle w:val="Compact"/>
              <w:jc w:val="left"/>
            </w:pPr>
            <w:r>
              <w:t xml:space="preserve">Smokehouse geometry</w:t>
            </w:r>
          </w:p>
        </w:tc>
        <w:tc>
          <w:p>
            <w:pPr>
              <w:pStyle w:val="Compact"/>
              <w:jc w:val="left"/>
            </w:pPr>
            <w:r>
              <w:t xml:space="preserve">Yup’ik/general Native</w:t>
            </w:r>
          </w:p>
        </w:tc>
        <w:tc>
          <w:p>
            <w:pPr>
              <w:pStyle w:val="Compact"/>
              <w:jc w:val="left"/>
            </w:pPr>
            <w:r>
              <w:t xml:space="preserve">3D geometry, surface area, volume</w:t>
            </w:r>
          </w:p>
        </w:tc>
        <w:tc>
          <w:p>
            <w:pPr>
              <w:pStyle w:val="Compact"/>
              <w:jc w:val="left"/>
            </w:pPr>
            <w:r>
              <w:t xml:space="preserve">Design a smokehouse with specific volume requirements; calculate material needed</w:t>
            </w:r>
          </w:p>
        </w:tc>
      </w:tr>
      <w:tr>
        <w:tc>
          <w:p>
            <w:pPr>
              <w:pStyle w:val="Compact"/>
              <w:jc w:val="left"/>
            </w:pPr>
            <w:r>
              <w:t xml:space="preserve">Kayak design</w:t>
            </w:r>
          </w:p>
        </w:tc>
        <w:tc>
          <w:p>
            <w:pPr>
              <w:pStyle w:val="Compact"/>
              <w:jc w:val="left"/>
            </w:pPr>
            <w:r>
              <w:t xml:space="preserve">Yup’ik watercraft engineering</w:t>
            </w:r>
          </w:p>
        </w:tc>
        <w:tc>
          <w:p>
            <w:pPr>
              <w:pStyle w:val="Compact"/>
              <w:jc w:val="left"/>
            </w:pPr>
            <w:r>
              <w:t xml:space="preserve">Statistical analysis, measurement</w:t>
            </w:r>
          </w:p>
        </w:tc>
        <w:tc>
          <w:p>
            <w:pPr>
              <w:pStyle w:val="Compact"/>
              <w:jc w:val="left"/>
            </w:pPr>
            <w:r>
              <w:t xml:space="preserve">Compare kayak designs using data on speed, stability, and capacity</w:t>
            </w:r>
          </w:p>
        </w:tc>
      </w:tr>
      <w:tr>
        <w:tc>
          <w:p>
            <w:pPr>
              <w:pStyle w:val="Compact"/>
              <w:jc w:val="left"/>
            </w:pPr>
            <w:r>
              <w:t xml:space="preserve">Navajo rug weaving</w:t>
            </w:r>
          </w:p>
        </w:tc>
        <w:tc>
          <w:p>
            <w:pPr>
              <w:pStyle w:val="Compact"/>
              <w:jc w:val="left"/>
            </w:pPr>
            <w:r>
              <w:t xml:space="preserve">Diné (Navajo) textile art</w:t>
            </w:r>
          </w:p>
        </w:tc>
        <w:tc>
          <w:p>
            <w:pPr>
              <w:pStyle w:val="Compact"/>
              <w:jc w:val="left"/>
            </w:pPr>
            <w:r>
              <w:t xml:space="preserve">Transformations, functions, iteration</w:t>
            </w:r>
          </w:p>
        </w:tc>
        <w:tc>
          <w:p>
            <w:pPr>
              <w:pStyle w:val="Compact"/>
              <w:jc w:val="left"/>
            </w:pPr>
            <w:r>
              <w:t xml:space="preserve">Model a rug pattern using algebraic rules for reflection and repetition</w:t>
            </w:r>
          </w:p>
        </w:tc>
      </w:tr>
      <w:tr>
        <w:tc>
          <w:p>
            <w:pPr>
              <w:pStyle w:val="Compact"/>
              <w:jc w:val="left"/>
            </w:pPr>
            <w:r>
              <w:t xml:space="preserve">Population data</w:t>
            </w:r>
          </w:p>
        </w:tc>
        <w:tc>
          <w:p>
            <w:pPr>
              <w:pStyle w:val="Compact"/>
              <w:jc w:val="left"/>
            </w:pPr>
            <w:r>
              <w:t xml:space="preserve">Treaty and sovereignty contexts</w:t>
            </w:r>
          </w:p>
        </w:tc>
        <w:tc>
          <w:p>
            <w:pPr>
              <w:pStyle w:val="Compact"/>
              <w:jc w:val="left"/>
            </w:pPr>
            <w:r>
              <w:t xml:space="preserve">Statistics, sampling, percent</w:t>
            </w:r>
          </w:p>
        </w:tc>
        <w:tc>
          <w:p>
            <w:pPr>
              <w:pStyle w:val="Compact"/>
              <w:jc w:val="left"/>
            </w:pPr>
            <w:r>
              <w:t xml:space="preserve">Analyze historical and contemporary population data; calculate percent change</w:t>
            </w:r>
          </w:p>
        </w:tc>
      </w:tr>
      <w:tr>
        <w:tc>
          <w:p>
            <w:pPr>
              <w:pStyle w:val="Compact"/>
              <w:jc w:val="left"/>
            </w:pPr>
            <w:r>
              <w:t xml:space="preserve">Land area and treaties</w:t>
            </w:r>
          </w:p>
        </w:tc>
        <w:tc>
          <w:p>
            <w:pPr>
              <w:pStyle w:val="Compact"/>
              <w:jc w:val="left"/>
            </w:pPr>
            <w:r>
              <w:t xml:space="preserve">Dakota/Ojibwe treaty history</w:t>
            </w:r>
          </w:p>
        </w:tc>
        <w:tc>
          <w:p>
            <w:pPr>
              <w:pStyle w:val="Compact"/>
              <w:jc w:val="left"/>
            </w:pPr>
            <w:r>
              <w:t xml:space="preserve">Area, scale, ratio</w:t>
            </w:r>
          </w:p>
        </w:tc>
        <w:tc>
          <w:p>
            <w:pPr>
              <w:pStyle w:val="Compact"/>
              <w:jc w:val="left"/>
            </w:pPr>
            <w:r>
              <w:t xml:space="preserve">Calculate land areas from treaty maps; compare original and ceded territories</w:t>
            </w:r>
          </w:p>
        </w:tc>
      </w:tr>
      <w:tr>
        <w:tc>
          <w:p>
            <w:pPr>
              <w:pStyle w:val="Compact"/>
              <w:jc w:val="left"/>
            </w:pPr>
            <w:r>
              <w:t xml:space="preserve">Basket weaving algorithms</w:t>
            </w:r>
          </w:p>
        </w:tc>
        <w:tc>
          <w:p>
            <w:pPr>
              <w:pStyle w:val="Compact"/>
              <w:jc w:val="left"/>
            </w:pPr>
            <w:r>
              <w:t xml:space="preserve">Pomo, Tla’amin traditions</w:t>
            </w:r>
          </w:p>
        </w:tc>
        <w:tc>
          <w:p>
            <w:pPr>
              <w:pStyle w:val="Compact"/>
              <w:jc w:val="left"/>
            </w:pPr>
            <w:r>
              <w:t xml:space="preserve">Algorithmic thinking, 3D geometry</w:t>
            </w:r>
          </w:p>
        </w:tc>
        <w:tc>
          <w:p>
            <w:pPr>
              <w:pStyle w:val="Compact"/>
              <w:jc w:val="left"/>
            </w:pPr>
            <w:r>
              <w:t xml:space="preserve">Write step-by-step instructions (algorithm) for creating a basket pattern</w:t>
            </w:r>
          </w:p>
        </w:tc>
      </w:tr>
      <w:tr>
        <w:tc>
          <w:p>
            <w:pPr>
              <w:pStyle w:val="Compact"/>
              <w:jc w:val="left"/>
            </w:pPr>
            <w:r>
              <w:t xml:space="preserve">Bison herd estimation</w:t>
            </w:r>
          </w:p>
        </w:tc>
        <w:tc>
          <w:p>
            <w:pPr>
              <w:pStyle w:val="Compact"/>
              <w:jc w:val="left"/>
            </w:pPr>
            <w:r>
              <w:t xml:space="preserve">Lakota Plains culture</w:t>
            </w:r>
          </w:p>
        </w:tc>
        <w:tc>
          <w:p>
            <w:pPr>
              <w:pStyle w:val="Compact"/>
              <w:jc w:val="left"/>
            </w:pPr>
            <w:r>
              <w:t xml:space="preserve">Large numbers, estimation, scientific notation</w:t>
            </w:r>
          </w:p>
        </w:tc>
        <w:tc>
          <w:p>
            <w:pPr>
              <w:pStyle w:val="Compact"/>
              <w:jc w:val="left"/>
            </w:pPr>
            <w:r>
              <w:t xml:space="preserve">Historical bison populations numbered 30-60 million. Express in scientific notation; calculate decline rates.</w:t>
            </w:r>
          </w:p>
        </w:tc>
      </w:tr>
    </w:tbl>
    <w:p>
      <w:pPr>
        <w:pStyle w:val="Heading3"/>
      </w:pPr>
      <w:bookmarkStart w:id="42" w:name="grades-9-12-stories-and-themes"/>
      <w:r>
        <w:t xml:space="preserve">4.4 Grades 9-12 Stories and Themes</w:t>
      </w:r>
      <w:bookmarkEnd w:id="42"/>
    </w:p>
    <w:tbl>
      <w:tblPr>
        <w:tblStyle w:val="Table"/>
        <w:tblW w:type="pct" w:w="5000.0"/>
        <w:tblLook w:firstRow="1"/>
      </w:tblPr>
      <w:tblGrid>
        <w:gridCol w:w="955"/>
        <w:gridCol w:w="2321"/>
        <w:gridCol w:w="2048"/>
        <w:gridCol w:w="2594"/>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Cultural Context</w:t>
            </w:r>
          </w:p>
        </w:tc>
        <w:tc>
          <w:tcPr>
            <w:tcBorders>
              <w:bottom w:val="single"/>
            </w:tcBorders>
            <w:vAlign w:val="bottom"/>
          </w:tcPr>
          <w:p>
            <w:pPr>
              <w:pStyle w:val="Compact"/>
              <w:jc w:val="left"/>
            </w:pPr>
            <w:r>
              <w:t xml:space="preserve">Math Concepts</w:t>
            </w:r>
          </w:p>
        </w:tc>
        <w:tc>
          <w:tcPr>
            <w:tcBorders>
              <w:bottom w:val="single"/>
            </w:tcBorders>
            <w:vAlign w:val="bottom"/>
          </w:tcPr>
          <w:p>
            <w:pPr>
              <w:pStyle w:val="Compact"/>
              <w:jc w:val="left"/>
            </w:pPr>
            <w:r>
              <w:t xml:space="preserve">Sample Problem Type</w:t>
            </w:r>
          </w:p>
        </w:tc>
      </w:tr>
      <w:tr>
        <w:tc>
          <w:p>
            <w:pPr>
              <w:pStyle w:val="Compact"/>
              <w:jc w:val="left"/>
            </w:pPr>
            <w:r>
              <w:t xml:space="preserve">Star navigation systems</w:t>
            </w:r>
          </w:p>
        </w:tc>
        <w:tc>
          <w:p>
            <w:pPr>
              <w:pStyle w:val="Compact"/>
              <w:jc w:val="left"/>
            </w:pPr>
            <w:r>
              <w:t xml:space="preserve">Yup’ik, Dakota celestial knowledge</w:t>
            </w:r>
          </w:p>
        </w:tc>
        <w:tc>
          <w:p>
            <w:pPr>
              <w:pStyle w:val="Compact"/>
              <w:jc w:val="left"/>
            </w:pPr>
            <w:r>
              <w:t xml:space="preserve">Trigonometry, vectors, coordinate geometry</w:t>
            </w:r>
          </w:p>
        </w:tc>
        <w:tc>
          <w:p>
            <w:pPr>
              <w:pStyle w:val="Compact"/>
              <w:jc w:val="left"/>
            </w:pPr>
            <w:r>
              <w:t xml:space="preserve">Calculate position using star angles and landmark triangulation</w:t>
            </w:r>
          </w:p>
        </w:tc>
      </w:tr>
      <w:tr>
        <w:tc>
          <w:p>
            <w:pPr>
              <w:pStyle w:val="Compact"/>
              <w:jc w:val="left"/>
            </w:pPr>
            <w:r>
              <w:t xml:space="preserve">Demographic modeling</w:t>
            </w:r>
          </w:p>
        </w:tc>
        <w:tc>
          <w:p>
            <w:pPr>
              <w:pStyle w:val="Compact"/>
              <w:jc w:val="left"/>
            </w:pPr>
            <w:r>
              <w:t xml:space="preserve">Indigenous population history</w:t>
            </w:r>
          </w:p>
        </w:tc>
        <w:tc>
          <w:p>
            <w:pPr>
              <w:pStyle w:val="Compact"/>
              <w:jc w:val="left"/>
            </w:pPr>
            <w:r>
              <w:t xml:space="preserve">Exponential functions, modeling</w:t>
            </w:r>
          </w:p>
        </w:tc>
        <w:tc>
          <w:p>
            <w:pPr>
              <w:pStyle w:val="Compact"/>
              <w:jc w:val="left"/>
            </w:pPr>
            <w:r>
              <w:t xml:space="preserve">Model population decline and recovery using exponential and logistic functions</w:t>
            </w:r>
          </w:p>
        </w:tc>
      </w:tr>
      <w:tr>
        <w:tc>
          <w:p>
            <w:pPr>
              <w:pStyle w:val="Compact"/>
              <w:jc w:val="left"/>
            </w:pPr>
            <w:r>
              <w:t xml:space="preserve">Resource management</w:t>
            </w:r>
          </w:p>
        </w:tc>
        <w:tc>
          <w:p>
            <w:pPr>
              <w:pStyle w:val="Compact"/>
              <w:jc w:val="left"/>
            </w:pPr>
            <w:r>
              <w:t xml:space="preserve">Tribal sovereignty, treaty rights</w:t>
            </w:r>
          </w:p>
        </w:tc>
        <w:tc>
          <w:p>
            <w:pPr>
              <w:pStyle w:val="Compact"/>
              <w:jc w:val="left"/>
            </w:pPr>
            <w:r>
              <w:t xml:space="preserve">Linear programming, optimization</w:t>
            </w:r>
          </w:p>
        </w:tc>
        <w:tc>
          <w:p>
            <w:pPr>
              <w:pStyle w:val="Compact"/>
              <w:jc w:val="left"/>
            </w:pPr>
            <w:r>
              <w:t xml:space="preserve">Optimize wild rice harvest given environmental constraints and sustainability goals</w:t>
            </w:r>
          </w:p>
        </w:tc>
      </w:tr>
      <w:tr>
        <w:tc>
          <w:p>
            <w:pPr>
              <w:pStyle w:val="Compact"/>
              <w:jc w:val="left"/>
            </w:pPr>
            <w:r>
              <w:t xml:space="preserve">Beadwork and coding</w:t>
            </w:r>
          </w:p>
        </w:tc>
        <w:tc>
          <w:p>
            <w:pPr>
              <w:pStyle w:val="Compact"/>
              <w:jc w:val="left"/>
            </w:pPr>
            <w:r>
              <w:t xml:space="preserve">Multiple nations + CSDT tools</w:t>
            </w:r>
          </w:p>
        </w:tc>
        <w:tc>
          <w:p>
            <w:pPr>
              <w:pStyle w:val="Compact"/>
              <w:jc w:val="left"/>
            </w:pPr>
            <w:r>
              <w:t xml:space="preserve">Functions, coordinate geometry, computational math</w:t>
            </w:r>
          </w:p>
        </w:tc>
        <w:tc>
          <w:p>
            <w:pPr>
              <w:pStyle w:val="Compact"/>
              <w:jc w:val="left"/>
            </w:pPr>
            <w:r>
              <w:t xml:space="preserve">Write functions that generate beadwork patterns; explore transformation compositions</w:t>
            </w:r>
          </w:p>
        </w:tc>
      </w:tr>
      <w:tr>
        <w:tc>
          <w:p>
            <w:pPr>
              <w:pStyle w:val="Compact"/>
              <w:jc w:val="left"/>
            </w:pPr>
            <w:r>
              <w:t xml:space="preserve">Water and land rights</w:t>
            </w:r>
          </w:p>
        </w:tc>
        <w:tc>
          <w:p>
            <w:pPr>
              <w:pStyle w:val="Compact"/>
              <w:jc w:val="left"/>
            </w:pPr>
            <w:r>
              <w:t xml:space="preserve">Contemporary sovereignty issues</w:t>
            </w:r>
          </w:p>
        </w:tc>
        <w:tc>
          <w:p>
            <w:pPr>
              <w:pStyle w:val="Compact"/>
              <w:jc w:val="left"/>
            </w:pPr>
            <w:r>
              <w:t xml:space="preserve">Statistics, data analysis, modeling</w:t>
            </w:r>
          </w:p>
        </w:tc>
        <w:tc>
          <w:p>
            <w:pPr>
              <w:pStyle w:val="Compact"/>
              <w:jc w:val="left"/>
            </w:pPr>
            <w:r>
              <w:t xml:space="preserve">Analyze water quality data from tribal lands; model contamination spread</w:t>
            </w:r>
          </w:p>
        </w:tc>
      </w:tr>
      <w:tr>
        <w:tc>
          <w:p>
            <w:pPr>
              <w:pStyle w:val="Compact"/>
              <w:jc w:val="left"/>
            </w:pPr>
            <w:r>
              <w:t xml:space="preserve">Language revitalization data</w:t>
            </w:r>
          </w:p>
        </w:tc>
        <w:tc>
          <w:p>
            <w:pPr>
              <w:pStyle w:val="Compact"/>
              <w:jc w:val="left"/>
            </w:pPr>
            <w:r>
              <w:t xml:space="preserve">Ojibwe, Dakota language programs</w:t>
            </w:r>
          </w:p>
        </w:tc>
        <w:tc>
          <w:p>
            <w:pPr>
              <w:pStyle w:val="Compact"/>
              <w:jc w:val="left"/>
            </w:pPr>
            <w:r>
              <w:t xml:space="preserve">Statistics, regression, prediction</w:t>
            </w:r>
          </w:p>
        </w:tc>
        <w:tc>
          <w:p>
            <w:pPr>
              <w:pStyle w:val="Compact"/>
              <w:jc w:val="left"/>
            </w:pPr>
            <w:r>
              <w:t xml:space="preserve">Analyze speaker population data over time; create regression models to project future trends</w:t>
            </w:r>
          </w:p>
        </w:tc>
      </w:tr>
      <w:tr>
        <w:tc>
          <w:p>
            <w:pPr>
              <w:pStyle w:val="Compact"/>
              <w:jc w:val="left"/>
            </w:pPr>
            <w:r>
              <w:t xml:space="preserve">Traditional ecological knowledge</w:t>
            </w:r>
          </w:p>
        </w:tc>
        <w:tc>
          <w:p>
            <w:pPr>
              <w:pStyle w:val="Compact"/>
              <w:jc w:val="left"/>
            </w:pPr>
            <w:r>
              <w:t xml:space="preserve">Multiple nations</w:t>
            </w:r>
          </w:p>
        </w:tc>
        <w:tc>
          <w:p>
            <w:pPr>
              <w:pStyle w:val="Compact"/>
              <w:jc w:val="left"/>
            </w:pPr>
            <w:r>
              <w:t xml:space="preserve">Modeling, statistics, calculus applications</w:t>
            </w:r>
          </w:p>
        </w:tc>
        <w:tc>
          <w:p>
            <w:pPr>
              <w:pStyle w:val="Compact"/>
              <w:jc w:val="left"/>
            </w:pPr>
            <w:r>
              <w:t xml:space="preserve">Model fish population dynamics using traditional observation data alongside Western ecological data</w:t>
            </w:r>
          </w:p>
        </w:tc>
      </w:tr>
    </w:tbl>
    <w:p>
      <w:r>
        <w:pict>
          <v:rect style="width:0;height:1.5pt" o:hralign="center" o:hrstd="t" o:hr="t"/>
        </w:pict>
      </w:r>
    </w:p>
    <w:p>
      <w:pPr>
        <w:pStyle w:val="Heading2"/>
      </w:pPr>
      <w:bookmarkStart w:id="43" w:name="X32006d80906d8b2a59806fef8e0a5c4633d98ed"/>
      <w:r>
        <w:t xml:space="preserve">PART 5: BEST PRACTICES AND IMPLEMENTATION PRINCIPLES</w:t>
      </w:r>
      <w:bookmarkEnd w:id="43"/>
    </w:p>
    <w:p>
      <w:pPr>
        <w:pStyle w:val="Heading3"/>
      </w:pPr>
      <w:bookmarkStart w:id="44" w:name="core-principles-from-research"/>
      <w:r>
        <w:t xml:space="preserve">5.1 Core Principles from Research</w:t>
      </w:r>
      <w:bookmarkEnd w:id="44"/>
    </w:p>
    <w:p>
      <w:pPr>
        <w:pStyle w:val="FirstParagraph"/>
      </w:pPr>
      <w:r>
        <w:rPr>
          <w:b/>
        </w:rPr>
        <w:t xml:space="preserve">1. Community and Elder involvement is non-negotiable.</w:t>
      </w:r>
      <w:r>
        <w:t xml:space="preserve"> Every successful program (MCC, Dakota/Lakota Math Connections, IK-HABME) was built through sustained collaboration with Indigenous communities. Resources created without this collaboration risk being superficial, inaccurate, or harmful.</w:t>
      </w:r>
    </w:p>
    <w:p>
      <w:pPr>
        <w:pStyle w:val="BodyText"/>
      </w:pPr>
      <w:r>
        <w:rPr>
          <w:b/>
        </w:rPr>
        <w:t xml:space="preserve">2. Integration, not addition.</w:t>
      </w:r>
      <w:r>
        <w:t xml:space="preserve"> The most effective approaches weave Indigenous knowledge throughout the curriculum rather than adding a “cultural unit.” Montana’s IEFA evaluation found that teachers who treated it as a one-time lesson had negligible impact.</w:t>
      </w:r>
    </w:p>
    <w:p>
      <w:pPr>
        <w:pStyle w:val="BodyText"/>
      </w:pPr>
      <w:r>
        <w:rPr>
          <w:b/>
        </w:rPr>
        <w:t xml:space="preserve">3. Recognize Indigenous knowledge as legitimate mathematics.</w:t>
      </w:r>
      <w:r>
        <w:t xml:space="preserve"> The framing matters enormously. The goal is not “making math fun with cultural examples” — it is recognizing that mathematical thinking has always existed within Indigenous knowledge systems. The IK-HABME framework makes this explicit.</w:t>
      </w:r>
    </w:p>
    <w:p>
      <w:pPr>
        <w:pStyle w:val="BodyText"/>
      </w:pPr>
      <w:r>
        <w:rPr>
          <w:b/>
        </w:rPr>
        <w:t xml:space="preserve">4. Place-based and locally relevant.</w:t>
      </w:r>
      <w:r>
        <w:t xml:space="preserve"> Generic “Native American math” is less effective than curriculum connected to the specific nations whose territories the students live in. For Minnesota, this means Dakota and Anishinaabe contexts specifically.</w:t>
      </w:r>
    </w:p>
    <w:p>
      <w:pPr>
        <w:pStyle w:val="BodyText"/>
      </w:pPr>
      <w:r>
        <w:rPr>
          <w:b/>
        </w:rPr>
        <w:t xml:space="preserve">5. Avoid tokenism and stereotyping.</w:t>
      </w:r>
      <w:r>
        <w:t xml:space="preserve"> Contemporary Indigenous life must be represented alongside historical practices. Using only historical or “traditional” contexts reinforces the harmful narrative that Indigenous peoples exist only in the past.</w:t>
      </w:r>
    </w:p>
    <w:p>
      <w:pPr>
        <w:pStyle w:val="BodyText"/>
      </w:pPr>
      <w:r>
        <w:rPr>
          <w:b/>
        </w:rPr>
        <w:t xml:space="preserve">6. Culturally responsive, not culturally extractive.</w:t>
      </w:r>
      <w:r>
        <w:t xml:space="preserve"> The difference: culturally responsive teaching uses cultural knowledge to build mathematical understanding and strengthen cultural identity. Culturally extractive teaching mines cultural artifacts for decoration while leaving Western mathematical frameworks unquestioned.</w:t>
      </w:r>
    </w:p>
    <w:p>
      <w:pPr>
        <w:pStyle w:val="BodyText"/>
      </w:pPr>
      <w:r>
        <w:rPr>
          <w:b/>
        </w:rPr>
        <w:t xml:space="preserve">7. Sustained professional development is essential.</w:t>
      </w:r>
      <w:r>
        <w:t xml:space="preserve"> Montana’s data showed that resource availability alone was insufficient. Teachers need ongoing coaching, not just materials.</w:t>
      </w:r>
    </w:p>
    <w:p>
      <w:pPr>
        <w:pStyle w:val="Heading3"/>
      </w:pPr>
      <w:bookmarkStart w:id="45" w:name="Xd40170ff7d4a2a15d956a63a72e30fc8f04aaee"/>
      <w:r>
        <w:t xml:space="preserve">5.2 Implementation Model for a Digester System</w:t>
      </w:r>
      <w:bookmarkEnd w:id="45"/>
    </w:p>
    <w:p>
      <w:pPr>
        <w:pStyle w:val="FirstParagraph"/>
      </w:pPr>
      <w:r>
        <w:t xml:space="preserve">Based on the research, here is how integration should work within an automated lesson enhancement system:</w:t>
      </w:r>
    </w:p>
    <w:p>
      <w:pPr>
        <w:pStyle w:val="BodyText"/>
      </w:pPr>
      <w:r>
        <w:rPr>
          <w:b/>
        </w:rPr>
        <w:t xml:space="preserve">Layer 1: Story Context Bank</w:t>
      </w:r>
      <w:r>
        <w:t xml:space="preserve"> A tagged repository of stories, themes, and cultural contexts (Part 4 above) indexed by grade band, math domain, and CRA phase. When the Digester processes a lesson, it can draw from this bank to suggest culturally connected problem contexts.</w:t>
      </w:r>
    </w:p>
    <w:p>
      <w:pPr>
        <w:pStyle w:val="BodyText"/>
      </w:pPr>
      <w:r>
        <w:rPr>
          <w:b/>
        </w:rPr>
        <w:t xml:space="preserve">Layer 2: Mathematical Knowledge Mapping</w:t>
      </w:r>
      <w:r>
        <w:t xml:space="preserve"> A crosswalk (Part 3 above) that maps Indigenous mathematical concepts to standard curriculum domains. This ensures that connections are mathematically authentic, not superficial.</w:t>
      </w:r>
    </w:p>
    <w:p>
      <w:pPr>
        <w:pStyle w:val="BodyText"/>
      </w:pPr>
      <w:r>
        <w:rPr>
          <w:b/>
        </w:rPr>
        <w:t xml:space="preserve">Layer 3: Benchmark Alignment</w:t>
      </w:r>
      <w:r>
        <w:t xml:space="preserve"> Direct mapping to Minnesota’s four-directions benchmarks and other state standards. Each culturally connected element should trace back to a specific standard.</w:t>
      </w:r>
    </w:p>
    <w:p>
      <w:pPr>
        <w:pStyle w:val="BodyText"/>
      </w:pPr>
      <w:r>
        <w:rPr>
          <w:b/>
        </w:rPr>
        <w:t xml:space="preserve">Layer 4: Sensitivity and Accuracy Guardrails</w:t>
      </w:r>
      <w:r>
        <w:t xml:space="preserve"> - Flag any content for review by Indigenous educators before deployment. - Include provenance notes: which nation, which practice, what source. - Distinguish between publicly shared cultural knowledge and sacred/restricted knowledge. - Always use present tense for living cultures (“Dakota people use” not “Dakota people used”).</w:t>
      </w:r>
    </w:p>
    <w:p>
      <w:pPr>
        <w:pStyle w:val="BodyText"/>
      </w:pPr>
      <w:r>
        <w:rPr>
          <w:b/>
        </w:rPr>
        <w:t xml:space="preserve">Layer 5: Tiered Integration (matching CRA/MTSS tiers)</w:t>
      </w:r>
      <w:r>
        <w:t xml:space="preserve"> - </w:t>
      </w:r>
      <w:r>
        <w:rPr>
          <w:b/>
        </w:rPr>
        <w:t xml:space="preserve">Tier 1 (Core):</w:t>
      </w:r>
      <w:r>
        <w:t xml:space="preserve"> Story problems with Indigenous contexts available as alternatives to generic contexts. The Digester should offer these as options, not force them. - </w:t>
      </w:r>
      <w:r>
        <w:rPr>
          <w:b/>
        </w:rPr>
        <w:t xml:space="preserve">Tier 2 (Supplemental):</w:t>
      </w:r>
      <w:r>
        <w:t xml:space="preserve"> Deeper cultural connections for small-group work — e.g., a beadwork coordinate activity instead of a generic grid activity. - </w:t>
      </w:r>
      <w:r>
        <w:rPr>
          <w:b/>
        </w:rPr>
        <w:t xml:space="preserve">Tier 3 (Intensive):</w:t>
      </w:r>
      <w:r>
        <w:t xml:space="preserve"> Extended projects rooted in cultural practices (e.g., a full MCC-style module on building a fish rack).</w:t>
      </w:r>
    </w:p>
    <w:p>
      <w:pPr>
        <w:pStyle w:val="Heading3"/>
      </w:pPr>
      <w:bookmarkStart w:id="46" w:name="what-to-avoid"/>
      <w:r>
        <w:t xml:space="preserve">5.3 What to Avoid</w:t>
      </w:r>
      <w:bookmarkEnd w:id="46"/>
    </w:p>
    <w:p>
      <w:pPr>
        <w:pStyle w:val="FirstParagraph"/>
      </w:pPr>
      <w:r>
        <w:rPr>
          <w:b/>
        </w:rPr>
        <w:t xml:space="preserve">Do not:</w:t>
      </w:r>
      <w:r>
        <w:t xml:space="preserve"> - Use sacred or ceremonial knowledge without explicit Tribal authorization. - Present pan-Indigenous content as if all Native peoples are the same. - Use historical trauma (forced removal, boarding schools) as casual problem contexts. - Create problems that reduce cultural practices to arithmetic exercises without meaning. - Imply that Indigenous mathematical knowledge is “less than” or “simpler than” Western mathematics. - Use past tense for living cultures and practices. - Create resources without any Indigenous review.</w:t>
      </w:r>
    </w:p>
    <w:p>
      <w:pPr>
        <w:pStyle w:val="BodyText"/>
      </w:pPr>
      <w:r>
        <w:rPr>
          <w:b/>
        </w:rPr>
        <w:t xml:space="preserve">Do:</w:t>
      </w:r>
      <w:r>
        <w:t xml:space="preserve"> - Specify which nation and community a practice comes from. - Include contemporary as well as historical contexts. - Present Indigenous mathematical knowledge as sophisticated and complete. - Acknowledge that some knowledge is not appropriate for classroom use. - Design activities that build both mathematical competence and cultural understanding. - Include resources created by Indigenous educators wherever possible.</w:t>
      </w:r>
    </w:p>
    <w:p>
      <w:r>
        <w:pict>
          <v:rect style="width:0;height:1.5pt" o:hralign="center" o:hrstd="t" o:hr="t"/>
        </w:pict>
      </w:r>
    </w:p>
    <w:p>
      <w:pPr>
        <w:pStyle w:val="Heading2"/>
      </w:pPr>
      <w:bookmarkStart w:id="47" w:name="part-6-key-resources-and-references"/>
      <w:r>
        <w:t xml:space="preserve">PART 6: KEY RESOURCES AND REFERENCES</w:t>
      </w:r>
      <w:bookmarkEnd w:id="47"/>
    </w:p>
    <w:p>
      <w:pPr>
        <w:pStyle w:val="Heading3"/>
      </w:pPr>
      <w:bookmarkStart w:id="48" w:name="published-curricula-and-tools"/>
      <w:r>
        <w:t xml:space="preserve">Published Curricula and Tools</w:t>
      </w:r>
      <w:bookmarkEnd w:id="48"/>
    </w:p>
    <w:p>
      <w:pPr>
        <w:numPr>
          <w:ilvl w:val="0"/>
          <w:numId w:val="1003"/>
        </w:numPr>
        <w:pStyle w:val="Compact"/>
      </w:pPr>
      <w:r>
        <w:rPr>
          <w:b/>
        </w:rPr>
        <w:t xml:space="preserve">Math in a Cultural Context (MCC):</w:t>
      </w:r>
      <w:r>
        <w:t xml:space="preserve"> University of Alaska Fairbanks — 9 supplemental math modules for elementary and middle school. The most rigorously evaluated Indigenous math curriculum in the U.S.</w:t>
      </w:r>
    </w:p>
    <w:p>
      <w:pPr>
        <w:numPr>
          <w:ilvl w:val="0"/>
          <w:numId w:val="1003"/>
        </w:numPr>
        <w:pStyle w:val="Compact"/>
      </w:pPr>
      <w:r>
        <w:rPr>
          <w:b/>
        </w:rPr>
        <w:t xml:space="preserve">Culturally Situated Design Tools (CSDT):</w:t>
      </w:r>
      <w:r>
        <w:t xml:space="preserve"> csdt.org — Free web-based software for exploring mathematics through cultural design (beadwork, weaving, basket design).</w:t>
      </w:r>
    </w:p>
    <w:p>
      <w:pPr>
        <w:numPr>
          <w:ilvl w:val="0"/>
          <w:numId w:val="1003"/>
        </w:numPr>
        <w:pStyle w:val="Compact"/>
      </w:pPr>
      <w:r>
        <w:rPr>
          <w:b/>
        </w:rPr>
        <w:t xml:space="preserve">Dakota/Lakota Math Connections:</w:t>
      </w:r>
      <w:r>
        <w:t xml:space="preserve"> Sitting Bull College — Epistemological framework for math curriculum development with Lakota communities.</w:t>
      </w:r>
    </w:p>
    <w:p>
      <w:pPr>
        <w:pStyle w:val="Heading3"/>
      </w:pPr>
      <w:bookmarkStart w:id="49" w:name="state-level-resources"/>
      <w:r>
        <w:t xml:space="preserve">State-Level Resources</w:t>
      </w:r>
      <w:bookmarkEnd w:id="49"/>
    </w:p>
    <w:p>
      <w:pPr>
        <w:numPr>
          <w:ilvl w:val="0"/>
          <w:numId w:val="1004"/>
        </w:numPr>
        <w:pStyle w:val="Compact"/>
      </w:pPr>
      <w:r>
        <w:rPr>
          <w:b/>
        </w:rPr>
        <w:t xml:space="preserve">Minnesota Indigenous Education for All (IEFA):</w:t>
      </w:r>
      <w:r>
        <w:t xml:space="preserve"> education.mn.gov/MDE/dse/indian/all/ — Official MDE resources and tribally endorsed materials.</w:t>
      </w:r>
    </w:p>
    <w:p>
      <w:pPr>
        <w:numPr>
          <w:ilvl w:val="0"/>
          <w:numId w:val="1004"/>
        </w:numPr>
        <w:pStyle w:val="Compact"/>
      </w:pPr>
      <w:r>
        <w:rPr>
          <w:b/>
        </w:rPr>
        <w:t xml:space="preserve">Minnesota Math Standards Implementation:</w:t>
      </w:r>
      <w:r>
        <w:t xml:space="preserve"> education.mn.gov/MDE/dse/stds/Math/imp/ — Standards implementation resources including Indigenous integration guidance.</w:t>
      </w:r>
    </w:p>
    <w:p>
      <w:pPr>
        <w:numPr>
          <w:ilvl w:val="0"/>
          <w:numId w:val="1004"/>
        </w:numPr>
        <w:pStyle w:val="Compact"/>
      </w:pPr>
      <w:r>
        <w:rPr>
          <w:b/>
        </w:rPr>
        <w:t xml:space="preserve">Montana Indian Education for All:</w:t>
      </w:r>
      <w:r>
        <w:t xml:space="preserve"> opi.mt.gov — 400+ classroom resources, Essential Understandings framework.</w:t>
      </w:r>
    </w:p>
    <w:p>
      <w:pPr>
        <w:numPr>
          <w:ilvl w:val="0"/>
          <w:numId w:val="1004"/>
        </w:numPr>
        <w:pStyle w:val="Compact"/>
      </w:pPr>
      <w:r>
        <w:rPr>
          <w:b/>
        </w:rPr>
        <w:t xml:space="preserve">Washington Since Time Immemorial:</w:t>
      </w:r>
      <w:r>
        <w:t xml:space="preserve"> ospi.k12.wa.us — State-mandated tribal sovereignty curriculum, endorsed by all 29 federally recognized tribes.</w:t>
      </w:r>
    </w:p>
    <w:p>
      <w:pPr>
        <w:pStyle w:val="Heading3"/>
      </w:pPr>
      <w:bookmarkStart w:id="50" w:name="academic-research"/>
      <w:r>
        <w:t xml:space="preserve">Academic Research</w:t>
      </w:r>
      <w:bookmarkEnd w:id="50"/>
    </w:p>
    <w:p>
      <w:pPr>
        <w:numPr>
          <w:ilvl w:val="0"/>
          <w:numId w:val="1005"/>
        </w:numPr>
        <w:pStyle w:val="Compact"/>
      </w:pPr>
      <w:r>
        <w:t xml:space="preserve">Lipka, J. et al. — Math in a Cultural Context research publications (University of Alaska Fairbanks).</w:t>
      </w:r>
    </w:p>
    <w:p>
      <w:pPr>
        <w:numPr>
          <w:ilvl w:val="0"/>
          <w:numId w:val="1005"/>
        </w:numPr>
        <w:pStyle w:val="Compact"/>
      </w:pPr>
      <w:r>
        <w:t xml:space="preserve">Garcia-Olp, M. et al. — IK-HABME framework (Indigenous Knowledge Has Always Been Mathematics Education).</w:t>
      </w:r>
    </w:p>
    <w:p>
      <w:pPr>
        <w:numPr>
          <w:ilvl w:val="0"/>
          <w:numId w:val="1005"/>
        </w:numPr>
        <w:pStyle w:val="Compact"/>
      </w:pPr>
      <w:r>
        <w:t xml:space="preserve">Eglash, R. — Culturally Situated Design Tools: Ethnocomputing from Field Site to Classroom (American Anthropologist, 2006).</w:t>
      </w:r>
    </w:p>
    <w:p>
      <w:pPr>
        <w:numPr>
          <w:ilvl w:val="0"/>
          <w:numId w:val="1005"/>
        </w:numPr>
        <w:pStyle w:val="Compact"/>
      </w:pPr>
      <w:r>
        <w:t xml:space="preserve">Frontiers in Education (2023) — Dakota/Lakota Math Connections: An epistemological framework for teaching and learning mathematics with Indigenous communities.</w:t>
      </w:r>
    </w:p>
    <w:p>
      <w:pPr>
        <w:numPr>
          <w:ilvl w:val="0"/>
          <w:numId w:val="1005"/>
        </w:numPr>
        <w:pStyle w:val="Compact"/>
      </w:pPr>
      <w:r>
        <w:t xml:space="preserve">Bradley, C. — Dual understanding mathematics education with Navajo students (Monument Valley program).</w:t>
      </w:r>
    </w:p>
    <w:p>
      <w:pPr>
        <w:pStyle w:val="Heading3"/>
      </w:pPr>
      <w:bookmarkStart w:id="51" w:name="organizations-and-networks"/>
      <w:r>
        <w:t xml:space="preserve">Organizations and Networks</w:t>
      </w:r>
      <w:bookmarkEnd w:id="51"/>
    </w:p>
    <w:p>
      <w:pPr>
        <w:numPr>
          <w:ilvl w:val="0"/>
          <w:numId w:val="1006"/>
        </w:numPr>
        <w:pStyle w:val="Compact"/>
      </w:pPr>
      <w:r>
        <w:rPr>
          <w:b/>
        </w:rPr>
        <w:t xml:space="preserve">Indigenous Math Network (UBC):</w:t>
      </w:r>
      <w:r>
        <w:t xml:space="preserve"> indigenous.mathnetwork.educ.ubc.ca — Resources, lesson plans, and educator networks.</w:t>
      </w:r>
    </w:p>
    <w:p>
      <w:pPr>
        <w:numPr>
          <w:ilvl w:val="0"/>
          <w:numId w:val="1006"/>
        </w:numPr>
        <w:pStyle w:val="Compact"/>
      </w:pPr>
      <w:r>
        <w:rPr>
          <w:b/>
        </w:rPr>
        <w:t xml:space="preserve">Alliance of Indigenous Math Circles (AIMC):</w:t>
      </w:r>
      <w:r>
        <w:t xml:space="preserve"> Math circles in Native American communities led by Dr. Tatiana Shubin.</w:t>
      </w:r>
    </w:p>
    <w:p>
      <w:pPr>
        <w:numPr>
          <w:ilvl w:val="0"/>
          <w:numId w:val="1006"/>
        </w:numPr>
        <w:pStyle w:val="Compact"/>
      </w:pPr>
      <w:r>
        <w:rPr>
          <w:b/>
        </w:rPr>
        <w:t xml:space="preserve">National Indian Education Association (NIEA):</w:t>
      </w:r>
      <w:r>
        <w:t xml:space="preserve"> Illuminative resources including Navajo Weaving math lessons.</w:t>
      </w:r>
    </w:p>
    <w:p>
      <w:pPr>
        <w:numPr>
          <w:ilvl w:val="0"/>
          <w:numId w:val="1006"/>
        </w:numPr>
        <w:pStyle w:val="Compact"/>
      </w:pPr>
      <w:r>
        <w:rPr>
          <w:b/>
        </w:rPr>
        <w:t xml:space="preserve">Aboriginal Resources for Teachers:</w:t>
      </w:r>
      <w:r>
        <w:t xml:space="preserve"> aboriginalresourcesforteachers.weebly.com — Elementary math resources including Mayan mathematics, canoe design, and pattern activities.</w:t>
      </w:r>
    </w:p>
    <w:p>
      <w:pPr>
        <w:numPr>
          <w:ilvl w:val="0"/>
          <w:numId w:val="1006"/>
        </w:numPr>
        <w:pStyle w:val="Compact"/>
      </w:pPr>
      <w:r>
        <w:rPr>
          <w:b/>
        </w:rPr>
        <w:t xml:space="preserve">IES (Institute of Education Sciences):</w:t>
      </w:r>
      <w:r>
        <w:t xml:space="preserve"> Research and evaluation of culturally based math programs.</w:t>
      </w:r>
    </w:p>
    <w:p>
      <w:pPr>
        <w:pStyle w:val="Heading3"/>
      </w:pPr>
      <w:bookmarkStart w:id="52" w:name="technology-tools"/>
      <w:r>
        <w:t xml:space="preserve">Technology Tools</w:t>
      </w:r>
      <w:bookmarkEnd w:id="52"/>
    </w:p>
    <w:p>
      <w:pPr>
        <w:numPr>
          <w:ilvl w:val="0"/>
          <w:numId w:val="1007"/>
        </w:numPr>
        <w:pStyle w:val="Compact"/>
      </w:pPr>
      <w:r>
        <w:rPr>
          <w:b/>
        </w:rPr>
        <w:t xml:space="preserve">CSDT Virtual Bead Loom:</w:t>
      </w:r>
      <w:r>
        <w:t xml:space="preserve"> Explores Cartesian coordinates through Shoshone-Bannock beadwork.</w:t>
      </w:r>
    </w:p>
    <w:p>
      <w:pPr>
        <w:numPr>
          <w:ilvl w:val="0"/>
          <w:numId w:val="1007"/>
        </w:numPr>
        <w:pStyle w:val="Compact"/>
      </w:pPr>
      <w:r>
        <w:rPr>
          <w:b/>
        </w:rPr>
        <w:t xml:space="preserve">CSDT Navajo Rug Weaver:</w:t>
      </w:r>
      <w:r>
        <w:t xml:space="preserve"> Explores iteration, reflection symmetry, and four-fold symmetry.</w:t>
      </w:r>
    </w:p>
    <w:p>
      <w:pPr>
        <w:numPr>
          <w:ilvl w:val="0"/>
          <w:numId w:val="1007"/>
        </w:numPr>
        <w:pStyle w:val="Compact"/>
      </w:pPr>
      <w:r>
        <w:rPr>
          <w:b/>
        </w:rPr>
        <w:t xml:space="preserve">LOGO-based Navajo design tools:</w:t>
      </w:r>
      <w:r>
        <w:t xml:space="preserve"> Claudette Bradley’s dual-understanding program (Monument Valley).</w:t>
      </w:r>
    </w:p>
    <w:p>
      <w:r>
        <w:pict>
          <v:rect style="width:0;height:1.5pt" o:hralign="center" o:hrstd="t" o:hr="t"/>
        </w:pict>
      </w:r>
    </w:p>
    <w:p>
      <w:pPr>
        <w:pStyle w:val="Heading2"/>
      </w:pPr>
      <w:bookmarkStart w:id="53" w:name="X09acb34e599ffaff432b18d095e55d3c8c1f9ca"/>
      <w:r>
        <w:t xml:space="preserve">PART 7: IMPLEMENTATION ROADMAP FOR THE DIGESTER</w:t>
      </w:r>
      <w:bookmarkEnd w:id="53"/>
    </w:p>
    <w:p>
      <w:pPr>
        <w:pStyle w:val="Heading3"/>
      </w:pPr>
      <w:bookmarkStart w:id="54" w:name="phase-1-foundation-immediate"/>
      <w:r>
        <w:t xml:space="preserve">Phase 1: Foundation (Immediate)</w:t>
      </w:r>
      <w:bookmarkEnd w:id="54"/>
    </w:p>
    <w:p>
      <w:pPr>
        <w:numPr>
          <w:ilvl w:val="0"/>
          <w:numId w:val="1008"/>
        </w:numPr>
        <w:pStyle w:val="Compact"/>
      </w:pPr>
      <w:r>
        <w:t xml:space="preserve">Encode the Story and Theme Repository (Part 4) as a tagged data source accessible to the Digester.</w:t>
      </w:r>
    </w:p>
    <w:p>
      <w:pPr>
        <w:numPr>
          <w:ilvl w:val="0"/>
          <w:numId w:val="1008"/>
        </w:numPr>
        <w:pStyle w:val="Compact"/>
      </w:pPr>
      <w:r>
        <w:t xml:space="preserve">Build the Mathematical Knowledge Crosswalk (Part 3) as a lookup table mapping Indigenous concepts to standard math domains and grade bands.</w:t>
      </w:r>
    </w:p>
    <w:p>
      <w:pPr>
        <w:numPr>
          <w:ilvl w:val="0"/>
          <w:numId w:val="1008"/>
        </w:numPr>
        <w:pStyle w:val="Compact"/>
      </w:pPr>
      <w:r>
        <w:t xml:space="preserve">Map all Minnesota four-directions benchmarks to Digester output points.</w:t>
      </w:r>
    </w:p>
    <w:p>
      <w:pPr>
        <w:pStyle w:val="Heading3"/>
      </w:pPr>
      <w:bookmarkStart w:id="55" w:name="phase-2-integration-logic"/>
      <w:r>
        <w:t xml:space="preserve">Phase 2: Integration Logic</w:t>
      </w:r>
      <w:bookmarkEnd w:id="55"/>
    </w:p>
    <w:p>
      <w:pPr>
        <w:numPr>
          <w:ilvl w:val="0"/>
          <w:numId w:val="1009"/>
        </w:numPr>
        <w:pStyle w:val="Compact"/>
      </w:pPr>
      <w:r>
        <w:t xml:space="preserve">When the Digester processes a lesson, identify opportunities where Indigenous contexts can replace or supplement generic problem contexts.</w:t>
      </w:r>
    </w:p>
    <w:p>
      <w:pPr>
        <w:numPr>
          <w:ilvl w:val="0"/>
          <w:numId w:val="1009"/>
        </w:numPr>
        <w:pStyle w:val="Compact"/>
      </w:pPr>
      <w:r>
        <w:t xml:space="preserve">Implement sensitivity guardrails: provenance tagging, present-tense enforcement, specificity checks (which nation?).</w:t>
      </w:r>
    </w:p>
    <w:p>
      <w:pPr>
        <w:numPr>
          <w:ilvl w:val="0"/>
          <w:numId w:val="1009"/>
        </w:numPr>
        <w:pStyle w:val="Compact"/>
      </w:pPr>
      <w:r>
        <w:t xml:space="preserve">Ensure Indigenous contexts appear as options across CRA phases (Concrete, Representational, Abstract), not only in the Concrete phase.</w:t>
      </w:r>
    </w:p>
    <w:p>
      <w:pPr>
        <w:pStyle w:val="Heading3"/>
      </w:pPr>
      <w:bookmarkStart w:id="56" w:name="phase-3-validation"/>
      <w:r>
        <w:t xml:space="preserve">Phase 3: Validation</w:t>
      </w:r>
      <w:bookmarkEnd w:id="56"/>
    </w:p>
    <w:p>
      <w:pPr>
        <w:numPr>
          <w:ilvl w:val="0"/>
          <w:numId w:val="1010"/>
        </w:numPr>
        <w:pStyle w:val="Compact"/>
      </w:pPr>
      <w:r>
        <w:t xml:space="preserve">Flag all generated Indigenous content for human review before deployment.</w:t>
      </w:r>
    </w:p>
    <w:p>
      <w:pPr>
        <w:numPr>
          <w:ilvl w:val="0"/>
          <w:numId w:val="1010"/>
        </w:numPr>
        <w:pStyle w:val="Compact"/>
      </w:pPr>
      <w:r>
        <w:t xml:space="preserve">Seek review from Indigenous educators, particularly those connected to Minnesota’s Dakota and Anishinaabe communities.</w:t>
      </w:r>
    </w:p>
    <w:p>
      <w:pPr>
        <w:numPr>
          <w:ilvl w:val="0"/>
          <w:numId w:val="1010"/>
        </w:numPr>
        <w:pStyle w:val="Compact"/>
      </w:pPr>
      <w:r>
        <w:t xml:space="preserve">Build a feedback loop so reviewed content improves the system over time.</w:t>
      </w:r>
    </w:p>
    <w:p>
      <w:pPr>
        <w:pStyle w:val="Heading3"/>
      </w:pPr>
      <w:bookmarkStart w:id="57" w:name="phase-4-expansion"/>
      <w:r>
        <w:t xml:space="preserve">Phase 4: Expansion</w:t>
      </w:r>
      <w:bookmarkEnd w:id="57"/>
    </w:p>
    <w:p>
      <w:pPr>
        <w:numPr>
          <w:ilvl w:val="0"/>
          <w:numId w:val="1011"/>
        </w:numPr>
        <w:pStyle w:val="Compact"/>
      </w:pPr>
      <w:r>
        <w:t xml:space="preserve">Extend beyond Minnesota-specific contexts to support other state mandates (Montana, Washington, Oregon, etc.).</w:t>
      </w:r>
    </w:p>
    <w:p>
      <w:pPr>
        <w:numPr>
          <w:ilvl w:val="0"/>
          <w:numId w:val="1011"/>
        </w:numPr>
        <w:pStyle w:val="Compact"/>
      </w:pPr>
      <w:r>
        <w:t xml:space="preserve">Incorporate CSDT digital tools as linked resources in Digester outputs.</w:t>
      </w:r>
    </w:p>
    <w:p>
      <w:pPr>
        <w:numPr>
          <w:ilvl w:val="0"/>
          <w:numId w:val="1011"/>
        </w:numPr>
        <w:pStyle w:val="Compact"/>
      </w:pPr>
      <w:r>
        <w:t>Add lesson-level metadata: “This lesson addresses Minnesota IEFA benchmark X” for teacher clarity.</w:t>
      </w:r>
    </w:p>
    <w:p>
      <w:r>
        <w:pict>
          <v:rect style="width:0;height:1.5pt" o:hralign="center" o:hrstd="t" o:hr="t"/>
        </w:pict>
      </w:r>
    </w:p>
    <w:p>
      <w:pPr>
        <w:pStyle w:val="Heading2"/>
      </w:pPr>
      <w:bookmarkStart w:id="58" w:name="Xe5c08e7d9c05495fb3539cd77a134f4f7a61671"/>
      <w:r>
        <w:t xml:space="preserve">APPENDIX A: Ojibwe/Anishinaabe Number Words Reference</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Ojibwe</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bezhig</w:t>
            </w:r>
          </w:p>
        </w:tc>
        <w:tc>
          <w:p/>
        </w:tc>
      </w:tr>
      <w:tr>
        <w:tc>
          <w:p>
            <w:pPr>
              <w:pStyle w:val="Compact"/>
              <w:jc w:val="left"/>
            </w:pPr>
            <w:r>
              <w:t xml:space="preserve">2</w:t>
            </w:r>
          </w:p>
        </w:tc>
        <w:tc>
          <w:p>
            <w:pPr>
              <w:pStyle w:val="Compact"/>
              <w:jc w:val="left"/>
            </w:pPr>
            <w:r>
              <w:t xml:space="preserve">niizh</w:t>
            </w:r>
          </w:p>
        </w:tc>
        <w:tc>
          <w:p/>
        </w:tc>
      </w:tr>
      <w:tr>
        <w:tc>
          <w:p>
            <w:pPr>
              <w:pStyle w:val="Compact"/>
              <w:jc w:val="left"/>
            </w:pPr>
            <w:r>
              <w:t xml:space="preserve">3</w:t>
            </w:r>
          </w:p>
        </w:tc>
        <w:tc>
          <w:p>
            <w:pPr>
              <w:pStyle w:val="Compact"/>
              <w:jc w:val="left"/>
            </w:pPr>
            <w:r>
              <w:t xml:space="preserve">niswi</w:t>
            </w:r>
          </w:p>
        </w:tc>
        <w:tc>
          <w:p/>
        </w:tc>
      </w:tr>
      <w:tr>
        <w:tc>
          <w:p>
            <w:pPr>
              <w:pStyle w:val="Compact"/>
              <w:jc w:val="left"/>
            </w:pPr>
            <w:r>
              <w:t xml:space="preserve">4</w:t>
            </w:r>
          </w:p>
        </w:tc>
        <w:tc>
          <w:p>
            <w:pPr>
              <w:pStyle w:val="Compact"/>
              <w:jc w:val="left"/>
            </w:pPr>
            <w:r>
              <w:t xml:space="preserve">niiwin</w:t>
            </w:r>
          </w:p>
        </w:tc>
        <w:tc>
          <w:p/>
        </w:tc>
      </w:tr>
      <w:tr>
        <w:tc>
          <w:p>
            <w:pPr>
              <w:pStyle w:val="Compact"/>
              <w:jc w:val="left"/>
            </w:pPr>
            <w:r>
              <w:t xml:space="preserve">5</w:t>
            </w:r>
          </w:p>
        </w:tc>
        <w:tc>
          <w:p>
            <w:pPr>
              <w:pStyle w:val="Compact"/>
              <w:jc w:val="left"/>
            </w:pPr>
            <w:r>
              <w:t xml:space="preserve">naanan</w:t>
            </w:r>
          </w:p>
        </w:tc>
        <w:tc>
          <w:p/>
        </w:tc>
      </w:tr>
      <w:tr>
        <w:tc>
          <w:p>
            <w:pPr>
              <w:pStyle w:val="Compact"/>
              <w:jc w:val="left"/>
            </w:pPr>
            <w:r>
              <w:t xml:space="preserve">6</w:t>
            </w:r>
          </w:p>
        </w:tc>
        <w:tc>
          <w:p>
            <w:pPr>
              <w:pStyle w:val="Compact"/>
              <w:jc w:val="left"/>
            </w:pPr>
            <w:r>
              <w:t xml:space="preserve">ingodaaswo</w:t>
            </w:r>
          </w:p>
        </w:tc>
        <w:tc>
          <w:p/>
        </w:tc>
      </w:tr>
      <w:tr>
        <w:tc>
          <w:p>
            <w:pPr>
              <w:pStyle w:val="Compact"/>
              <w:jc w:val="left"/>
            </w:pPr>
            <w:r>
              <w:t xml:space="preserve">7</w:t>
            </w:r>
          </w:p>
        </w:tc>
        <w:tc>
          <w:p>
            <w:pPr>
              <w:pStyle w:val="Compact"/>
              <w:jc w:val="left"/>
            </w:pPr>
            <w:r>
              <w:t xml:space="preserve">niizhwaaso</w:t>
            </w:r>
          </w:p>
        </w:tc>
        <w:tc>
          <w:p/>
        </w:tc>
      </w:tr>
      <w:tr>
        <w:tc>
          <w:p>
            <w:pPr>
              <w:pStyle w:val="Compact"/>
              <w:jc w:val="left"/>
            </w:pPr>
            <w:r>
              <w:t xml:space="preserve">8</w:t>
            </w:r>
          </w:p>
        </w:tc>
        <w:tc>
          <w:p>
            <w:pPr>
              <w:pStyle w:val="Compact"/>
              <w:jc w:val="left"/>
            </w:pPr>
            <w:r>
              <w:t xml:space="preserve">niswaaso</w:t>
            </w:r>
          </w:p>
        </w:tc>
        <w:tc>
          <w:p/>
        </w:tc>
      </w:tr>
      <w:tr>
        <w:tc>
          <w:p>
            <w:pPr>
              <w:pStyle w:val="Compact"/>
              <w:jc w:val="left"/>
            </w:pPr>
            <w:r>
              <w:t xml:space="preserve">9</w:t>
            </w:r>
          </w:p>
        </w:tc>
        <w:tc>
          <w:p>
            <w:pPr>
              <w:pStyle w:val="Compact"/>
              <w:jc w:val="left"/>
            </w:pPr>
            <w:r>
              <w:t xml:space="preserve">zhaangaso</w:t>
            </w:r>
          </w:p>
        </w:tc>
        <w:tc>
          <w:p/>
        </w:tc>
      </w:tr>
      <w:tr>
        <w:tc>
          <w:p>
            <w:pPr>
              <w:pStyle w:val="Compact"/>
              <w:jc w:val="left"/>
            </w:pPr>
            <w:r>
              <w:t xml:space="preserve">10</w:t>
            </w:r>
          </w:p>
        </w:tc>
        <w:tc>
          <w:p>
            <w:pPr>
              <w:pStyle w:val="Compact"/>
              <w:jc w:val="left"/>
            </w:pPr>
            <w:r>
              <w:t xml:space="preserve">midaaso</w:t>
            </w:r>
          </w:p>
        </w:tc>
        <w:tc>
          <w:p/>
        </w:tc>
      </w:tr>
    </w:tbl>
    <w:p>
      <w:pPr>
        <w:pStyle w:val="BodyText"/>
      </w:pPr>
      <w:r>
        <w:rPr>
          <w:b/>
        </w:rPr>
        <w:t xml:space="preserve">Classificatory endings</w:t>
      </w:r>
      <w:r>
        <w:t xml:space="preserve"> (the number changes form based on what is being counted): - -gon / -gwan: counting days - -sag: counting wooden containers (barrels, kegs, boxes)</w:t>
      </w:r>
    </w:p>
    <w:p>
      <w:pPr>
        <w:pStyle w:val="BodyText"/>
      </w:pPr>
      <w:r>
        <w:t xml:space="preserve">This feature — where the counting word encodes the category of what’s being counted — is a sophisticated mathematical concept with no direct parallel in English. It can be used to teach classification and categorical thinking.</w:t>
      </w:r>
    </w:p>
    <w:p>
      <w:pPr>
        <w:pStyle w:val="Heading2"/>
      </w:pPr>
      <w:bookmarkStart w:id="59" w:name="X33dc9ddd913cbf7c216b3ab543b0633ae9b68c1"/>
      <w:r>
        <w:t xml:space="preserve">APPENDIX B: State Mandate Comparison Matrix</w:t>
      </w:r>
      <w:bookmarkEnd w:id="59"/>
    </w:p>
    <w:tbl>
      <w:tblPr>
        <w:tblStyle w:val="Table"/>
        <w:tblW w:type="pct" w:w="5000.0"/>
        <w:tblLook w:firstRow="1"/>
      </w:tblPr>
      <w:tblGrid>
        <w:gridCol w:w="972"/>
        <w:gridCol w:w="1806"/>
        <w:gridCol w:w="972"/>
        <w:gridCol w:w="2084"/>
        <w:gridCol w:w="2084"/>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Year Enacted</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Math-Specific?</w:t>
            </w:r>
          </w:p>
        </w:tc>
        <w:tc>
          <w:tcPr>
            <w:tcBorders>
              <w:bottom w:val="single"/>
            </w:tcBorders>
            <w:vAlign w:val="bottom"/>
          </w:tcPr>
          <w:p>
            <w:pPr>
              <w:pStyle w:val="Compact"/>
              <w:jc w:val="left"/>
            </w:pPr>
            <w:r>
              <w:t xml:space="preserve">Tribal Review?</w:t>
            </w:r>
          </w:p>
        </w:tc>
      </w:tr>
      <w:tr>
        <w:tc>
          <w:p>
            <w:pPr>
              <w:pStyle w:val="Compact"/>
              <w:jc w:val="left"/>
            </w:pPr>
            <w:r>
              <w:t xml:space="preserve">Montana</w:t>
            </w:r>
          </w:p>
        </w:tc>
        <w:tc>
          <w:p>
            <w:pPr>
              <w:pStyle w:val="Compact"/>
              <w:jc w:val="left"/>
            </w:pPr>
            <w:r>
              <w:t xml:space="preserve">1972 (const.), 2005 (funded)</w:t>
            </w:r>
          </w:p>
        </w:tc>
        <w:tc>
          <w:p>
            <w:pPr>
              <w:pStyle w:val="Compact"/>
              <w:jc w:val="left"/>
            </w:pPr>
            <w:r>
              <w:t xml:space="preserve">All subjects, all grades</w:t>
            </w:r>
          </w:p>
        </w:tc>
        <w:tc>
          <w:p>
            <w:pPr>
              <w:pStyle w:val="Compact"/>
              <w:jc w:val="left"/>
            </w:pPr>
            <w:r>
              <w:t xml:space="preserve">Yes (in standards)</w:t>
            </w:r>
          </w:p>
        </w:tc>
        <w:tc>
          <w:p>
            <w:pPr>
              <w:pStyle w:val="Compact"/>
              <w:jc w:val="left"/>
            </w:pPr>
            <w:r>
              <w:t xml:space="preserve">Yes</w:t>
            </w:r>
          </w:p>
        </w:tc>
      </w:tr>
      <w:tr>
        <w:tc>
          <w:p>
            <w:pPr>
              <w:pStyle w:val="Compact"/>
              <w:jc w:val="left"/>
            </w:pPr>
            <w:r>
              <w:t xml:space="preserve">Hawaii</w:t>
            </w:r>
          </w:p>
        </w:tc>
        <w:tc>
          <w:p>
            <w:pPr>
              <w:pStyle w:val="Compact"/>
              <w:jc w:val="left"/>
            </w:pPr>
            <w:r>
              <w:t xml:space="preserve">Constitutional</w:t>
            </w:r>
          </w:p>
        </w:tc>
        <w:tc>
          <w:p>
            <w:pPr>
              <w:pStyle w:val="Compact"/>
              <w:jc w:val="left"/>
            </w:pPr>
            <w:r>
              <w:t xml:space="preserve">All subjects</w:t>
            </w:r>
          </w:p>
        </w:tc>
        <w:tc>
          <w:p>
            <w:pPr>
              <w:pStyle w:val="Compact"/>
              <w:jc w:val="left"/>
            </w:pPr>
            <w:r>
              <w:t xml:space="preserve">Limited</w:t>
            </w:r>
          </w:p>
        </w:tc>
        <w:tc>
          <w:p>
            <w:pPr>
              <w:pStyle w:val="Compact"/>
              <w:jc w:val="left"/>
            </w:pPr>
            <w:r>
              <w:t xml:space="preserve">Yes</w:t>
            </w:r>
          </w:p>
        </w:tc>
      </w:tr>
      <w:tr>
        <w:tc>
          <w:p>
            <w:pPr>
              <w:pStyle w:val="Compact"/>
              <w:jc w:val="left"/>
            </w:pPr>
            <w:r>
              <w:t xml:space="preserve">Washington</w:t>
            </w:r>
          </w:p>
        </w:tc>
        <w:tc>
          <w:p>
            <w:pPr>
              <w:pStyle w:val="Compact"/>
              <w:jc w:val="left"/>
            </w:pPr>
            <w:r>
              <w:t xml:space="preserve">2015</w:t>
            </w:r>
          </w:p>
        </w:tc>
        <w:tc>
          <w:p>
            <w:pPr>
              <w:pStyle w:val="Compact"/>
              <w:jc w:val="left"/>
            </w:pPr>
            <w:r>
              <w:t xml:space="preserve">All subjects, PK-12</w:t>
            </w:r>
          </w:p>
        </w:tc>
        <w:tc>
          <w:p>
            <w:pPr>
              <w:pStyle w:val="Compact"/>
              <w:jc w:val="left"/>
            </w:pPr>
            <w:r>
              <w:t xml:space="preserve">Not yet explicit</w:t>
            </w:r>
          </w:p>
        </w:tc>
        <w:tc>
          <w:p>
            <w:pPr>
              <w:pStyle w:val="Compact"/>
              <w:jc w:val="left"/>
            </w:pPr>
            <w:r>
              <w:t xml:space="preserve">Yes (29 tribes)</w:t>
            </w:r>
          </w:p>
        </w:tc>
      </w:tr>
      <w:tr>
        <w:tc>
          <w:p>
            <w:pPr>
              <w:pStyle w:val="Compact"/>
              <w:jc w:val="left"/>
            </w:pPr>
            <w:r>
              <w:t xml:space="preserve">Minnesota</w:t>
            </w:r>
          </w:p>
        </w:tc>
        <w:tc>
          <w:p>
            <w:pPr>
              <w:pStyle w:val="Compact"/>
              <w:jc w:val="left"/>
            </w:pPr>
            <w:r>
              <w:t xml:space="preserve">2007 (statute), 2022 (standards)</w:t>
            </w:r>
          </w:p>
        </w:tc>
        <w:tc>
          <w:p>
            <w:pPr>
              <w:pStyle w:val="Compact"/>
              <w:jc w:val="left"/>
            </w:pPr>
            <w:r>
              <w:t xml:space="preserve">All subjects, embedded in standards</w:t>
            </w:r>
          </w:p>
        </w:tc>
        <w:tc>
          <w:p>
            <w:pPr>
              <w:pStyle w:val="Compact"/>
              <w:jc w:val="left"/>
            </w:pPr>
            <w:r>
              <w:t xml:space="preserve">Yes (benchmarks)</w:t>
            </w:r>
          </w:p>
        </w:tc>
        <w:tc>
          <w:p>
            <w:pPr>
              <w:pStyle w:val="Compact"/>
              <w:jc w:val="left"/>
            </w:pPr>
            <w:r>
              <w:t xml:space="preserve">Yes (11 nations)</w:t>
            </w:r>
          </w:p>
        </w:tc>
      </w:tr>
      <w:tr>
        <w:tc>
          <w:p>
            <w:pPr>
              <w:pStyle w:val="Compact"/>
              <w:jc w:val="left"/>
            </w:pPr>
            <w:r>
              <w:t xml:space="preserve">Oregon</w:t>
            </w:r>
          </w:p>
        </w:tc>
        <w:tc>
          <w:p>
            <w:pPr>
              <w:pStyle w:val="Compact"/>
              <w:jc w:val="left"/>
            </w:pPr>
            <w:r>
              <w:t xml:space="preserve">2019</w:t>
            </w:r>
          </w:p>
        </w:tc>
        <w:tc>
          <w:p>
            <w:pPr>
              <w:pStyle w:val="Compact"/>
              <w:jc w:val="left"/>
            </w:pPr>
            <w:r>
              <w:t xml:space="preserve">5 subject areas</w:t>
            </w:r>
          </w:p>
        </w:tc>
        <w:tc>
          <w:p>
            <w:pPr>
              <w:pStyle w:val="Compact"/>
              <w:jc w:val="left"/>
            </w:pPr>
            <w:r>
              <w:t xml:space="preserve">Limited</w:t>
            </w:r>
          </w:p>
        </w:tc>
        <w:tc>
          <w:p>
            <w:pPr>
              <w:pStyle w:val="Compact"/>
              <w:jc w:val="left"/>
            </w:pPr>
            <w:r>
              <w:t xml:space="preserve">Yes</w:t>
            </w:r>
          </w:p>
        </w:tc>
      </w:tr>
      <w:tr>
        <w:tc>
          <w:p>
            <w:pPr>
              <w:pStyle w:val="Compact"/>
              <w:jc w:val="left"/>
            </w:pPr>
            <w:r>
              <w:t xml:space="preserve">South Dakota</w:t>
            </w:r>
          </w:p>
        </w:tc>
        <w:tc>
          <w:p>
            <w:pPr>
              <w:pStyle w:val="Compact"/>
              <w:jc w:val="left"/>
            </w:pPr>
            <w:r>
              <w:t xml:space="preserve">2007</w:t>
            </w:r>
          </w:p>
        </w:tc>
        <w:tc>
          <w:p>
            <w:pPr>
              <w:pStyle w:val="Compact"/>
              <w:jc w:val="left"/>
            </w:pPr>
            <w:r>
              <w:t xml:space="preserve">K-12 courses</w:t>
            </w:r>
          </w:p>
        </w:tc>
        <w:tc>
          <w:p>
            <w:pPr>
              <w:pStyle w:val="Compact"/>
              <w:jc w:val="left"/>
            </w:pPr>
            <w:r>
              <w:t xml:space="preserve">No</w:t>
            </w:r>
          </w:p>
        </w:tc>
        <w:tc>
          <w:p>
            <w:pPr>
              <w:pStyle w:val="Compact"/>
              <w:jc w:val="left"/>
            </w:pPr>
            <w:r>
              <w:t xml:space="preserve">Advisory council</w:t>
            </w:r>
          </w:p>
        </w:tc>
      </w:tr>
      <w:tr>
        <w:tc>
          <w:p>
            <w:pPr>
              <w:pStyle w:val="Compact"/>
              <w:jc w:val="left"/>
            </w:pPr>
            <w:r>
              <w:t xml:space="preserve">North Dakota</w:t>
            </w:r>
          </w:p>
        </w:tc>
        <w:tc>
          <w:p>
            <w:pPr>
              <w:pStyle w:val="Compact"/>
              <w:jc w:val="left"/>
            </w:pPr>
            <w:r>
              <w:t xml:space="preserve">2021</w:t>
            </w:r>
          </w:p>
        </w:tc>
        <w:tc>
          <w:p>
            <w:pPr>
              <w:pStyle w:val="Compact"/>
              <w:jc w:val="left"/>
            </w:pPr>
            <w:r>
              <w:t xml:space="preserve">K-12</w:t>
            </w:r>
          </w:p>
        </w:tc>
        <w:tc>
          <w:p>
            <w:pPr>
              <w:pStyle w:val="Compact"/>
              <w:jc w:val="left"/>
            </w:pPr>
            <w:r>
              <w:t xml:space="preserve">No</w:t>
            </w:r>
          </w:p>
        </w:tc>
        <w:tc>
          <w:p>
            <w:pPr>
              <w:pStyle w:val="Compact"/>
              <w:jc w:val="left"/>
            </w:pPr>
            <w:r>
              <w:t xml:space="preserve">Limited guidance</w:t>
            </w:r>
          </w:p>
        </w:tc>
      </w:tr>
      <w:tr>
        <w:tc>
          <w:p>
            <w:pPr>
              <w:pStyle w:val="Compact"/>
              <w:jc w:val="left"/>
            </w:pPr>
            <w:r>
              <w:t xml:space="preserve">Wisconsin</w:t>
            </w:r>
          </w:p>
        </w:tc>
        <w:tc>
          <w:p>
            <w:pPr>
              <w:pStyle w:val="Compact"/>
              <w:jc w:val="left"/>
            </w:pPr>
            <w:r>
              <w:t xml:space="preserve">Various</w:t>
            </w:r>
          </w:p>
        </w:tc>
        <w:tc>
          <w:p>
            <w:pPr>
              <w:pStyle w:val="Compact"/>
              <w:jc w:val="left"/>
            </w:pPr>
            <w:r>
              <w:t xml:space="preserve">Social studies focus</w:t>
            </w:r>
          </w:p>
        </w:tc>
        <w:tc>
          <w:p>
            <w:pPr>
              <w:pStyle w:val="Compact"/>
              <w:jc w:val="left"/>
            </w:pPr>
            <w:r>
              <w:t xml:space="preserve">No</w:t>
            </w:r>
          </w:p>
        </w:tc>
        <w:tc>
          <w:p>
            <w:pPr>
              <w:pStyle w:val="Compact"/>
              <w:jc w:val="left"/>
            </w:pPr>
            <w:r>
              <w:t xml:space="preserve">Limited</w:t>
            </w:r>
          </w:p>
        </w:tc>
      </w:tr>
      <w:tr>
        <w:tc>
          <w:p>
            <w:pPr>
              <w:pStyle w:val="Compact"/>
              <w:jc w:val="left"/>
            </w:pPr>
            <w:r>
              <w:t xml:space="preserve">Connecticut</w:t>
            </w:r>
          </w:p>
        </w:tc>
        <w:tc>
          <w:p>
            <w:pPr>
              <w:pStyle w:val="Compact"/>
              <w:jc w:val="left"/>
            </w:pPr>
            <w:r>
              <w:t xml:space="preserve">2023</w:t>
            </w:r>
          </w:p>
        </w:tc>
        <w:tc>
          <w:p>
            <w:pPr>
              <w:pStyle w:val="Compact"/>
              <w:jc w:val="left"/>
            </w:pPr>
            <w:r>
              <w:t xml:space="preserve">Coursework requirement</w:t>
            </w:r>
          </w:p>
        </w:tc>
        <w:tc>
          <w:p>
            <w:pPr>
              <w:pStyle w:val="Compact"/>
              <w:jc w:val="left"/>
            </w:pPr>
            <w:r>
              <w:t xml:space="preserve">No</w:t>
            </w:r>
          </w:p>
        </w:tc>
        <w:tc>
          <w:p>
            <w:pPr>
              <w:pStyle w:val="Compact"/>
              <w:jc w:val="left"/>
            </w:pPr>
            <w:r>
              <w:t xml:space="preserve">Limited</w:t>
            </w:r>
          </w:p>
        </w:tc>
      </w:tr>
    </w:tbl>
    <w:p>
      <w:pPr>
        <w:pStyle w:val="Heading2"/>
      </w:pPr>
      <w:bookmarkStart w:id="60" w:name="appendix-c-ethnomathematics-concept-map"/>
      <w:r>
        <w:t xml:space="preserve">APPENDIX C: Ethnomathematics Concept Map</w:t>
      </w:r>
      <w:bookmarkEnd w:id="60"/>
    </w:p>
    <w:p>
      <w:pPr>
        <w:pStyle w:val="FirstParagraph"/>
      </w:pPr>
      <w:r>
        <w:rPr>
          <w:b/>
        </w:rPr>
        <w:t xml:space="preserve">What is ethnomathematics?</w:t>
      </w:r>
      <w:r>
        <w:t xml:space="preserve"> Term coined by Ubiratan D’Ambrosio (1986). “Ethno” = cultural knowledge (language, values, beliefs, practices). “Mathema” = learning and understanding abstract patterns. “Tics” = practical methods and tools for problem-solving.</w:t>
      </w:r>
    </w:p>
    <w:p>
      <w:pPr>
        <w:pStyle w:val="BodyText"/>
      </w:pPr>
      <w:r>
        <w:rPr>
          <w:b/>
        </w:rPr>
        <w:t xml:space="preserve">Core claim:</w:t>
      </w:r>
      <w:r>
        <w:t xml:space="preserve"> Mathematics is not a universal, culture-free abstraction. It continuously evolves through the needs, practices, and worldviews of different societies. Every culture has developed mathematical thinking — the question is whether schools recognize and value it.</w:t>
      </w:r>
    </w:p>
    <w:p>
      <w:pPr>
        <w:pStyle w:val="BodyText"/>
      </w:pPr>
      <w:r>
        <w:rPr>
          <w:b/>
        </w:rPr>
        <w:t xml:space="preserve">For the Digester:</w:t>
      </w:r>
      <w:r>
        <w:t xml:space="preserve"> This framing is important. The system should not present Indigenous math as “enrichment” or “cultural decoration” on top of “real math.” It should present it as an equally valid mathematical tradition that connects to and illuminates the standard curriculum.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7">
    <w:nsid w:val="b3cbbdee"/>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0">
    <w:nsid w:val="4fbe019a"/>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Arial" w:eastAsia="Arial" w:hAnsi="Arial" w:cs="Arial"/>
      <w:b/>
      <w:bCs/>
      <w:color w:val="1B4332"/>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Arial" w:eastAsia="Arial" w:hAnsi="Arial" w:cs="Arial"/>
      <w:b/>
      <w:bCs/>
      <w:color w:val="2D6A4F"/>
      <w:sz w:val="32"/>
      <w:szCs w:val="32"/>
    </w:rPr>
  </w:style>
  <w:style w:type="paragraph" w:styleId="Heading2">
    <w:name w:val="Heading 2"/>
    <w:basedOn w:val="Normal"/>
    <w:next w:val="BodyText"/>
    <w:uiPriority w:val="9"/>
    <w:unhideWhenUsed/>
    <w:qFormat/>
    <w:pPr>
      <w:keepNext/>
      <w:keepLines/>
      <w:spacing w:before="200" w:after="0"/>
      <w:outlineLvl w:val="1"/>
    </w:pPr>
    <w:rPr>
      <w:rFonts w:ascii="Arial" w:eastAsia="Arial" w:hAnsi="Arial" w:cs="Arial"/>
      <w:b/>
      <w:bCs/>
      <w:color w:val="2D6A4F"/>
      <w:sz w:val="28"/>
      <w:szCs w:val="28"/>
    </w:rPr>
  </w:style>
  <w:style w:type="paragraph" w:styleId="Heading3">
    <w:name w:val="Heading 3"/>
    <w:basedOn w:val="Normal"/>
    <w:next w:val="BodyText"/>
    <w:uiPriority w:val="9"/>
    <w:unhideWhenUsed/>
    <w:qFormat/>
    <w:pPr>
      <w:keepNext/>
      <w:keepLines/>
      <w:spacing w:before="200" w:after="0"/>
      <w:outlineLvl w:val="2"/>
    </w:pPr>
    <w:rPr>
      <w:rFonts w:ascii="Arial" w:eastAsia="Arial" w:hAnsi="Arial" w:cs="Arial"/>
      <w:b/>
      <w:bCs/>
      <w:color w:val="2D6A4F"/>
      <w:sz w:val="24"/>
      <w:szCs w:val="24"/>
    </w:rPr>
  </w:style>
  <w:style w:type="paragraph" w:styleId="Heading4">
    <w:name w:val="Heading 4"/>
    <w:basedOn w:val="Normal"/>
    <w:next w:val="BodyText"/>
    <w:uiPriority w:val="9"/>
    <w:unhideWhenUsed/>
    <w:qFormat/>
    <w:pPr>
      <w:keepNext/>
      <w:keepLines/>
      <w:spacing w:before="200" w:after="0"/>
      <w:outlineLvl w:val="3"/>
    </w:pPr>
    <w:rPr>
      <w:rFonts w:ascii="Arial" w:eastAsia="Arial" w:hAnsi="Arial" w:cs="Arial"/>
      <w:i/>
      <w:bCs/>
      <w:color w:val="2D6A4F"/>
      <w:sz w:val="24"/>
      <w:szCs w:val="24"/>
    </w:rPr>
  </w:style>
  <w:style w:type="paragraph" w:styleId="Heading5">
    <w:name w:val="Heading 5"/>
    <w:basedOn w:val="Normal"/>
    <w:next w:val="BodyText"/>
    <w:uiPriority w:val="9"/>
    <w:unhideWhenUsed/>
    <w:qFormat/>
    <w:pPr>
      <w:keepNext/>
      <w:keepLines/>
      <w:spacing w:before="200" w:after="0"/>
      <w:outlineLvl w:val="4"/>
    </w:pPr>
    <w:rPr>
      <w:rFonts w:ascii="Arial" w:eastAsia="Arial" w:hAnsi="Arial" w:cs="Arial"/>
      <w:iCs/>
      <w:color w:val="2D6A4F"/>
      <w:sz w:val="24"/>
      <w:szCs w:val="24"/>
    </w:rPr>
  </w:style>
  <w:style w:type="paragraph" w:styleId="Heading6">
    <w:name w:val="Heading 6"/>
    <w:basedOn w:val="Normal"/>
    <w:next w:val="BodyText"/>
    <w:uiPriority w:val="9"/>
    <w:unhideWhenUsed/>
    <w:qFormat/>
    <w:pPr>
      <w:keepNext/>
      <w:keepLines/>
      <w:spacing w:before="200" w:after="0"/>
      <w:outlineLvl w:val="5"/>
    </w:pPr>
    <w:rPr>
      <w:rFonts w:ascii="Arial" w:eastAsia="Arial" w:hAnsi="Arial" w:cs="Arial"/>
      <w:color w:val="2D6A4F"/>
      <w:sz w:val="24"/>
      <w:szCs w:val="24"/>
    </w:rPr>
  </w:style>
  <w:style w:type="paragraph" w:styleId="Heading7">
    <w:name w:val="Heading 7"/>
    <w:basedOn w:val="Normal"/>
    <w:next w:val="BodyText"/>
    <w:uiPriority w:val="9"/>
    <w:unhideWhenUsed/>
    <w:qFormat/>
    <w:pPr>
      <w:keepNext/>
      <w:keepLines/>
      <w:spacing w:before="200" w:after="0"/>
      <w:outlineLvl w:val="6"/>
    </w:pPr>
    <w:rPr>
      <w:rFonts w:ascii="Arial" w:eastAsia="Arial" w:hAnsi="Arial" w:cs="Arial"/>
      <w:color w:val="2D6A4F"/>
      <w:sz w:val="24"/>
      <w:szCs w:val="24"/>
    </w:rPr>
  </w:style>
  <w:style w:type="paragraph" w:styleId="Heading8">
    <w:name w:val="Heading 8"/>
    <w:basedOn w:val="Normal"/>
    <w:next w:val="BodyText"/>
    <w:uiPriority w:val="9"/>
    <w:unhideWhenUsed/>
    <w:qFormat/>
    <w:pPr>
      <w:keepNext/>
      <w:keepLines/>
      <w:spacing w:before="200" w:after="0"/>
      <w:outlineLvl w:val="7"/>
    </w:pPr>
    <w:rPr>
      <w:rFonts w:ascii="Arial" w:eastAsia="Arial" w:hAnsi="Arial" w:cs="Arial"/>
      <w:color w:val="2D6A4F"/>
      <w:sz w:val="24"/>
      <w:szCs w:val="24"/>
    </w:rPr>
  </w:style>
  <w:style w:type="paragraph" w:styleId="Heading9">
    <w:name w:val="Heading 9"/>
    <w:basedOn w:val="Normal"/>
    <w:next w:val="BodyText"/>
    <w:uiPriority w:val="9"/>
    <w:unhideWhenUsed/>
    <w:qFormat/>
    <w:pPr>
      <w:keepNext/>
      <w:keepLines/>
      <w:spacing w:before="200" w:after="0"/>
      <w:outlineLvl w:val="8"/>
    </w:pPr>
    <w:rPr>
      <w:rFonts w:ascii="Arial" w:eastAsia="Arial" w:hAnsi="Arial" w:cs="Arial"/>
      <w:color w:val="2D6A4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2D6A4F"/>
    </w:rPr>
  </w:style>
  <w:style w:type="paragraph" w:styleId="TOCHeading">
    <w:name w:val="TOC Heading"/>
    <w:basedOn w:val="Heading1"/>
    <w:next w:val="BodyText"/>
    <w:uiPriority w:val="39"/>
    <w:unhideWhenUsed/>
    <w:qFormat/>
    <w:pPr>
      <w:spacing w:before="240" w:line="259" w:lineRule="auto"/>
      <w:outlineLvl w:val="9"/>
    </w:pPr>
    <w:rPr>
      <w:rFonts w:ascii="Arial" w:eastAsia="Arial" w:hAnsi="Arial" w:cs="Arial"/>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2026-03-15T13:20:20Z</dcterms:created>
  <dcterms:modified xsi:type="dcterms:W3CDTF">2026-03-15T13:20:20Z</dcterms:modified>
</cp:coreProperties>
</file>

<file path=docProps/custom.xml><?xml version="1.0" encoding="utf-8"?>
<Properties xmlns="http://schemas.openxmlformats.org/officeDocument/2006/custom-properties" xmlns:vt="http://schemas.openxmlformats.org/officeDocument/2006/docPropsVTypes"/>
</file>