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A1A2E"/>
          <w:sz w:val="72"/>
        </w:rPr>
        <w:t>VINCULUM Hub</w:t>
      </w:r>
    </w:p>
    <w:p>
      <w:pPr>
        <w:jc w:val="center"/>
      </w:pPr>
      <w:r>
        <w:rPr>
          <w:color w:val="555577"/>
          <w:sz w:val="32"/>
        </w:rPr>
        <w:t>K–12 Interactive Math Tools Platform</w:t>
      </w:r>
    </w:p>
    <w:p/>
    <w:p>
      <w:pPr>
        <w:jc w:val="center"/>
      </w:pPr>
      <w:r>
        <w:rPr>
          <w:b/>
          <w:color w:val="2D2D44"/>
          <w:sz w:val="48"/>
        </w:rPr>
        <w:t>Project Status Report</w:t>
      </w:r>
    </w:p>
    <w:p/>
    <w:p>
      <w:pPr>
        <w:jc w:val="center"/>
      </w:pPr>
      <w:r>
        <w:rPr>
          <w:color w:val="666666"/>
          <w:sz w:val="24"/>
        </w:rPr>
        <w:t>March 15, 2026</w:t>
      </w:r>
    </w:p>
    <w:p>
      <w:pPr>
        <w:jc w:val="center"/>
      </w:pPr>
      <w:r>
        <w:rPr>
          <w:color w:val="666666"/>
          <w:sz w:val="24"/>
        </w:rPr>
        <w:t>discrafty-cpu.github.io/vinculum-hub</w:t>
      </w:r>
    </w:p>
    <w:p>
      <w:pPr>
        <w:jc w:val="center"/>
      </w:pPr>
      <w:r>
        <w:rPr>
          <w:color w:val="666666"/>
          <w:sz w:val="24"/>
        </w:rPr>
        <w:t>github.com/discrafty-cpu/vinculum-hub</w:t>
      </w:r>
    </w:p>
    <w:p>
      <w:r>
        <w:br w:type="page"/>
      </w:r>
    </w:p>
    <w:p>
      <w:pPr>
        <w:pStyle w:val="Heading1"/>
      </w:pPr>
      <w:r>
        <w:t>1. Executive Summary</w:t>
      </w:r>
    </w:p>
    <w:p>
      <w:r>
        <w:t>VINCULUM Hub is a browser-based, open-source platform of interactive math tools for grades K–4, deployed on GitHub Pages. The platform currently contains 91 standalone HTML tools organized across 5 grade levels, supported by a shared design system (vinculum-core.css with 14 themes) and a chain of 12 JavaScript modules.</w:t>
      </w:r>
    </w:p>
    <w:p>
      <w:r>
        <w:t>All tools follow the CRA (Concrete–Representational–Abstract) instructional model with three modes: Explore, Practice, and Play. The platform is designed to scale to K–12 and incorporates Minnesota statute 120B.021 compliance for Dakota and Anishinaabe cultural integration (required by 2027–28).</w:t>
      </w:r>
    </w:p>
    <w:p>
      <w:r>
        <w:t>The codebase has recently undergone a major standardization pass. All 91 tools now pass 6 automated validation checks: vinculum-core.css reference, vinculum-input.js, vinculum-feedback.js, vinculum-header class, feedback div presence, and no legacy CSS classes.</w:t>
      </w:r>
    </w:p>
    <w:p>
      <w:pPr>
        <w:pStyle w:val="Heading1"/>
      </w:pPr>
      <w:r>
        <w:t>2. Current Inventory</w:t>
      </w:r>
    </w:p>
    <w:p>
      <w:pPr>
        <w:pStyle w:val="Heading2"/>
      </w:pPr>
      <w:r>
        <w:t>2a. Tools by Grade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160"/>
            <w:shd w:fill="1A1A2E" w:val="clear"/>
          </w:tcPr>
          <w:p>
            <w:r/>
            <w:r>
              <w:rPr>
                <w:rFonts w:ascii="Arial" w:hAnsi="Arial"/>
                <w:b/>
                <w:color w:val="FFFFFF"/>
                <w:sz w:val="20"/>
              </w:rPr>
              <w:t>Grade</w:t>
            </w:r>
          </w:p>
        </w:tc>
        <w:tc>
          <w:tcPr>
            <w:tcW w:type="dxa" w:w="1440"/>
            <w:shd w:fill="1A1A2E" w:val="clear"/>
          </w:tcPr>
          <w:p>
            <w:r/>
            <w:r>
              <w:rPr>
                <w:rFonts w:ascii="Arial" w:hAnsi="Arial"/>
                <w:b/>
                <w:color w:val="FFFFFF"/>
                <w:sz w:val="20"/>
              </w:rPr>
              <w:t>Tools</w:t>
            </w:r>
          </w:p>
        </w:tc>
        <w:tc>
          <w:tcPr>
            <w:tcW w:type="dxa" w:w="3600"/>
            <w:shd w:fill="1A1A2E" w:val="clear"/>
          </w:tcPr>
          <w:p>
            <w:r/>
            <w:r>
              <w:rPr>
                <w:rFonts w:ascii="Arial" w:hAnsi="Arial"/>
                <w:b/>
                <w:color w:val="FFFFFF"/>
                <w:sz w:val="20"/>
              </w:rPr>
              <w:t>CCSS Domains</w:t>
            </w:r>
          </w:p>
        </w:tc>
        <w:tc>
          <w:tcPr>
            <w:tcW w:type="dxa" w:w="2160"/>
            <w:shd w:fill="1A1A2E" w:val="clear"/>
          </w:tcPr>
          <w:p>
            <w:r/>
            <w:r>
              <w:rPr>
                <w:rFonts w:ascii="Arial" w:hAnsi="Arial"/>
                <w:b/>
                <w:color w:val="FFFFFF"/>
                <w:sz w:val="20"/>
              </w:rPr>
              <w:t>Status</w:t>
            </w:r>
          </w:p>
        </w:tc>
      </w:tr>
      <w:tr>
        <w:tc>
          <w:tcPr>
            <w:tcW w:type="dxa" w:w="2160"/>
          </w:tcPr>
          <w:p>
            <w:r/>
            <w:r>
              <w:rPr>
                <w:rFonts w:ascii="Arial" w:hAnsi="Arial"/>
                <w:b/>
                <w:sz w:val="20"/>
              </w:rPr>
              <w:t>Kindergarten</w:t>
            </w:r>
          </w:p>
        </w:tc>
        <w:tc>
          <w:tcPr>
            <w:tcW w:type="dxa" w:w="1440"/>
          </w:tcPr>
          <w:p>
            <w:pPr>
              <w:jc w:val="center"/>
            </w:pPr>
            <w:r/>
            <w:r>
              <w:rPr>
                <w:rFonts w:ascii="Arial" w:hAnsi="Arial"/>
                <w:sz w:val="20"/>
              </w:rPr>
              <w:t>17</w:t>
            </w:r>
          </w:p>
        </w:tc>
        <w:tc>
          <w:tcPr>
            <w:tcW w:type="dxa" w:w="3600"/>
          </w:tcPr>
          <w:p>
            <w:r/>
            <w:r>
              <w:rPr>
                <w:rFonts w:ascii="Arial" w:hAnsi="Arial"/>
                <w:sz w:val="20"/>
              </w:rPr>
              <w:t>CC, OA, NBT, MD, G</w:t>
            </w:r>
          </w:p>
        </w:tc>
        <w:tc>
          <w:tcPr>
            <w:tcW w:type="dxa" w:w="2160"/>
            <w:shd w:fill="D4EDDA" w:val="clear"/>
          </w:tcPr>
          <w:p>
            <w:pPr>
              <w:jc w:val="center"/>
            </w:pPr>
            <w:r/>
            <w:r>
              <w:rPr>
                <w:rFonts w:ascii="Arial" w:hAnsi="Arial"/>
                <w:b/>
                <w:color w:val="155724"/>
                <w:sz w:val="20"/>
              </w:rPr>
              <w:t>Complete</w:t>
            </w:r>
          </w:p>
        </w:tc>
      </w:tr>
      <w:tr>
        <w:tc>
          <w:tcPr>
            <w:tcW w:type="dxa" w:w="2160"/>
          </w:tcPr>
          <w:p>
            <w:r/>
            <w:r>
              <w:rPr>
                <w:rFonts w:ascii="Arial" w:hAnsi="Arial"/>
                <w:b/>
                <w:sz w:val="20"/>
              </w:rPr>
              <w:t>Grade 1</w:t>
            </w:r>
          </w:p>
        </w:tc>
        <w:tc>
          <w:tcPr>
            <w:tcW w:type="dxa" w:w="1440"/>
          </w:tcPr>
          <w:p>
            <w:pPr>
              <w:jc w:val="center"/>
            </w:pPr>
            <w:r/>
            <w:r>
              <w:rPr>
                <w:rFonts w:ascii="Arial" w:hAnsi="Arial"/>
                <w:sz w:val="20"/>
              </w:rPr>
              <w:t>16</w:t>
            </w:r>
          </w:p>
        </w:tc>
        <w:tc>
          <w:tcPr>
            <w:tcW w:type="dxa" w:w="3600"/>
          </w:tcPr>
          <w:p>
            <w:r/>
            <w:r>
              <w:rPr>
                <w:rFonts w:ascii="Arial" w:hAnsi="Arial"/>
                <w:sz w:val="20"/>
              </w:rPr>
              <w:t>OA, NBT, MD, G</w:t>
            </w:r>
          </w:p>
        </w:tc>
        <w:tc>
          <w:tcPr>
            <w:tcW w:type="dxa" w:w="2160"/>
            <w:shd w:fill="D4EDDA" w:val="clear"/>
          </w:tcPr>
          <w:p>
            <w:pPr>
              <w:jc w:val="center"/>
            </w:pPr>
            <w:r/>
            <w:r>
              <w:rPr>
                <w:rFonts w:ascii="Arial" w:hAnsi="Arial"/>
                <w:b/>
                <w:color w:val="155724"/>
                <w:sz w:val="20"/>
              </w:rPr>
              <w:t>Complete</w:t>
            </w:r>
          </w:p>
        </w:tc>
      </w:tr>
      <w:tr>
        <w:tc>
          <w:tcPr>
            <w:tcW w:type="dxa" w:w="2160"/>
          </w:tcPr>
          <w:p>
            <w:r/>
            <w:r>
              <w:rPr>
                <w:rFonts w:ascii="Arial" w:hAnsi="Arial"/>
                <w:b/>
                <w:sz w:val="20"/>
              </w:rPr>
              <w:t>Grade 2</w:t>
            </w:r>
          </w:p>
        </w:tc>
        <w:tc>
          <w:tcPr>
            <w:tcW w:type="dxa" w:w="1440"/>
          </w:tcPr>
          <w:p>
            <w:pPr>
              <w:jc w:val="center"/>
            </w:pPr>
            <w:r/>
            <w:r>
              <w:rPr>
                <w:rFonts w:ascii="Arial" w:hAnsi="Arial"/>
                <w:sz w:val="20"/>
              </w:rPr>
              <w:t>17</w:t>
            </w:r>
          </w:p>
        </w:tc>
        <w:tc>
          <w:tcPr>
            <w:tcW w:type="dxa" w:w="3600"/>
          </w:tcPr>
          <w:p>
            <w:r/>
            <w:r>
              <w:rPr>
                <w:rFonts w:ascii="Arial" w:hAnsi="Arial"/>
                <w:sz w:val="20"/>
              </w:rPr>
              <w:t>OA, NBT, MD, G</w:t>
            </w:r>
          </w:p>
        </w:tc>
        <w:tc>
          <w:tcPr>
            <w:tcW w:type="dxa" w:w="2160"/>
            <w:shd w:fill="D4EDDA" w:val="clear"/>
          </w:tcPr>
          <w:p>
            <w:pPr>
              <w:jc w:val="center"/>
            </w:pPr>
            <w:r/>
            <w:r>
              <w:rPr>
                <w:rFonts w:ascii="Arial" w:hAnsi="Arial"/>
                <w:b/>
                <w:color w:val="155724"/>
                <w:sz w:val="20"/>
              </w:rPr>
              <w:t>Complete</w:t>
            </w:r>
          </w:p>
        </w:tc>
      </w:tr>
      <w:tr>
        <w:tc>
          <w:tcPr>
            <w:tcW w:type="dxa" w:w="2160"/>
          </w:tcPr>
          <w:p>
            <w:r/>
            <w:r>
              <w:rPr>
                <w:rFonts w:ascii="Arial" w:hAnsi="Arial"/>
                <w:b/>
                <w:sz w:val="20"/>
              </w:rPr>
              <w:t>Grade 3</w:t>
            </w:r>
          </w:p>
        </w:tc>
        <w:tc>
          <w:tcPr>
            <w:tcW w:type="dxa" w:w="1440"/>
          </w:tcPr>
          <w:p>
            <w:pPr>
              <w:jc w:val="center"/>
            </w:pPr>
            <w:r/>
            <w:r>
              <w:rPr>
                <w:rFonts w:ascii="Arial" w:hAnsi="Arial"/>
                <w:sz w:val="20"/>
              </w:rPr>
              <w:t>20</w:t>
            </w:r>
          </w:p>
        </w:tc>
        <w:tc>
          <w:tcPr>
            <w:tcW w:type="dxa" w:w="3600"/>
          </w:tcPr>
          <w:p>
            <w:r/>
            <w:r>
              <w:rPr>
                <w:rFonts w:ascii="Arial" w:hAnsi="Arial"/>
                <w:sz w:val="20"/>
              </w:rPr>
              <w:t>OA, NBT, NF, MD, G</w:t>
            </w:r>
          </w:p>
        </w:tc>
        <w:tc>
          <w:tcPr>
            <w:tcW w:type="dxa" w:w="2160"/>
            <w:shd w:fill="D4EDDA" w:val="clear"/>
          </w:tcPr>
          <w:p>
            <w:pPr>
              <w:jc w:val="center"/>
            </w:pPr>
            <w:r/>
            <w:r>
              <w:rPr>
                <w:rFonts w:ascii="Arial" w:hAnsi="Arial"/>
                <w:b/>
                <w:color w:val="155724"/>
                <w:sz w:val="20"/>
              </w:rPr>
              <w:t>Complete</w:t>
            </w:r>
          </w:p>
        </w:tc>
      </w:tr>
      <w:tr>
        <w:tc>
          <w:tcPr>
            <w:tcW w:type="dxa" w:w="2160"/>
          </w:tcPr>
          <w:p>
            <w:r/>
            <w:r>
              <w:rPr>
                <w:rFonts w:ascii="Arial" w:hAnsi="Arial"/>
                <w:b/>
                <w:sz w:val="20"/>
              </w:rPr>
              <w:t>Grade 4</w:t>
            </w:r>
          </w:p>
        </w:tc>
        <w:tc>
          <w:tcPr>
            <w:tcW w:type="dxa" w:w="1440"/>
          </w:tcPr>
          <w:p>
            <w:pPr>
              <w:jc w:val="center"/>
            </w:pPr>
            <w:r/>
            <w:r>
              <w:rPr>
                <w:rFonts w:ascii="Arial" w:hAnsi="Arial"/>
                <w:sz w:val="20"/>
              </w:rPr>
              <w:t>20</w:t>
            </w:r>
          </w:p>
        </w:tc>
        <w:tc>
          <w:tcPr>
            <w:tcW w:type="dxa" w:w="3600"/>
          </w:tcPr>
          <w:p>
            <w:r/>
            <w:r>
              <w:rPr>
                <w:rFonts w:ascii="Arial" w:hAnsi="Arial"/>
                <w:sz w:val="20"/>
              </w:rPr>
              <w:t>OA, NBT, NF, MD, G</w:t>
            </w:r>
          </w:p>
        </w:tc>
        <w:tc>
          <w:tcPr>
            <w:tcW w:type="dxa" w:w="2160"/>
            <w:shd w:fill="D4EDDA" w:val="clear"/>
          </w:tcPr>
          <w:p>
            <w:pPr>
              <w:jc w:val="center"/>
            </w:pPr>
            <w:r/>
            <w:r>
              <w:rPr>
                <w:rFonts w:ascii="Arial" w:hAnsi="Arial"/>
                <w:b/>
                <w:color w:val="155724"/>
                <w:sz w:val="20"/>
              </w:rPr>
              <w:t>Complete</w:t>
            </w:r>
          </w:p>
        </w:tc>
      </w:tr>
      <w:tr>
        <w:tc>
          <w:tcPr>
            <w:tcW w:type="dxa" w:w="2160"/>
          </w:tcPr>
          <w:p>
            <w:r/>
            <w:r>
              <w:rPr>
                <w:rFonts w:ascii="Arial" w:hAnsi="Arial"/>
                <w:b/>
                <w:sz w:val="20"/>
              </w:rPr>
              <w:t>Grade 5</w:t>
            </w:r>
          </w:p>
        </w:tc>
        <w:tc>
          <w:tcPr>
            <w:tcW w:type="dxa" w:w="1440"/>
          </w:tcPr>
          <w:p>
            <w:pPr>
              <w:jc w:val="center"/>
            </w:pPr>
            <w:r/>
            <w:r>
              <w:rPr>
                <w:rFonts w:ascii="Arial" w:hAnsi="Arial"/>
                <w:sz w:val="20"/>
              </w:rPr>
              <w:t>0</w:t>
            </w:r>
          </w:p>
        </w:tc>
        <w:tc>
          <w:tcPr>
            <w:tcW w:type="dxa" w:w="3600"/>
          </w:tcPr>
          <w:p>
            <w:r/>
            <w:r>
              <w:rPr>
                <w:rFonts w:ascii="Arial" w:hAnsi="Arial"/>
                <w:sz w:val="20"/>
              </w:rPr>
              <w:t>—</w:t>
            </w:r>
          </w:p>
        </w:tc>
        <w:tc>
          <w:tcPr>
            <w:tcW w:type="dxa" w:w="2160"/>
            <w:shd w:fill="F8D7DA" w:val="clear"/>
          </w:tcPr>
          <w:p>
            <w:pPr>
              <w:jc w:val="center"/>
            </w:pPr>
            <w:r/>
            <w:r>
              <w:rPr>
                <w:rFonts w:ascii="Arial" w:hAnsi="Arial"/>
                <w:b/>
                <w:color w:val="721C24"/>
                <w:sz w:val="20"/>
              </w:rPr>
              <w:t>Not Started</w:t>
            </w:r>
          </w:p>
        </w:tc>
      </w:tr>
      <w:tr>
        <w:tc>
          <w:tcPr>
            <w:tcW w:type="dxa" w:w="2160"/>
          </w:tcPr>
          <w:p>
            <w:r/>
            <w:r>
              <w:rPr>
                <w:rFonts w:ascii="Arial" w:hAnsi="Arial"/>
                <w:b/>
                <w:sz w:val="20"/>
              </w:rPr>
              <w:t>Grades 6–12</w:t>
            </w:r>
          </w:p>
        </w:tc>
        <w:tc>
          <w:tcPr>
            <w:tcW w:type="dxa" w:w="1440"/>
          </w:tcPr>
          <w:p>
            <w:pPr>
              <w:jc w:val="center"/>
            </w:pPr>
            <w:r/>
            <w:r>
              <w:rPr>
                <w:rFonts w:ascii="Arial" w:hAnsi="Arial"/>
                <w:sz w:val="20"/>
              </w:rPr>
              <w:t>0</w:t>
            </w:r>
          </w:p>
        </w:tc>
        <w:tc>
          <w:tcPr>
            <w:tcW w:type="dxa" w:w="3600"/>
          </w:tcPr>
          <w:p>
            <w:r/>
            <w:r>
              <w:rPr>
                <w:rFonts w:ascii="Arial" w:hAnsi="Arial"/>
                <w:sz w:val="20"/>
              </w:rPr>
              <w:t>—</w:t>
            </w:r>
          </w:p>
        </w:tc>
        <w:tc>
          <w:tcPr>
            <w:tcW w:type="dxa" w:w="2160"/>
            <w:shd w:fill="F8D7DA" w:val="clear"/>
          </w:tcPr>
          <w:p>
            <w:pPr>
              <w:jc w:val="center"/>
            </w:pPr>
            <w:r/>
            <w:r>
              <w:rPr>
                <w:rFonts w:ascii="Arial" w:hAnsi="Arial"/>
                <w:b/>
                <w:color w:val="721C24"/>
                <w:sz w:val="20"/>
              </w:rPr>
              <w:t>Not Started</w:t>
            </w:r>
          </w:p>
        </w:tc>
      </w:tr>
      <w:tr>
        <w:tc>
          <w:tcPr>
            <w:tcW w:type="dxa" w:w="2160"/>
          </w:tcPr>
          <w:p>
            <w:r/>
            <w:r>
              <w:rPr>
                <w:rFonts w:ascii="Arial" w:hAnsi="Arial"/>
                <w:b/>
                <w:sz w:val="20"/>
              </w:rPr>
              <w:t>TOTAL</w:t>
            </w:r>
          </w:p>
        </w:tc>
        <w:tc>
          <w:tcPr>
            <w:tcW w:type="dxa" w:w="1440"/>
          </w:tcPr>
          <w:p>
            <w:pPr>
              <w:jc w:val="center"/>
            </w:pPr>
            <w:r/>
            <w:r>
              <w:rPr>
                <w:rFonts w:ascii="Arial" w:hAnsi="Arial"/>
                <w:b/>
                <w:sz w:val="20"/>
              </w:rPr>
              <w:t>91 + 1 template</w:t>
            </w:r>
          </w:p>
        </w:tc>
        <w:tc>
          <w:tcPr>
            <w:tcW w:type="dxa" w:w="3600"/>
          </w:tcPr>
          <w:p>
            <w:r/>
            <w:r>
              <w:rPr>
                <w:rFonts w:ascii="Arial" w:hAnsi="Arial"/>
                <w:sz w:val="20"/>
              </w:rPr>
            </w:r>
          </w:p>
        </w:tc>
        <w:tc>
          <w:tcPr>
            <w:tcW w:type="dxa" w:w="2160"/>
          </w:tcPr>
          <w:p>
            <w:r/>
            <w:r>
              <w:rPr>
                <w:rFonts w:ascii="Arial" w:hAnsi="Arial"/>
                <w:sz w:val="20"/>
              </w:rPr>
            </w:r>
          </w:p>
        </w:tc>
      </w:tr>
    </w:tbl>
    <w:p/>
    <w:p>
      <w:pPr>
        <w:pStyle w:val="Heading2"/>
      </w:pPr>
      <w:r>
        <w:t>2b. Shared Module Chain (12 modules, 197 KB total)</w:t>
      </w:r>
    </w:p>
    <w:p>
      <w:r>
        <w:t>Each tool loads shared files from the repository root. "Loaded" means the script tag is present in all 91 tools. "Wired" would mean the tool’s inline JS has been replaced with calls to the shared API. Currently most modules are loaded but not yet wired — this is the next refactoring step.</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880"/>
            <w:shd w:fill="1A1A2E" w:val="clear"/>
          </w:tcPr>
          <w:p>
            <w:r/>
            <w:r>
              <w:rPr>
                <w:rFonts w:ascii="Arial" w:hAnsi="Arial"/>
                <w:b/>
                <w:color w:val="FFFFFF"/>
                <w:sz w:val="20"/>
              </w:rPr>
              <w:t>Module</w:t>
            </w:r>
          </w:p>
        </w:tc>
        <w:tc>
          <w:tcPr>
            <w:tcW w:type="dxa" w:w="1008"/>
            <w:shd w:fill="1A1A2E" w:val="clear"/>
          </w:tcPr>
          <w:p>
            <w:r/>
            <w:r>
              <w:rPr>
                <w:rFonts w:ascii="Arial" w:hAnsi="Arial"/>
                <w:b/>
                <w:color w:val="FFFFFF"/>
                <w:sz w:val="20"/>
              </w:rPr>
              <w:t>Size</w:t>
            </w:r>
          </w:p>
        </w:tc>
        <w:tc>
          <w:tcPr>
            <w:tcW w:type="dxa" w:w="3600"/>
            <w:shd w:fill="1A1A2E" w:val="clear"/>
          </w:tcPr>
          <w:p>
            <w:r/>
            <w:r>
              <w:rPr>
                <w:rFonts w:ascii="Arial" w:hAnsi="Arial"/>
                <w:b/>
                <w:color w:val="FFFFFF"/>
                <w:sz w:val="20"/>
              </w:rPr>
              <w:t>Purpose</w:t>
            </w:r>
          </w:p>
        </w:tc>
        <w:tc>
          <w:tcPr>
            <w:tcW w:type="dxa" w:w="1872"/>
            <w:shd w:fill="1A1A2E" w:val="clear"/>
          </w:tcPr>
          <w:p>
            <w:r/>
            <w:r>
              <w:rPr>
                <w:rFonts w:ascii="Arial" w:hAnsi="Arial"/>
                <w:b/>
                <w:color w:val="FFFFFF"/>
                <w:sz w:val="20"/>
              </w:rPr>
              <w:t>Status</w:t>
            </w:r>
          </w:p>
        </w:tc>
      </w:tr>
      <w:tr>
        <w:tc>
          <w:tcPr>
            <w:tcW w:type="dxa" w:w="2880"/>
          </w:tcPr>
          <w:p>
            <w:r/>
            <w:r>
              <w:rPr>
                <w:rFonts w:ascii="Arial" w:hAnsi="Arial"/>
                <w:b/>
                <w:sz w:val="20"/>
              </w:rPr>
              <w:t>vinculum-core.css</w:t>
            </w:r>
          </w:p>
        </w:tc>
        <w:tc>
          <w:tcPr>
            <w:tcW w:type="dxa" w:w="1008"/>
          </w:tcPr>
          <w:p>
            <w:r/>
            <w:r>
              <w:rPr>
                <w:rFonts w:ascii="Arial" w:hAnsi="Arial"/>
                <w:sz w:val="20"/>
              </w:rPr>
              <w:t>24 KB</w:t>
            </w:r>
          </w:p>
        </w:tc>
        <w:tc>
          <w:tcPr>
            <w:tcW w:type="dxa" w:w="3600"/>
          </w:tcPr>
          <w:p>
            <w:r/>
            <w:r>
              <w:rPr>
                <w:rFonts w:ascii="Arial" w:hAnsi="Arial"/>
                <w:sz w:val="20"/>
              </w:rPr>
              <w:t>Design system, 14 themes, CSS variables</w:t>
            </w:r>
          </w:p>
        </w:tc>
        <w:tc>
          <w:tcPr>
            <w:tcW w:type="dxa" w:w="1872"/>
            <w:shd w:fill="D4EDDA" w:val="clear"/>
          </w:tcPr>
          <w:p>
            <w:pPr>
              <w:jc w:val="center"/>
            </w:pPr>
            <w:r/>
            <w:r>
              <w:rPr>
                <w:rFonts w:ascii="Arial" w:hAnsi="Arial"/>
                <w:b/>
                <w:color w:val="155724"/>
                <w:sz w:val="20"/>
              </w:rPr>
              <w:t>Complete</w:t>
            </w:r>
          </w:p>
        </w:tc>
      </w:tr>
      <w:tr>
        <w:tc>
          <w:tcPr>
            <w:tcW w:type="dxa" w:w="2880"/>
          </w:tcPr>
          <w:p>
            <w:r/>
            <w:r>
              <w:rPr>
                <w:rFonts w:ascii="Arial" w:hAnsi="Arial"/>
                <w:b/>
                <w:sz w:val="20"/>
              </w:rPr>
              <w:t>vinculum-core.js</w:t>
            </w:r>
          </w:p>
        </w:tc>
        <w:tc>
          <w:tcPr>
            <w:tcW w:type="dxa" w:w="1008"/>
          </w:tcPr>
          <w:p>
            <w:r/>
            <w:r>
              <w:rPr>
                <w:rFonts w:ascii="Arial" w:hAnsi="Arial"/>
                <w:sz w:val="20"/>
              </w:rPr>
              <w:t>11 KB</w:t>
            </w:r>
          </w:p>
        </w:tc>
        <w:tc>
          <w:tcPr>
            <w:tcW w:type="dxa" w:w="3600"/>
          </w:tcPr>
          <w:p>
            <w:r/>
            <w:r>
              <w:rPr>
                <w:rFonts w:ascii="Arial" w:hAnsi="Arial"/>
                <w:sz w:val="20"/>
              </w:rPr>
              <w:t>Theme switching, hub navigation, utilities</w:t>
            </w:r>
          </w:p>
        </w:tc>
        <w:tc>
          <w:tcPr>
            <w:tcW w:type="dxa" w:w="1872"/>
            <w:shd w:fill="D4EDDA" w:val="clear"/>
          </w:tcPr>
          <w:p>
            <w:pPr>
              <w:jc w:val="center"/>
            </w:pPr>
            <w:r/>
            <w:r>
              <w:rPr>
                <w:rFonts w:ascii="Arial" w:hAnsi="Arial"/>
                <w:b/>
                <w:color w:val="155724"/>
                <w:sz w:val="20"/>
              </w:rPr>
              <w:t>Loaded</w:t>
            </w:r>
          </w:p>
        </w:tc>
      </w:tr>
      <w:tr>
        <w:tc>
          <w:tcPr>
            <w:tcW w:type="dxa" w:w="2880"/>
          </w:tcPr>
          <w:p>
            <w:r/>
            <w:r>
              <w:rPr>
                <w:rFonts w:ascii="Arial" w:hAnsi="Arial"/>
                <w:b/>
                <w:sz w:val="20"/>
              </w:rPr>
              <w:t>vinculum-data.js</w:t>
            </w:r>
          </w:p>
        </w:tc>
        <w:tc>
          <w:tcPr>
            <w:tcW w:type="dxa" w:w="1008"/>
          </w:tcPr>
          <w:p>
            <w:r/>
            <w:r>
              <w:rPr>
                <w:rFonts w:ascii="Arial" w:hAnsi="Arial"/>
                <w:sz w:val="20"/>
              </w:rPr>
              <w:t>15 KB</w:t>
            </w:r>
          </w:p>
        </w:tc>
        <w:tc>
          <w:tcPr>
            <w:tcW w:type="dxa" w:w="3600"/>
          </w:tcPr>
          <w:p>
            <w:r/>
            <w:r>
              <w:rPr>
                <w:rFonts w:ascii="Arial" w:hAnsi="Arial"/>
                <w:sz w:val="20"/>
              </w:rPr>
              <w:t>Session persistence, adaptive engine</w:t>
            </w:r>
          </w:p>
        </w:tc>
        <w:tc>
          <w:tcPr>
            <w:tcW w:type="dxa" w:w="1872"/>
            <w:shd w:fill="D4EDDA" w:val="clear"/>
          </w:tcPr>
          <w:p>
            <w:pPr>
              <w:jc w:val="center"/>
            </w:pPr>
            <w:r/>
            <w:r>
              <w:rPr>
                <w:rFonts w:ascii="Arial" w:hAnsi="Arial"/>
                <w:b/>
                <w:color w:val="155724"/>
                <w:sz w:val="20"/>
              </w:rPr>
              <w:t>Loaded</w:t>
            </w:r>
          </w:p>
        </w:tc>
      </w:tr>
      <w:tr>
        <w:tc>
          <w:tcPr>
            <w:tcW w:type="dxa" w:w="2880"/>
          </w:tcPr>
          <w:p>
            <w:r/>
            <w:r>
              <w:rPr>
                <w:rFonts w:ascii="Arial" w:hAnsi="Arial"/>
                <w:b/>
                <w:sz w:val="20"/>
              </w:rPr>
              <w:t>vinculum-layout.js</w:t>
            </w:r>
          </w:p>
        </w:tc>
        <w:tc>
          <w:tcPr>
            <w:tcW w:type="dxa" w:w="1008"/>
          </w:tcPr>
          <w:p>
            <w:r/>
            <w:r>
              <w:rPr>
                <w:rFonts w:ascii="Arial" w:hAnsi="Arial"/>
                <w:sz w:val="20"/>
              </w:rPr>
              <w:t>8 KB</w:t>
            </w:r>
          </w:p>
        </w:tc>
        <w:tc>
          <w:tcPr>
            <w:tcW w:type="dxa" w:w="3600"/>
          </w:tcPr>
          <w:p>
            <w:r/>
            <w:r>
              <w:rPr>
                <w:rFonts w:ascii="Arial" w:hAnsi="Arial"/>
                <w:sz w:val="20"/>
              </w:rPr>
              <w:t>Non-invasive layout enhancements</w:t>
            </w:r>
          </w:p>
        </w:tc>
        <w:tc>
          <w:tcPr>
            <w:tcW w:type="dxa" w:w="1872"/>
            <w:shd w:fill="D4EDDA" w:val="clear"/>
          </w:tcPr>
          <w:p>
            <w:pPr>
              <w:jc w:val="center"/>
            </w:pPr>
            <w:r/>
            <w:r>
              <w:rPr>
                <w:rFonts w:ascii="Arial" w:hAnsi="Arial"/>
                <w:b/>
                <w:color w:val="155724"/>
                <w:sz w:val="20"/>
              </w:rPr>
              <w:t>Loaded</w:t>
            </w:r>
          </w:p>
        </w:tc>
      </w:tr>
      <w:tr>
        <w:tc>
          <w:tcPr>
            <w:tcW w:type="dxa" w:w="2880"/>
          </w:tcPr>
          <w:p>
            <w:r/>
            <w:r>
              <w:rPr>
                <w:rFonts w:ascii="Arial" w:hAnsi="Arial"/>
                <w:b/>
                <w:sz w:val="20"/>
              </w:rPr>
              <w:t>vinculum-feedback.js</w:t>
            </w:r>
          </w:p>
        </w:tc>
        <w:tc>
          <w:tcPr>
            <w:tcW w:type="dxa" w:w="1008"/>
          </w:tcPr>
          <w:p>
            <w:r/>
            <w:r>
              <w:rPr>
                <w:rFonts w:ascii="Arial" w:hAnsi="Arial"/>
                <w:sz w:val="20"/>
              </w:rPr>
              <w:t>8 KB</w:t>
            </w:r>
          </w:p>
        </w:tc>
        <w:tc>
          <w:tcPr>
            <w:tcW w:type="dxa" w:w="3600"/>
          </w:tcPr>
          <w:p>
            <w:r/>
            <w:r>
              <w:rPr>
                <w:rFonts w:ascii="Arial" w:hAnsi="Arial"/>
                <w:sz w:val="20"/>
              </w:rPr>
              <w:t>Shared feedback display (showFB)</w:t>
            </w:r>
          </w:p>
        </w:tc>
        <w:tc>
          <w:tcPr>
            <w:tcW w:type="dxa" w:w="1872"/>
            <w:shd w:fill="D4EDDA" w:val="clear"/>
          </w:tcPr>
          <w:p>
            <w:pPr>
              <w:jc w:val="center"/>
            </w:pPr>
            <w:r/>
            <w:r>
              <w:rPr>
                <w:rFonts w:ascii="Arial" w:hAnsi="Arial"/>
                <w:b/>
                <w:color w:val="155724"/>
                <w:sz w:val="20"/>
              </w:rPr>
              <w:t>Loaded</w:t>
            </w:r>
          </w:p>
        </w:tc>
      </w:tr>
      <w:tr>
        <w:tc>
          <w:tcPr>
            <w:tcW w:type="dxa" w:w="2880"/>
          </w:tcPr>
          <w:p>
            <w:r/>
            <w:r>
              <w:rPr>
                <w:rFonts w:ascii="Arial" w:hAnsi="Arial"/>
                <w:b/>
                <w:sz w:val="20"/>
              </w:rPr>
              <w:t>vinculum-adaptive.js</w:t>
            </w:r>
          </w:p>
        </w:tc>
        <w:tc>
          <w:tcPr>
            <w:tcW w:type="dxa" w:w="1008"/>
          </w:tcPr>
          <w:p>
            <w:r/>
            <w:r>
              <w:rPr>
                <w:rFonts w:ascii="Arial" w:hAnsi="Arial"/>
                <w:sz w:val="20"/>
              </w:rPr>
              <w:t>7 KB</w:t>
            </w:r>
          </w:p>
        </w:tc>
        <w:tc>
          <w:tcPr>
            <w:tcW w:type="dxa" w:w="3600"/>
          </w:tcPr>
          <w:p>
            <w:r/>
            <w:r>
              <w:rPr>
                <w:rFonts w:ascii="Arial" w:hAnsi="Arial"/>
                <w:sz w:val="20"/>
              </w:rPr>
              <w:t>Adaptive difficulty engine</w:t>
            </w:r>
          </w:p>
        </w:tc>
        <w:tc>
          <w:tcPr>
            <w:tcW w:type="dxa" w:w="1872"/>
            <w:shd w:fill="D4EDDA" w:val="clear"/>
          </w:tcPr>
          <w:p>
            <w:pPr>
              <w:jc w:val="center"/>
            </w:pPr>
            <w:r/>
            <w:r>
              <w:rPr>
                <w:rFonts w:ascii="Arial" w:hAnsi="Arial"/>
                <w:b/>
                <w:color w:val="155724"/>
                <w:sz w:val="20"/>
              </w:rPr>
              <w:t>Loaded</w:t>
            </w:r>
          </w:p>
        </w:tc>
      </w:tr>
      <w:tr>
        <w:tc>
          <w:tcPr>
            <w:tcW w:type="dxa" w:w="2880"/>
          </w:tcPr>
          <w:p>
            <w:r/>
            <w:r>
              <w:rPr>
                <w:rFonts w:ascii="Arial" w:hAnsi="Arial"/>
                <w:b/>
                <w:sz w:val="20"/>
              </w:rPr>
              <w:t>vinculum-input.js</w:t>
            </w:r>
          </w:p>
        </w:tc>
        <w:tc>
          <w:tcPr>
            <w:tcW w:type="dxa" w:w="1008"/>
          </w:tcPr>
          <w:p>
            <w:r/>
            <w:r>
              <w:rPr>
                <w:rFonts w:ascii="Arial" w:hAnsi="Arial"/>
                <w:sz w:val="20"/>
              </w:rPr>
              <w:t>22 KB</w:t>
            </w:r>
          </w:p>
        </w:tc>
        <w:tc>
          <w:tcPr>
            <w:tcW w:type="dxa" w:w="3600"/>
          </w:tcPr>
          <w:p>
            <w:r/>
            <w:r>
              <w:rPr>
                <w:rFonts w:ascii="Arial" w:hAnsi="Arial"/>
                <w:sz w:val="20"/>
              </w:rPr>
              <w:t>Smart Context input system</w:t>
            </w:r>
          </w:p>
        </w:tc>
        <w:tc>
          <w:tcPr>
            <w:tcW w:type="dxa" w:w="1872"/>
            <w:shd w:fill="D4EDDA" w:val="clear"/>
          </w:tcPr>
          <w:p>
            <w:pPr>
              <w:jc w:val="center"/>
            </w:pPr>
            <w:r/>
            <w:r>
              <w:rPr>
                <w:rFonts w:ascii="Arial" w:hAnsi="Arial"/>
                <w:b/>
                <w:color w:val="155724"/>
                <w:sz w:val="20"/>
              </w:rPr>
              <w:t>Loaded</w:t>
            </w:r>
          </w:p>
        </w:tc>
      </w:tr>
      <w:tr>
        <w:tc>
          <w:tcPr>
            <w:tcW w:type="dxa" w:w="2880"/>
          </w:tcPr>
          <w:p>
            <w:r/>
            <w:r>
              <w:rPr>
                <w:rFonts w:ascii="Arial" w:hAnsi="Arial"/>
                <w:b/>
                <w:sz w:val="20"/>
              </w:rPr>
              <w:t>vinculum-3reads.js</w:t>
            </w:r>
          </w:p>
        </w:tc>
        <w:tc>
          <w:tcPr>
            <w:tcW w:type="dxa" w:w="1008"/>
          </w:tcPr>
          <w:p>
            <w:r/>
            <w:r>
              <w:rPr>
                <w:rFonts w:ascii="Arial" w:hAnsi="Arial"/>
                <w:sz w:val="20"/>
              </w:rPr>
              <w:t>16 KB</w:t>
            </w:r>
          </w:p>
        </w:tc>
        <w:tc>
          <w:tcPr>
            <w:tcW w:type="dxa" w:w="3600"/>
          </w:tcPr>
          <w:p>
            <w:r/>
            <w:r>
              <w:rPr>
                <w:rFonts w:ascii="Arial" w:hAnsi="Arial"/>
                <w:sz w:val="20"/>
              </w:rPr>
              <w:t>3-Reads word problem scaffolding</w:t>
            </w:r>
          </w:p>
        </w:tc>
        <w:tc>
          <w:tcPr>
            <w:tcW w:type="dxa" w:w="1872"/>
            <w:shd w:fill="D4EDDA" w:val="clear"/>
          </w:tcPr>
          <w:p>
            <w:pPr>
              <w:jc w:val="center"/>
            </w:pPr>
            <w:r/>
            <w:r>
              <w:rPr>
                <w:rFonts w:ascii="Arial" w:hAnsi="Arial"/>
                <w:b/>
                <w:color w:val="155724"/>
                <w:sz w:val="20"/>
              </w:rPr>
              <w:t>Loaded</w:t>
            </w:r>
          </w:p>
        </w:tc>
      </w:tr>
      <w:tr>
        <w:tc>
          <w:tcPr>
            <w:tcW w:type="dxa" w:w="2880"/>
          </w:tcPr>
          <w:p>
            <w:r/>
            <w:r>
              <w:rPr>
                <w:rFonts w:ascii="Arial" w:hAnsi="Arial"/>
                <w:b/>
                <w:sz w:val="20"/>
              </w:rPr>
              <w:t>vinculum-stories.js</w:t>
            </w:r>
          </w:p>
        </w:tc>
        <w:tc>
          <w:tcPr>
            <w:tcW w:type="dxa" w:w="1008"/>
          </w:tcPr>
          <w:p>
            <w:r/>
            <w:r>
              <w:rPr>
                <w:rFonts w:ascii="Arial" w:hAnsi="Arial"/>
                <w:sz w:val="20"/>
              </w:rPr>
              <w:t>61 KB</w:t>
            </w:r>
          </w:p>
        </w:tc>
        <w:tc>
          <w:tcPr>
            <w:tcW w:type="dxa" w:w="3600"/>
          </w:tcPr>
          <w:p>
            <w:r/>
            <w:r>
              <w:rPr>
                <w:rFonts w:ascii="Arial" w:hAnsi="Arial"/>
                <w:sz w:val="20"/>
              </w:rPr>
              <w:t>Story template engine for K tools</w:t>
            </w:r>
          </w:p>
        </w:tc>
        <w:tc>
          <w:tcPr>
            <w:tcW w:type="dxa" w:w="1872"/>
            <w:shd w:fill="D4EDDA" w:val="clear"/>
          </w:tcPr>
          <w:p>
            <w:pPr>
              <w:jc w:val="center"/>
            </w:pPr>
            <w:r/>
            <w:r>
              <w:rPr>
                <w:rFonts w:ascii="Arial" w:hAnsi="Arial"/>
                <w:b/>
                <w:color w:val="155724"/>
                <w:sz w:val="20"/>
              </w:rPr>
              <w:t>Loaded</w:t>
            </w:r>
          </w:p>
        </w:tc>
      </w:tr>
      <w:tr>
        <w:tc>
          <w:tcPr>
            <w:tcW w:type="dxa" w:w="2880"/>
          </w:tcPr>
          <w:p>
            <w:r/>
            <w:r>
              <w:rPr>
                <w:rFonts w:ascii="Arial" w:hAnsi="Arial"/>
                <w:b/>
                <w:sz w:val="20"/>
              </w:rPr>
              <w:t>vinculum-corrective.js</w:t>
            </w:r>
          </w:p>
        </w:tc>
        <w:tc>
          <w:tcPr>
            <w:tcW w:type="dxa" w:w="1008"/>
          </w:tcPr>
          <w:p>
            <w:r/>
            <w:r>
              <w:rPr>
                <w:rFonts w:ascii="Arial" w:hAnsi="Arial"/>
                <w:sz w:val="20"/>
              </w:rPr>
              <w:t>15 KB</w:t>
            </w:r>
          </w:p>
        </w:tc>
        <w:tc>
          <w:tcPr>
            <w:tcW w:type="dxa" w:w="3600"/>
          </w:tcPr>
          <w:p>
            <w:r/>
            <w:r>
              <w:rPr>
                <w:rFonts w:ascii="Arial" w:hAnsi="Arial"/>
                <w:sz w:val="20"/>
              </w:rPr>
              <w:t>K-grade corrective feedback</w:t>
            </w:r>
          </w:p>
        </w:tc>
        <w:tc>
          <w:tcPr>
            <w:tcW w:type="dxa" w:w="1872"/>
            <w:shd w:fill="D4EDDA" w:val="clear"/>
          </w:tcPr>
          <w:p>
            <w:pPr>
              <w:jc w:val="center"/>
            </w:pPr>
            <w:r/>
            <w:r>
              <w:rPr>
                <w:rFonts w:ascii="Arial" w:hAnsi="Arial"/>
                <w:b/>
                <w:color w:val="155724"/>
                <w:sz w:val="20"/>
              </w:rPr>
              <w:t>Loaded</w:t>
            </w:r>
          </w:p>
        </w:tc>
      </w:tr>
      <w:tr>
        <w:tc>
          <w:tcPr>
            <w:tcW w:type="dxa" w:w="2880"/>
          </w:tcPr>
          <w:p>
            <w:r/>
            <w:r>
              <w:rPr>
                <w:rFonts w:ascii="Arial" w:hAnsi="Arial"/>
                <w:b/>
                <w:sz w:val="20"/>
              </w:rPr>
              <w:t>vinculum-adaptive-hook.js</w:t>
            </w:r>
          </w:p>
        </w:tc>
        <w:tc>
          <w:tcPr>
            <w:tcW w:type="dxa" w:w="1008"/>
          </w:tcPr>
          <w:p>
            <w:r/>
            <w:r>
              <w:rPr>
                <w:rFonts w:ascii="Arial" w:hAnsi="Arial"/>
                <w:sz w:val="20"/>
              </w:rPr>
              <w:t>9 KB</w:t>
            </w:r>
          </w:p>
        </w:tc>
        <w:tc>
          <w:tcPr>
            <w:tcW w:type="dxa" w:w="3600"/>
          </w:tcPr>
          <w:p>
            <w:r/>
            <w:r>
              <w:rPr>
                <w:rFonts w:ascii="Arial" w:hAnsi="Arial"/>
                <w:sz w:val="20"/>
              </w:rPr>
              <w:t>Auto-wires adaptive into tools</w:t>
            </w:r>
          </w:p>
        </w:tc>
        <w:tc>
          <w:tcPr>
            <w:tcW w:type="dxa" w:w="1872"/>
            <w:shd w:fill="D4EDDA" w:val="clear"/>
          </w:tcPr>
          <w:p>
            <w:pPr>
              <w:jc w:val="center"/>
            </w:pPr>
            <w:r/>
            <w:r>
              <w:rPr>
                <w:rFonts w:ascii="Arial" w:hAnsi="Arial"/>
                <w:b/>
                <w:color w:val="155724"/>
                <w:sz w:val="20"/>
              </w:rPr>
              <w:t>Loaded</w:t>
            </w:r>
          </w:p>
        </w:tc>
      </w:tr>
      <w:tr>
        <w:tc>
          <w:tcPr>
            <w:tcW w:type="dxa" w:w="2880"/>
          </w:tcPr>
          <w:p>
            <w:r/>
            <w:r>
              <w:rPr>
                <w:rFonts w:ascii="Arial" w:hAnsi="Arial"/>
                <w:b/>
                <w:sz w:val="20"/>
              </w:rPr>
              <w:t>vinculum-indigenous.js</w:t>
            </w:r>
          </w:p>
        </w:tc>
        <w:tc>
          <w:tcPr>
            <w:tcW w:type="dxa" w:w="1008"/>
          </w:tcPr>
          <w:p>
            <w:r/>
            <w:r>
              <w:rPr>
                <w:rFonts w:ascii="Arial" w:hAnsi="Arial"/>
                <w:sz w:val="20"/>
              </w:rPr>
              <w:t>—</w:t>
            </w:r>
          </w:p>
        </w:tc>
        <w:tc>
          <w:tcPr>
            <w:tcW w:type="dxa" w:w="3600"/>
          </w:tcPr>
          <w:p>
            <w:r/>
            <w:r>
              <w:rPr>
                <w:rFonts w:ascii="Arial" w:hAnsi="Arial"/>
                <w:sz w:val="20"/>
              </w:rPr>
              <w:t>Indigenous math integration</w:t>
            </w:r>
          </w:p>
        </w:tc>
        <w:tc>
          <w:tcPr>
            <w:tcW w:type="dxa" w:w="1872"/>
            <w:shd w:fill="E2E3F1" w:val="clear"/>
          </w:tcPr>
          <w:p>
            <w:pPr>
              <w:jc w:val="center"/>
            </w:pPr>
            <w:r/>
            <w:r>
              <w:rPr>
                <w:rFonts w:ascii="Arial" w:hAnsi="Arial"/>
                <w:b/>
                <w:color w:val="383D6E"/>
                <w:sz w:val="20"/>
              </w:rPr>
              <w:t>Planned</w:t>
            </w:r>
          </w:p>
        </w:tc>
      </w:tr>
      <w:tr>
        <w:tc>
          <w:tcPr>
            <w:tcW w:type="dxa" w:w="2880"/>
          </w:tcPr>
          <w:p>
            <w:r/>
            <w:r>
              <w:rPr>
                <w:rFonts w:ascii="Arial" w:hAnsi="Arial"/>
                <w:b/>
                <w:sz w:val="20"/>
              </w:rPr>
              <w:t>vinculum-identity.js</w:t>
            </w:r>
          </w:p>
        </w:tc>
        <w:tc>
          <w:tcPr>
            <w:tcW w:type="dxa" w:w="1008"/>
          </w:tcPr>
          <w:p>
            <w:r/>
            <w:r>
              <w:rPr>
                <w:rFonts w:ascii="Arial" w:hAnsi="Arial"/>
                <w:sz w:val="20"/>
              </w:rPr>
              <w:t>—</w:t>
            </w:r>
          </w:p>
        </w:tc>
        <w:tc>
          <w:tcPr>
            <w:tcW w:type="dxa" w:w="3600"/>
          </w:tcPr>
          <w:p>
            <w:r/>
            <w:r>
              <w:rPr>
                <w:rFonts w:ascii="Arial" w:hAnsi="Arial"/>
                <w:sz w:val="20"/>
              </w:rPr>
              <w:t>Student code system (no PII)</w:t>
            </w:r>
          </w:p>
        </w:tc>
        <w:tc>
          <w:tcPr>
            <w:tcW w:type="dxa" w:w="1872"/>
            <w:shd w:fill="E2E3F1" w:val="clear"/>
          </w:tcPr>
          <w:p>
            <w:pPr>
              <w:jc w:val="center"/>
            </w:pPr>
            <w:r/>
            <w:r>
              <w:rPr>
                <w:rFonts w:ascii="Arial" w:hAnsi="Arial"/>
                <w:b/>
                <w:color w:val="383D6E"/>
                <w:sz w:val="20"/>
              </w:rPr>
              <w:t>Planned</w:t>
            </w:r>
          </w:p>
        </w:tc>
      </w:tr>
    </w:tbl>
    <w:p/>
    <w:p>
      <w:pPr>
        <w:pStyle w:val="Heading2"/>
      </w:pPr>
      <w:r>
        <w:t>2c. Other Root Assets</w:t>
      </w:r>
    </w:p>
    <w:p>
      <w:pPr>
        <w:pStyle w:val="ListBullet"/>
      </w:pPr>
      <w:r>
        <w:t>VINCULUM-Hub.html — Main hub/launcher (98 tool entries)</w:t>
      </w:r>
    </w:p>
    <w:p>
      <w:pPr>
        <w:pStyle w:val="ListBullet"/>
      </w:pPr>
      <w:r>
        <w:t>index.html — Landing/redirect page</w:t>
      </w:r>
    </w:p>
    <w:p>
      <w:pPr>
        <w:pStyle w:val="ListBullet"/>
      </w:pPr>
      <w:r>
        <w:t>tools/_template.html — Master boilerplate for new tools</w:t>
      </w:r>
    </w:p>
    <w:p>
      <w:pPr>
        <w:pStyle w:val="ListBullet"/>
      </w:pPr>
      <w:r>
        <w:t>vinculum-validate.sh — Pre-push validation (6 checks)</w:t>
      </w:r>
    </w:p>
    <w:p>
      <w:pPr>
        <w:pStyle w:val="ListBullet"/>
      </w:pPr>
      <w:r>
        <w:t>STANDARDS-REFERENCE.md — CCSS + MN standards mapping (938 lines)</w:t>
      </w:r>
    </w:p>
    <w:p>
      <w:pPr>
        <w:pStyle w:val="ListBullet"/>
      </w:pPr>
      <w:r>
        <w:t>INDIGENOUS_INTEGRATION_GUIDE.md — Cultural integration plan (380 lines)</w:t>
      </w:r>
    </w:p>
    <w:p>
      <w:pPr>
        <w:pStyle w:val="ListBullet"/>
      </w:pPr>
      <w:r>
        <w:t>5 planning documents (.md, .docx, .pptx)</w:t>
      </w:r>
    </w:p>
    <w:p>
      <w:pPr>
        <w:pStyle w:val="ListBullet"/>
      </w:pPr>
      <w:r>
        <w:t>Total repository: 5.9 MB (well within GitHub Pages limits)</w:t>
      </w:r>
    </w:p>
    <w:p>
      <w:r>
        <w:br w:type="page"/>
      </w:r>
    </w:p>
    <w:p>
      <w:pPr>
        <w:pStyle w:val="Heading1"/>
      </w:pPr>
      <w:r>
        <w:t>3. Feature Status</w:t>
      </w:r>
    </w:p>
    <w:p>
      <w:pPr>
        <w:pStyle w:val="Heading2"/>
      </w:pPr>
      <w:r>
        <w:t>3a. Core Pedagogy</w:t>
      </w:r>
    </w:p>
    <w:tbl>
      <w:tblPr>
        <w:tblStyle w:val="TableGrid"/>
        <w:tblW w:type="auto" w:w="0"/>
        <w:jc w:val="center"/>
        <w:tblLook w:firstColumn="1" w:firstRow="1" w:lastColumn="0" w:lastRow="0" w:noHBand="0" w:noVBand="1" w:val="04A0"/>
      </w:tblPr>
      <w:tblGrid>
        <w:gridCol w:w="3120"/>
        <w:gridCol w:w="3120"/>
        <w:gridCol w:w="3120"/>
      </w:tblGrid>
      <w:tr>
        <w:tc>
          <w:tcPr>
            <w:tcW w:type="dxa" w:w="2592"/>
            <w:shd w:fill="1A1A2E" w:val="clear"/>
          </w:tcPr>
          <w:p>
            <w:r/>
            <w:r>
              <w:rPr>
                <w:rFonts w:ascii="Arial" w:hAnsi="Arial"/>
                <w:b/>
                <w:color w:val="FFFFFF"/>
                <w:sz w:val="20"/>
              </w:rPr>
              <w:t>Feature</w:t>
            </w:r>
          </w:p>
        </w:tc>
        <w:tc>
          <w:tcPr>
            <w:tcW w:type="dxa" w:w="4608"/>
            <w:shd w:fill="1A1A2E" w:val="clear"/>
          </w:tcPr>
          <w:p>
            <w:r/>
            <w:r>
              <w:rPr>
                <w:rFonts w:ascii="Arial" w:hAnsi="Arial"/>
                <w:b/>
                <w:color w:val="FFFFFF"/>
                <w:sz w:val="20"/>
              </w:rPr>
              <w:t>Description</w:t>
            </w:r>
          </w:p>
        </w:tc>
        <w:tc>
          <w:tcPr>
            <w:tcW w:type="dxa" w:w="2160"/>
            <w:shd w:fill="1A1A2E" w:val="clear"/>
          </w:tcPr>
          <w:p>
            <w:r/>
            <w:r>
              <w:rPr>
                <w:rFonts w:ascii="Arial" w:hAnsi="Arial"/>
                <w:b/>
                <w:color w:val="FFFFFF"/>
                <w:sz w:val="20"/>
              </w:rPr>
              <w:t>Status</w:t>
            </w:r>
          </w:p>
        </w:tc>
      </w:tr>
      <w:tr>
        <w:tc>
          <w:tcPr>
            <w:tcW w:type="dxa" w:w="2592"/>
          </w:tcPr>
          <w:p>
            <w:r/>
            <w:r>
              <w:rPr>
                <w:rFonts w:ascii="Arial" w:hAnsi="Arial"/>
                <w:b/>
                <w:sz w:val="20"/>
              </w:rPr>
              <w:t>CRA Progression</w:t>
            </w:r>
          </w:p>
        </w:tc>
        <w:tc>
          <w:tcPr>
            <w:tcW w:type="dxa" w:w="4608"/>
          </w:tcPr>
          <w:p>
            <w:r/>
            <w:r>
              <w:rPr>
                <w:rFonts w:ascii="Arial" w:hAnsi="Arial"/>
                <w:sz w:val="20"/>
              </w:rPr>
              <w:t>Explore (concrete) → Practice (representational) → Play (abstract)</w:t>
            </w:r>
          </w:p>
        </w:tc>
        <w:tc>
          <w:tcPr>
            <w:tcW w:type="dxa" w:w="2160"/>
            <w:shd w:fill="D4EDDA" w:val="clear"/>
          </w:tcPr>
          <w:p>
            <w:pPr>
              <w:jc w:val="center"/>
            </w:pPr>
            <w:r/>
            <w:r>
              <w:rPr>
                <w:rFonts w:ascii="Arial" w:hAnsi="Arial"/>
                <w:b/>
                <w:color w:val="155724"/>
                <w:sz w:val="20"/>
              </w:rPr>
              <w:t>Complete</w:t>
            </w:r>
          </w:p>
        </w:tc>
      </w:tr>
      <w:tr>
        <w:tc>
          <w:tcPr>
            <w:tcW w:type="dxa" w:w="2592"/>
          </w:tcPr>
          <w:p>
            <w:r/>
            <w:r>
              <w:rPr>
                <w:rFonts w:ascii="Arial" w:hAnsi="Arial"/>
                <w:b/>
                <w:sz w:val="20"/>
              </w:rPr>
              <w:t>Adaptive Difficulty</w:t>
            </w:r>
          </w:p>
        </w:tc>
        <w:tc>
          <w:tcPr>
            <w:tcW w:type="dxa" w:w="4608"/>
          </w:tcPr>
          <w:p>
            <w:r/>
            <w:r>
              <w:rPr>
                <w:rFonts w:ascii="Arial" w:hAnsi="Arial"/>
                <w:sz w:val="20"/>
              </w:rPr>
              <w:t>Rolling 8-answer window, 85%/40% thresholds, silent auto-adjust</w:t>
            </w:r>
          </w:p>
        </w:tc>
        <w:tc>
          <w:tcPr>
            <w:tcW w:type="dxa" w:w="2160"/>
            <w:shd w:fill="D4EDDA" w:val="clear"/>
          </w:tcPr>
          <w:p>
            <w:pPr>
              <w:jc w:val="center"/>
            </w:pPr>
            <w:r/>
            <w:r>
              <w:rPr>
                <w:rFonts w:ascii="Arial" w:hAnsi="Arial"/>
                <w:b/>
                <w:color w:val="155724"/>
                <w:sz w:val="20"/>
              </w:rPr>
              <w:t>Complete</w:t>
            </w:r>
          </w:p>
        </w:tc>
      </w:tr>
      <w:tr>
        <w:tc>
          <w:tcPr>
            <w:tcW w:type="dxa" w:w="2592"/>
          </w:tcPr>
          <w:p>
            <w:r/>
            <w:r>
              <w:rPr>
                <w:rFonts w:ascii="Arial" w:hAnsi="Arial"/>
                <w:b/>
                <w:sz w:val="20"/>
              </w:rPr>
              <w:t>3-Tier Levels</w:t>
            </w:r>
          </w:p>
        </w:tc>
        <w:tc>
          <w:tcPr>
            <w:tcW w:type="dxa" w:w="4608"/>
          </w:tcPr>
          <w:p>
            <w:r/>
            <w:r>
              <w:rPr>
                <w:rFonts w:ascii="Arial" w:hAnsi="Arial"/>
                <w:sz w:val="20"/>
              </w:rPr>
              <w:t>Emergent → Developing → Proficient (80/91 tools)</w:t>
            </w:r>
          </w:p>
        </w:tc>
        <w:tc>
          <w:tcPr>
            <w:tcW w:type="dxa" w:w="2160"/>
            <w:shd w:fill="D4EDDA" w:val="clear"/>
          </w:tcPr>
          <w:p>
            <w:pPr>
              <w:jc w:val="center"/>
            </w:pPr>
            <w:r/>
            <w:r>
              <w:rPr>
                <w:rFonts w:ascii="Arial" w:hAnsi="Arial"/>
                <w:b/>
                <w:color w:val="155724"/>
                <w:sz w:val="20"/>
              </w:rPr>
              <w:t>Complete</w:t>
            </w:r>
          </w:p>
        </w:tc>
      </w:tr>
      <w:tr>
        <w:tc>
          <w:tcPr>
            <w:tcW w:type="dxa" w:w="2592"/>
          </w:tcPr>
          <w:p>
            <w:r/>
            <w:r>
              <w:rPr>
                <w:rFonts w:ascii="Arial" w:hAnsi="Arial"/>
                <w:b/>
                <w:sz w:val="20"/>
              </w:rPr>
              <w:t>Smart Context Input</w:t>
            </w:r>
          </w:p>
        </w:tc>
        <w:tc>
          <w:tcPr>
            <w:tcW w:type="dxa" w:w="4608"/>
          </w:tcPr>
          <w:p>
            <w:r/>
            <w:r>
              <w:rPr>
                <w:rFonts w:ascii="Arial" w:hAnsi="Arial"/>
                <w:sz w:val="20"/>
              </w:rPr>
              <w:t>Auto-detects: Bubbles, Keypad, Slider, Choices, Toggle</w:t>
            </w:r>
          </w:p>
        </w:tc>
        <w:tc>
          <w:tcPr>
            <w:tcW w:type="dxa" w:w="2160"/>
            <w:shd w:fill="D4EDDA" w:val="clear"/>
          </w:tcPr>
          <w:p>
            <w:pPr>
              <w:jc w:val="center"/>
            </w:pPr>
            <w:r/>
            <w:r>
              <w:rPr>
                <w:rFonts w:ascii="Arial" w:hAnsi="Arial"/>
                <w:b/>
                <w:color w:val="155724"/>
                <w:sz w:val="20"/>
              </w:rPr>
              <w:t>Complete</w:t>
            </w:r>
          </w:p>
        </w:tc>
      </w:tr>
      <w:tr>
        <w:tc>
          <w:tcPr>
            <w:tcW w:type="dxa" w:w="2592"/>
          </w:tcPr>
          <w:p>
            <w:r/>
            <w:r>
              <w:rPr>
                <w:rFonts w:ascii="Arial" w:hAnsi="Arial"/>
                <w:b/>
                <w:sz w:val="20"/>
              </w:rPr>
              <w:t>Feedback System</w:t>
            </w:r>
          </w:p>
        </w:tc>
        <w:tc>
          <w:tcPr>
            <w:tcW w:type="dxa" w:w="4608"/>
          </w:tcPr>
          <w:p>
            <w:r/>
            <w:r>
              <w:rPr>
                <w:rFonts w:ascii="Arial" w:hAnsi="Arial"/>
                <w:sz w:val="20"/>
              </w:rPr>
              <w:t>Visual + audio feedback with celebration animations</w:t>
            </w:r>
          </w:p>
        </w:tc>
        <w:tc>
          <w:tcPr>
            <w:tcW w:type="dxa" w:w="2160"/>
            <w:shd w:fill="D4EDDA" w:val="clear"/>
          </w:tcPr>
          <w:p>
            <w:pPr>
              <w:jc w:val="center"/>
            </w:pPr>
            <w:r/>
            <w:r>
              <w:rPr>
                <w:rFonts w:ascii="Arial" w:hAnsi="Arial"/>
                <w:b/>
                <w:color w:val="155724"/>
                <w:sz w:val="20"/>
              </w:rPr>
              <w:t>Complete</w:t>
            </w:r>
          </w:p>
        </w:tc>
      </w:tr>
      <w:tr>
        <w:tc>
          <w:tcPr>
            <w:tcW w:type="dxa" w:w="2592"/>
          </w:tcPr>
          <w:p>
            <w:r/>
            <w:r>
              <w:rPr>
                <w:rFonts w:ascii="Arial" w:hAnsi="Arial"/>
                <w:b/>
                <w:sz w:val="20"/>
              </w:rPr>
              <w:t>Number Line Viz</w:t>
            </w:r>
          </w:p>
        </w:tc>
        <w:tc>
          <w:tcPr>
            <w:tcW w:type="dxa" w:w="4608"/>
          </w:tcPr>
          <w:p>
            <w:r/>
            <w:r>
              <w:rPr>
                <w:rFonts w:ascii="Arial" w:hAnsi="Arial"/>
                <w:sz w:val="20"/>
              </w:rPr>
              <w:t>SVG number line with ticks, midpoint markers, positioning</w:t>
            </w:r>
          </w:p>
        </w:tc>
        <w:tc>
          <w:tcPr>
            <w:tcW w:type="dxa" w:w="2160"/>
            <w:shd w:fill="D4EDDA" w:val="clear"/>
          </w:tcPr>
          <w:p>
            <w:pPr>
              <w:jc w:val="center"/>
            </w:pPr>
            <w:r/>
            <w:r>
              <w:rPr>
                <w:rFonts w:ascii="Arial" w:hAnsi="Arial"/>
                <w:b/>
                <w:color w:val="155724"/>
                <w:sz w:val="20"/>
              </w:rPr>
              <w:t>Complete</w:t>
            </w:r>
          </w:p>
        </w:tc>
      </w:tr>
      <w:tr>
        <w:tc>
          <w:tcPr>
            <w:tcW w:type="dxa" w:w="2592"/>
          </w:tcPr>
          <w:p>
            <w:r/>
            <w:r>
              <w:rPr>
                <w:rFonts w:ascii="Arial" w:hAnsi="Arial"/>
                <w:b/>
                <w:sz w:val="20"/>
              </w:rPr>
              <w:t>3-Reads Protocol</w:t>
            </w:r>
          </w:p>
        </w:tc>
        <w:tc>
          <w:tcPr>
            <w:tcW w:type="dxa" w:w="4608"/>
          </w:tcPr>
          <w:p>
            <w:r/>
            <w:r>
              <w:rPr>
                <w:rFonts w:ascii="Arial" w:hAnsi="Arial"/>
                <w:sz w:val="20"/>
              </w:rPr>
              <w:t>Progressive word problem scaffolding (WWC-aligned)</w:t>
            </w:r>
          </w:p>
        </w:tc>
        <w:tc>
          <w:tcPr>
            <w:tcW w:type="dxa" w:w="2160"/>
            <w:shd w:fill="D4EDDA" w:val="clear"/>
          </w:tcPr>
          <w:p>
            <w:pPr>
              <w:jc w:val="center"/>
            </w:pPr>
            <w:r/>
            <w:r>
              <w:rPr>
                <w:rFonts w:ascii="Arial" w:hAnsi="Arial"/>
                <w:b/>
                <w:color w:val="155724"/>
                <w:sz w:val="20"/>
              </w:rPr>
              <w:t>Complete</w:t>
            </w:r>
          </w:p>
        </w:tc>
      </w:tr>
      <w:tr>
        <w:tc>
          <w:tcPr>
            <w:tcW w:type="dxa" w:w="2592"/>
          </w:tcPr>
          <w:p>
            <w:r/>
            <w:r>
              <w:rPr>
                <w:rFonts w:ascii="Arial" w:hAnsi="Arial"/>
                <w:b/>
                <w:sz w:val="20"/>
              </w:rPr>
              <w:t>K-Grade Corrective</w:t>
            </w:r>
          </w:p>
        </w:tc>
        <w:tc>
          <w:tcPr>
            <w:tcW w:type="dxa" w:w="4608"/>
          </w:tcPr>
          <w:p>
            <w:r/>
            <w:r>
              <w:rPr>
                <w:rFonts w:ascii="Arial" w:hAnsi="Arial"/>
                <w:sz w:val="20"/>
              </w:rPr>
              <w:t>Age-appropriate feedback for pre-readers</w:t>
            </w:r>
          </w:p>
        </w:tc>
        <w:tc>
          <w:tcPr>
            <w:tcW w:type="dxa" w:w="2160"/>
            <w:shd w:fill="D4EDDA" w:val="clear"/>
          </w:tcPr>
          <w:p>
            <w:pPr>
              <w:jc w:val="center"/>
            </w:pPr>
            <w:r/>
            <w:r>
              <w:rPr>
                <w:rFonts w:ascii="Arial" w:hAnsi="Arial"/>
                <w:b/>
                <w:color w:val="155724"/>
                <w:sz w:val="20"/>
              </w:rPr>
              <w:t>Complete</w:t>
            </w:r>
          </w:p>
        </w:tc>
      </w:tr>
    </w:tbl>
    <w:p/>
    <w:p>
      <w:pPr>
        <w:pStyle w:val="Heading2"/>
      </w:pPr>
      <w:r>
        <w:t>3b. Design System</w:t>
      </w:r>
    </w:p>
    <w:tbl>
      <w:tblPr>
        <w:tblStyle w:val="TableGrid"/>
        <w:tblW w:type="auto" w:w="0"/>
        <w:jc w:val="center"/>
        <w:tblLook w:firstColumn="1" w:firstRow="1" w:lastColumn="0" w:lastRow="0" w:noHBand="0" w:noVBand="1" w:val="04A0"/>
      </w:tblPr>
      <w:tblGrid>
        <w:gridCol w:w="3120"/>
        <w:gridCol w:w="3120"/>
        <w:gridCol w:w="3120"/>
      </w:tblGrid>
      <w:tr>
        <w:tc>
          <w:tcPr>
            <w:tcW w:type="dxa" w:w="2592"/>
            <w:shd w:fill="1A1A2E" w:val="clear"/>
          </w:tcPr>
          <w:p>
            <w:r/>
            <w:r>
              <w:rPr>
                <w:rFonts w:ascii="Arial" w:hAnsi="Arial"/>
                <w:b/>
                <w:color w:val="FFFFFF"/>
                <w:sz w:val="20"/>
              </w:rPr>
              <w:t>Feature</w:t>
            </w:r>
          </w:p>
        </w:tc>
        <w:tc>
          <w:tcPr>
            <w:tcW w:type="dxa" w:w="4608"/>
            <w:shd w:fill="1A1A2E" w:val="clear"/>
          </w:tcPr>
          <w:p>
            <w:r/>
            <w:r>
              <w:rPr>
                <w:rFonts w:ascii="Arial" w:hAnsi="Arial"/>
                <w:b/>
                <w:color w:val="FFFFFF"/>
                <w:sz w:val="20"/>
              </w:rPr>
              <w:t>Description</w:t>
            </w:r>
          </w:p>
        </w:tc>
        <w:tc>
          <w:tcPr>
            <w:tcW w:type="dxa" w:w="2160"/>
            <w:shd w:fill="1A1A2E" w:val="clear"/>
          </w:tcPr>
          <w:p>
            <w:r/>
            <w:r>
              <w:rPr>
                <w:rFonts w:ascii="Arial" w:hAnsi="Arial"/>
                <w:b/>
                <w:color w:val="FFFFFF"/>
                <w:sz w:val="20"/>
              </w:rPr>
              <w:t>Status</w:t>
            </w:r>
          </w:p>
        </w:tc>
      </w:tr>
      <w:tr>
        <w:tc>
          <w:tcPr>
            <w:tcW w:type="dxa" w:w="2592"/>
          </w:tcPr>
          <w:p>
            <w:r/>
            <w:r>
              <w:rPr>
                <w:rFonts w:ascii="Arial" w:hAnsi="Arial"/>
                <w:b/>
                <w:sz w:val="20"/>
              </w:rPr>
              <w:t>14 Themes</w:t>
            </w:r>
          </w:p>
        </w:tc>
        <w:tc>
          <w:tcPr>
            <w:tcW w:type="dxa" w:w="4608"/>
          </w:tcPr>
          <w:p>
            <w:r/>
            <w:r>
              <w:rPr>
                <w:rFonts w:ascii="Arial" w:hAnsi="Arial"/>
                <w:sz w:val="20"/>
              </w:rPr>
              <w:t>Dark, Bright, Frost, Emerald, Sunset, Storm, Ocean, + 7 more</w:t>
            </w:r>
          </w:p>
        </w:tc>
        <w:tc>
          <w:tcPr>
            <w:tcW w:type="dxa" w:w="2160"/>
            <w:shd w:fill="D4EDDA" w:val="clear"/>
          </w:tcPr>
          <w:p>
            <w:pPr>
              <w:jc w:val="center"/>
            </w:pPr>
            <w:r/>
            <w:r>
              <w:rPr>
                <w:rFonts w:ascii="Arial" w:hAnsi="Arial"/>
                <w:b/>
                <w:color w:val="155724"/>
                <w:sz w:val="20"/>
              </w:rPr>
              <w:t>Complete</w:t>
            </w:r>
          </w:p>
        </w:tc>
      </w:tr>
      <w:tr>
        <w:tc>
          <w:tcPr>
            <w:tcW w:type="dxa" w:w="2592"/>
          </w:tcPr>
          <w:p>
            <w:r/>
            <w:r>
              <w:rPr>
                <w:rFonts w:ascii="Arial" w:hAnsi="Arial"/>
                <w:b/>
                <w:sz w:val="20"/>
              </w:rPr>
              <w:t>Standard Header</w:t>
            </w:r>
          </w:p>
        </w:tc>
        <w:tc>
          <w:tcPr>
            <w:tcW w:type="dxa" w:w="4608"/>
          </w:tcPr>
          <w:p>
            <w:r/>
            <w:r>
              <w:rPr>
                <w:rFonts w:ascii="Arial" w:hAnsi="Arial"/>
                <w:sz w:val="20"/>
              </w:rPr>
              <w:t>vinculum-header with back button, title, badge, std tags</w:t>
            </w:r>
          </w:p>
        </w:tc>
        <w:tc>
          <w:tcPr>
            <w:tcW w:type="dxa" w:w="2160"/>
            <w:shd w:fill="D4EDDA" w:val="clear"/>
          </w:tcPr>
          <w:p>
            <w:pPr>
              <w:jc w:val="center"/>
            </w:pPr>
            <w:r/>
            <w:r>
              <w:rPr>
                <w:rFonts w:ascii="Arial" w:hAnsi="Arial"/>
                <w:b/>
                <w:color w:val="155724"/>
                <w:sz w:val="20"/>
              </w:rPr>
              <w:t>Complete</w:t>
            </w:r>
          </w:p>
        </w:tc>
      </w:tr>
      <w:tr>
        <w:tc>
          <w:tcPr>
            <w:tcW w:type="dxa" w:w="2592"/>
          </w:tcPr>
          <w:p>
            <w:r/>
            <w:r>
              <w:rPr>
                <w:rFonts w:ascii="Arial" w:hAnsi="Arial"/>
                <w:b/>
                <w:sz w:val="20"/>
              </w:rPr>
              <w:t>Standard Mode Tabs</w:t>
            </w:r>
          </w:p>
        </w:tc>
        <w:tc>
          <w:tcPr>
            <w:tcW w:type="dxa" w:w="4608"/>
          </w:tcPr>
          <w:p>
            <w:r/>
            <w:r>
              <w:rPr>
                <w:rFonts w:ascii="Arial" w:hAnsi="Arial"/>
                <w:sz w:val="20"/>
              </w:rPr>
              <w:t>vinculum-mode-tabs with colored active states per CRA mode</w:t>
            </w:r>
          </w:p>
        </w:tc>
        <w:tc>
          <w:tcPr>
            <w:tcW w:type="dxa" w:w="2160"/>
            <w:shd w:fill="D4EDDA" w:val="clear"/>
          </w:tcPr>
          <w:p>
            <w:pPr>
              <w:jc w:val="center"/>
            </w:pPr>
            <w:r/>
            <w:r>
              <w:rPr>
                <w:rFonts w:ascii="Arial" w:hAnsi="Arial"/>
                <w:b/>
                <w:color w:val="155724"/>
                <w:sz w:val="20"/>
              </w:rPr>
              <w:t>Complete</w:t>
            </w:r>
          </w:p>
        </w:tc>
      </w:tr>
      <w:tr>
        <w:tc>
          <w:tcPr>
            <w:tcW w:type="dxa" w:w="2592"/>
          </w:tcPr>
          <w:p>
            <w:r/>
            <w:r>
              <w:rPr>
                <w:rFonts w:ascii="Arial" w:hAnsi="Arial"/>
                <w:b/>
                <w:sz w:val="20"/>
              </w:rPr>
              <w:t>Diff Selector</w:t>
            </w:r>
          </w:p>
        </w:tc>
        <w:tc>
          <w:tcPr>
            <w:tcW w:type="dxa" w:w="4608"/>
          </w:tcPr>
          <w:p>
            <w:r/>
            <w:r>
              <w:rPr>
                <w:rFonts w:ascii="Arial" w:hAnsi="Arial"/>
                <w:sz w:val="20"/>
              </w:rPr>
              <w:t>vinculum-diff-btn with active state syncing</w:t>
            </w:r>
          </w:p>
        </w:tc>
        <w:tc>
          <w:tcPr>
            <w:tcW w:type="dxa" w:w="2160"/>
            <w:shd w:fill="D4EDDA" w:val="clear"/>
          </w:tcPr>
          <w:p>
            <w:pPr>
              <w:jc w:val="center"/>
            </w:pPr>
            <w:r/>
            <w:r>
              <w:rPr>
                <w:rFonts w:ascii="Arial" w:hAnsi="Arial"/>
                <w:b/>
                <w:color w:val="155724"/>
                <w:sz w:val="20"/>
              </w:rPr>
              <w:t>Complete</w:t>
            </w:r>
          </w:p>
        </w:tc>
      </w:tr>
      <w:tr>
        <w:tc>
          <w:tcPr>
            <w:tcW w:type="dxa" w:w="2592"/>
          </w:tcPr>
          <w:p>
            <w:r/>
            <w:r>
              <w:rPr>
                <w:rFonts w:ascii="Arial" w:hAnsi="Arial"/>
                <w:b/>
                <w:sz w:val="20"/>
              </w:rPr>
              <w:t>CSS Variables</w:t>
            </w:r>
          </w:p>
        </w:tc>
        <w:tc>
          <w:tcPr>
            <w:tcW w:type="dxa" w:w="4608"/>
          </w:tcPr>
          <w:p>
            <w:r/>
            <w:r>
              <w:rPr>
                <w:rFonts w:ascii="Arial" w:hAnsi="Arial"/>
                <w:sz w:val="20"/>
              </w:rPr>
              <w:t>20+ theme variables: --bg, --card, --cyan, --pink, etc.</w:t>
            </w:r>
          </w:p>
        </w:tc>
        <w:tc>
          <w:tcPr>
            <w:tcW w:type="dxa" w:w="2160"/>
            <w:shd w:fill="D4EDDA" w:val="clear"/>
          </w:tcPr>
          <w:p>
            <w:pPr>
              <w:jc w:val="center"/>
            </w:pPr>
            <w:r/>
            <w:r>
              <w:rPr>
                <w:rFonts w:ascii="Arial" w:hAnsi="Arial"/>
                <w:b/>
                <w:color w:val="155724"/>
                <w:sz w:val="20"/>
              </w:rPr>
              <w:t>Complete</w:t>
            </w:r>
          </w:p>
        </w:tc>
      </w:tr>
      <w:tr>
        <w:tc>
          <w:tcPr>
            <w:tcW w:type="dxa" w:w="2592"/>
          </w:tcPr>
          <w:p>
            <w:r/>
            <w:r>
              <w:rPr>
                <w:rFonts w:ascii="Arial" w:hAnsi="Arial"/>
                <w:b/>
                <w:sz w:val="20"/>
              </w:rPr>
              <w:t>91/91 Compliance</w:t>
            </w:r>
          </w:p>
        </w:tc>
        <w:tc>
          <w:tcPr>
            <w:tcW w:type="dxa" w:w="4608"/>
          </w:tcPr>
          <w:p>
            <w:r/>
            <w:r>
              <w:rPr>
                <w:rFonts w:ascii="Arial" w:hAnsi="Arial"/>
                <w:sz w:val="20"/>
              </w:rPr>
              <w:t>All tools use standard vinculum-prefixed classes</w:t>
            </w:r>
          </w:p>
        </w:tc>
        <w:tc>
          <w:tcPr>
            <w:tcW w:type="dxa" w:w="2160"/>
            <w:shd w:fill="D4EDDA" w:val="clear"/>
          </w:tcPr>
          <w:p>
            <w:pPr>
              <w:jc w:val="center"/>
            </w:pPr>
            <w:r/>
            <w:r>
              <w:rPr>
                <w:rFonts w:ascii="Arial" w:hAnsi="Arial"/>
                <w:b/>
                <w:color w:val="155724"/>
                <w:sz w:val="20"/>
              </w:rPr>
              <w:t>Complete</w:t>
            </w:r>
          </w:p>
        </w:tc>
      </w:tr>
    </w:tbl>
    <w:p/>
    <w:p>
      <w:pPr>
        <w:pStyle w:val="Heading2"/>
      </w:pPr>
      <w:r>
        <w:t>3c. Compliance &amp; Integration</w:t>
      </w:r>
    </w:p>
    <w:tbl>
      <w:tblPr>
        <w:tblStyle w:val="TableGrid"/>
        <w:tblW w:type="auto" w:w="0"/>
        <w:jc w:val="center"/>
        <w:tblLook w:firstColumn="1" w:firstRow="1" w:lastColumn="0" w:lastRow="0" w:noHBand="0" w:noVBand="1" w:val="04A0"/>
      </w:tblPr>
      <w:tblGrid>
        <w:gridCol w:w="3120"/>
        <w:gridCol w:w="3120"/>
        <w:gridCol w:w="3120"/>
      </w:tblGrid>
      <w:tr>
        <w:tc>
          <w:tcPr>
            <w:tcW w:type="dxa" w:w="2592"/>
            <w:shd w:fill="1A1A2E" w:val="clear"/>
          </w:tcPr>
          <w:p>
            <w:r/>
            <w:r>
              <w:rPr>
                <w:rFonts w:ascii="Arial" w:hAnsi="Arial"/>
                <w:b/>
                <w:color w:val="FFFFFF"/>
                <w:sz w:val="20"/>
              </w:rPr>
              <w:t>Feature</w:t>
            </w:r>
          </w:p>
        </w:tc>
        <w:tc>
          <w:tcPr>
            <w:tcW w:type="dxa" w:w="4608"/>
            <w:shd w:fill="1A1A2E" w:val="clear"/>
          </w:tcPr>
          <w:p>
            <w:r/>
            <w:r>
              <w:rPr>
                <w:rFonts w:ascii="Arial" w:hAnsi="Arial"/>
                <w:b/>
                <w:color w:val="FFFFFF"/>
                <w:sz w:val="20"/>
              </w:rPr>
              <w:t>Description</w:t>
            </w:r>
          </w:p>
        </w:tc>
        <w:tc>
          <w:tcPr>
            <w:tcW w:type="dxa" w:w="2160"/>
            <w:shd w:fill="1A1A2E" w:val="clear"/>
          </w:tcPr>
          <w:p>
            <w:r/>
            <w:r>
              <w:rPr>
                <w:rFonts w:ascii="Arial" w:hAnsi="Arial"/>
                <w:b/>
                <w:color w:val="FFFFFF"/>
                <w:sz w:val="20"/>
              </w:rPr>
              <w:t>Status</w:t>
            </w:r>
          </w:p>
        </w:tc>
      </w:tr>
      <w:tr>
        <w:tc>
          <w:tcPr>
            <w:tcW w:type="dxa" w:w="2592"/>
          </w:tcPr>
          <w:p>
            <w:r/>
            <w:r>
              <w:rPr>
                <w:rFonts w:ascii="Arial" w:hAnsi="Arial"/>
                <w:b/>
                <w:sz w:val="20"/>
              </w:rPr>
              <w:t>CCSS Alignment</w:t>
            </w:r>
          </w:p>
        </w:tc>
        <w:tc>
          <w:tcPr>
            <w:tcW w:type="dxa" w:w="4608"/>
          </w:tcPr>
          <w:p>
            <w:r/>
            <w:r>
              <w:rPr>
                <w:rFonts w:ascii="Arial" w:hAnsi="Arial"/>
                <w:sz w:val="20"/>
              </w:rPr>
              <w:t>All K–4 tools mapped to Common Core standards</w:t>
            </w:r>
          </w:p>
        </w:tc>
        <w:tc>
          <w:tcPr>
            <w:tcW w:type="dxa" w:w="2160"/>
            <w:shd w:fill="D4EDDA" w:val="clear"/>
          </w:tcPr>
          <w:p>
            <w:pPr>
              <w:jc w:val="center"/>
            </w:pPr>
            <w:r/>
            <w:r>
              <w:rPr>
                <w:rFonts w:ascii="Arial" w:hAnsi="Arial"/>
                <w:b/>
                <w:color w:val="155724"/>
                <w:sz w:val="20"/>
              </w:rPr>
              <w:t>Complete</w:t>
            </w:r>
          </w:p>
        </w:tc>
      </w:tr>
      <w:tr>
        <w:tc>
          <w:tcPr>
            <w:tcW w:type="dxa" w:w="2592"/>
          </w:tcPr>
          <w:p>
            <w:r/>
            <w:r>
              <w:rPr>
                <w:rFonts w:ascii="Arial" w:hAnsi="Arial"/>
                <w:b/>
                <w:sz w:val="20"/>
              </w:rPr>
              <w:t>MN Standards Tags</w:t>
            </w:r>
          </w:p>
        </w:tc>
        <w:tc>
          <w:tcPr>
            <w:tcW w:type="dxa" w:w="4608"/>
          </w:tcPr>
          <w:p>
            <w:r/>
            <w:r>
              <w:rPr>
                <w:rFonts w:ascii="Arial" w:hAnsi="Arial"/>
                <w:sz w:val="20"/>
              </w:rPr>
              <w:t>Minnesota standard tags in tool headers</w:t>
            </w:r>
          </w:p>
        </w:tc>
        <w:tc>
          <w:tcPr>
            <w:tcW w:type="dxa" w:w="2160"/>
            <w:shd w:fill="D4EDDA" w:val="clear"/>
          </w:tcPr>
          <w:p>
            <w:pPr>
              <w:jc w:val="center"/>
            </w:pPr>
            <w:r/>
            <w:r>
              <w:rPr>
                <w:rFonts w:ascii="Arial" w:hAnsi="Arial"/>
                <w:b/>
                <w:color w:val="155724"/>
                <w:sz w:val="20"/>
              </w:rPr>
              <w:t>Complete</w:t>
            </w:r>
          </w:p>
        </w:tc>
      </w:tr>
      <w:tr>
        <w:tc>
          <w:tcPr>
            <w:tcW w:type="dxa" w:w="2592"/>
          </w:tcPr>
          <w:p>
            <w:r/>
            <w:r>
              <w:rPr>
                <w:rFonts w:ascii="Arial" w:hAnsi="Arial"/>
                <w:b/>
                <w:sz w:val="20"/>
              </w:rPr>
              <w:t>Indigenous Content</w:t>
            </w:r>
          </w:p>
        </w:tc>
        <w:tc>
          <w:tcPr>
            <w:tcW w:type="dxa" w:w="4608"/>
          </w:tcPr>
          <w:p>
            <w:r/>
            <w:r>
              <w:rPr>
                <w:rFonts w:ascii="Arial" w:hAnsi="Arial"/>
                <w:sz w:val="20"/>
              </w:rPr>
              <w:t>17/91 tools include Dakota/Anishinaabe/Ojibwe context</w:t>
            </w:r>
          </w:p>
        </w:tc>
        <w:tc>
          <w:tcPr>
            <w:tcW w:type="dxa" w:w="2160"/>
            <w:shd w:fill="FFF3CD" w:val="clear"/>
          </w:tcPr>
          <w:p>
            <w:pPr>
              <w:jc w:val="center"/>
            </w:pPr>
            <w:r/>
            <w:r>
              <w:rPr>
                <w:rFonts w:ascii="Arial" w:hAnsi="Arial"/>
                <w:b/>
                <w:color w:val="856404"/>
                <w:sz w:val="20"/>
              </w:rPr>
              <w:t>Partial</w:t>
            </w:r>
          </w:p>
        </w:tc>
      </w:tr>
      <w:tr>
        <w:tc>
          <w:tcPr>
            <w:tcW w:type="dxa" w:w="2592"/>
          </w:tcPr>
          <w:p>
            <w:r/>
            <w:r>
              <w:rPr>
                <w:rFonts w:ascii="Arial" w:hAnsi="Arial"/>
                <w:b/>
                <w:sz w:val="20"/>
              </w:rPr>
              <w:t>MN 120B.021</w:t>
            </w:r>
          </w:p>
        </w:tc>
        <w:tc>
          <w:tcPr>
            <w:tcW w:type="dxa" w:w="4608"/>
          </w:tcPr>
          <w:p>
            <w:r/>
            <w:r>
              <w:rPr>
                <w:rFonts w:ascii="Arial" w:hAnsi="Arial"/>
                <w:sz w:val="20"/>
              </w:rPr>
              <w:t>Dakota &amp; Anishinaabe integration (required by 2027–28)</w:t>
            </w:r>
          </w:p>
        </w:tc>
        <w:tc>
          <w:tcPr>
            <w:tcW w:type="dxa" w:w="2160"/>
            <w:shd w:fill="FFF3CD" w:val="clear"/>
          </w:tcPr>
          <w:p>
            <w:pPr>
              <w:jc w:val="center"/>
            </w:pPr>
            <w:r/>
            <w:r>
              <w:rPr>
                <w:rFonts w:ascii="Arial" w:hAnsi="Arial"/>
                <w:b/>
                <w:color w:val="856404"/>
                <w:sz w:val="20"/>
              </w:rPr>
              <w:t>Partial</w:t>
            </w:r>
          </w:p>
        </w:tc>
      </w:tr>
      <w:tr>
        <w:tc>
          <w:tcPr>
            <w:tcW w:type="dxa" w:w="2592"/>
          </w:tcPr>
          <w:p>
            <w:r/>
            <w:r>
              <w:rPr>
                <w:rFonts w:ascii="Arial" w:hAnsi="Arial"/>
                <w:b/>
                <w:sz w:val="20"/>
              </w:rPr>
              <w:t>Community Review</w:t>
            </w:r>
          </w:p>
        </w:tc>
        <w:tc>
          <w:tcPr>
            <w:tcW w:type="dxa" w:w="4608"/>
          </w:tcPr>
          <w:p>
            <w:r/>
            <w:r>
              <w:rPr>
                <w:rFonts w:ascii="Arial" w:hAnsi="Arial"/>
                <w:sz w:val="20"/>
              </w:rPr>
              <w:t>Indigenous educator review of cultural content</w:t>
            </w:r>
          </w:p>
        </w:tc>
        <w:tc>
          <w:tcPr>
            <w:tcW w:type="dxa" w:w="2160"/>
            <w:shd w:fill="F8D7DA" w:val="clear"/>
          </w:tcPr>
          <w:p>
            <w:pPr>
              <w:jc w:val="center"/>
            </w:pPr>
            <w:r/>
            <w:r>
              <w:rPr>
                <w:rFonts w:ascii="Arial" w:hAnsi="Arial"/>
                <w:b/>
                <w:color w:val="721C24"/>
                <w:sz w:val="20"/>
              </w:rPr>
              <w:t>Not Started</w:t>
            </w:r>
          </w:p>
        </w:tc>
      </w:tr>
      <w:tr>
        <w:tc>
          <w:tcPr>
            <w:tcW w:type="dxa" w:w="2592"/>
          </w:tcPr>
          <w:p>
            <w:r/>
            <w:r>
              <w:rPr>
                <w:rFonts w:ascii="Arial" w:hAnsi="Arial"/>
                <w:b/>
                <w:sz w:val="20"/>
              </w:rPr>
              <w:t>Accessibility</w:t>
            </w:r>
          </w:p>
        </w:tc>
        <w:tc>
          <w:tcPr>
            <w:tcW w:type="dxa" w:w="4608"/>
          </w:tcPr>
          <w:p>
            <w:r/>
            <w:r>
              <w:rPr>
                <w:rFonts w:ascii="Arial" w:hAnsi="Arial"/>
                <w:sz w:val="20"/>
              </w:rPr>
              <w:t>sr-only aria-live regions in all tools</w:t>
            </w:r>
          </w:p>
        </w:tc>
        <w:tc>
          <w:tcPr>
            <w:tcW w:type="dxa" w:w="2160"/>
            <w:shd w:fill="FFF3CD" w:val="clear"/>
          </w:tcPr>
          <w:p>
            <w:pPr>
              <w:jc w:val="center"/>
            </w:pPr>
            <w:r/>
            <w:r>
              <w:rPr>
                <w:rFonts w:ascii="Arial" w:hAnsi="Arial"/>
                <w:b/>
                <w:color w:val="856404"/>
                <w:sz w:val="20"/>
              </w:rPr>
              <w:t>Partial</w:t>
            </w:r>
          </w:p>
        </w:tc>
      </w:tr>
    </w:tbl>
    <w:p/>
    <w:p>
      <w:pPr>
        <w:pStyle w:val="Heading2"/>
      </w:pPr>
      <w:r>
        <w:t>3d. Planned Features (Not Yet Built)</w:t>
      </w:r>
    </w:p>
    <w:tbl>
      <w:tblPr>
        <w:tblStyle w:val="TableGrid"/>
        <w:tblW w:type="auto" w:w="0"/>
        <w:jc w:val="center"/>
        <w:tblLook w:firstColumn="1" w:firstRow="1" w:lastColumn="0" w:lastRow="0" w:noHBand="0" w:noVBand="1" w:val="04A0"/>
      </w:tblPr>
      <w:tblGrid>
        <w:gridCol w:w="3120"/>
        <w:gridCol w:w="3120"/>
        <w:gridCol w:w="3120"/>
      </w:tblGrid>
      <w:tr>
        <w:tc>
          <w:tcPr>
            <w:tcW w:type="dxa" w:w="2592"/>
            <w:shd w:fill="1A1A2E" w:val="clear"/>
          </w:tcPr>
          <w:p>
            <w:r/>
            <w:r>
              <w:rPr>
                <w:rFonts w:ascii="Arial" w:hAnsi="Arial"/>
                <w:b/>
                <w:color w:val="FFFFFF"/>
                <w:sz w:val="20"/>
              </w:rPr>
              <w:t>Feature</w:t>
            </w:r>
          </w:p>
        </w:tc>
        <w:tc>
          <w:tcPr>
            <w:tcW w:type="dxa" w:w="4608"/>
            <w:shd w:fill="1A1A2E" w:val="clear"/>
          </w:tcPr>
          <w:p>
            <w:r/>
            <w:r>
              <w:rPr>
                <w:rFonts w:ascii="Arial" w:hAnsi="Arial"/>
                <w:b/>
                <w:color w:val="FFFFFF"/>
                <w:sz w:val="20"/>
              </w:rPr>
              <w:t>Description</w:t>
            </w:r>
          </w:p>
        </w:tc>
        <w:tc>
          <w:tcPr>
            <w:tcW w:type="dxa" w:w="2160"/>
            <w:shd w:fill="1A1A2E" w:val="clear"/>
          </w:tcPr>
          <w:p>
            <w:r/>
            <w:r>
              <w:rPr>
                <w:rFonts w:ascii="Arial" w:hAnsi="Arial"/>
                <w:b/>
                <w:color w:val="FFFFFF"/>
                <w:sz w:val="20"/>
              </w:rPr>
              <w:t>Status</w:t>
            </w:r>
          </w:p>
        </w:tc>
      </w:tr>
      <w:tr>
        <w:tc>
          <w:tcPr>
            <w:tcW w:type="dxa" w:w="2592"/>
          </w:tcPr>
          <w:p>
            <w:r/>
            <w:r>
              <w:rPr>
                <w:rFonts w:ascii="Arial" w:hAnsi="Arial"/>
                <w:b/>
                <w:sz w:val="20"/>
              </w:rPr>
              <w:t>Fluency Dashboard</w:t>
            </w:r>
          </w:p>
        </w:tc>
        <w:tc>
          <w:tcPr>
            <w:tcW w:type="dxa" w:w="4608"/>
          </w:tcPr>
          <w:p>
            <w:r/>
            <w:r>
              <w:rPr>
                <w:rFonts w:ascii="Arial" w:hAnsi="Arial"/>
                <w:sz w:val="20"/>
              </w:rPr>
              <w:t>Class heatmap grid, localStorage + CSV export</w:t>
            </w:r>
          </w:p>
        </w:tc>
        <w:tc>
          <w:tcPr>
            <w:tcW w:type="dxa" w:w="2160"/>
            <w:shd w:fill="E2E3F1" w:val="clear"/>
          </w:tcPr>
          <w:p>
            <w:pPr>
              <w:jc w:val="center"/>
            </w:pPr>
            <w:r/>
            <w:r>
              <w:rPr>
                <w:rFonts w:ascii="Arial" w:hAnsi="Arial"/>
                <w:b/>
                <w:color w:val="383D6E"/>
                <w:sz w:val="20"/>
              </w:rPr>
              <w:t>Planned</w:t>
            </w:r>
          </w:p>
        </w:tc>
      </w:tr>
      <w:tr>
        <w:tc>
          <w:tcPr>
            <w:tcW w:type="dxa" w:w="2592"/>
          </w:tcPr>
          <w:p>
            <w:r/>
            <w:r>
              <w:rPr>
                <w:rFonts w:ascii="Arial" w:hAnsi="Arial"/>
                <w:b/>
                <w:sz w:val="20"/>
              </w:rPr>
              <w:t>Identity System</w:t>
            </w:r>
          </w:p>
        </w:tc>
        <w:tc>
          <w:tcPr>
            <w:tcW w:type="dxa" w:w="4608"/>
          </w:tcPr>
          <w:p>
            <w:r/>
            <w:r>
              <w:rPr>
                <w:rFonts w:ascii="Arial" w:hAnsi="Arial"/>
                <w:sz w:val="20"/>
              </w:rPr>
              <w:t>Student codes S001–S200, no PII</w:t>
            </w:r>
          </w:p>
        </w:tc>
        <w:tc>
          <w:tcPr>
            <w:tcW w:type="dxa" w:w="2160"/>
            <w:shd w:fill="E2E3F1" w:val="clear"/>
          </w:tcPr>
          <w:p>
            <w:pPr>
              <w:jc w:val="center"/>
            </w:pPr>
            <w:r/>
            <w:r>
              <w:rPr>
                <w:rFonts w:ascii="Arial" w:hAnsi="Arial"/>
                <w:b/>
                <w:color w:val="383D6E"/>
                <w:sz w:val="20"/>
              </w:rPr>
              <w:t>Planned</w:t>
            </w:r>
          </w:p>
        </w:tc>
      </w:tr>
      <w:tr>
        <w:tc>
          <w:tcPr>
            <w:tcW w:type="dxa" w:w="2592"/>
          </w:tcPr>
          <w:p>
            <w:r/>
            <w:r>
              <w:rPr>
                <w:rFonts w:ascii="Arial" w:hAnsi="Arial"/>
                <w:b/>
                <w:sz w:val="20"/>
              </w:rPr>
              <w:t>vinculum-indigenous.js</w:t>
            </w:r>
          </w:p>
        </w:tc>
        <w:tc>
          <w:tcPr>
            <w:tcW w:type="dxa" w:w="4608"/>
          </w:tcPr>
          <w:p>
            <w:r/>
            <w:r>
              <w:rPr>
                <w:rFonts w:ascii="Arial" w:hAnsi="Arial"/>
                <w:sz w:val="20"/>
              </w:rPr>
              <w:t>Shared module for cultural context injection</w:t>
            </w:r>
          </w:p>
        </w:tc>
        <w:tc>
          <w:tcPr>
            <w:tcW w:type="dxa" w:w="2160"/>
            <w:shd w:fill="E2E3F1" w:val="clear"/>
          </w:tcPr>
          <w:p>
            <w:pPr>
              <w:jc w:val="center"/>
            </w:pPr>
            <w:r/>
            <w:r>
              <w:rPr>
                <w:rFonts w:ascii="Arial" w:hAnsi="Arial"/>
                <w:b/>
                <w:color w:val="383D6E"/>
                <w:sz w:val="20"/>
              </w:rPr>
              <w:t>Planned</w:t>
            </w:r>
          </w:p>
        </w:tc>
      </w:tr>
      <w:tr>
        <w:tc>
          <w:tcPr>
            <w:tcW w:type="dxa" w:w="2592"/>
          </w:tcPr>
          <w:p>
            <w:r/>
            <w:r>
              <w:rPr>
                <w:rFonts w:ascii="Arial" w:hAnsi="Arial"/>
                <w:b/>
                <w:sz w:val="20"/>
              </w:rPr>
              <w:t>Grade 5 Tools</w:t>
            </w:r>
          </w:p>
        </w:tc>
        <w:tc>
          <w:tcPr>
            <w:tcW w:type="dxa" w:w="4608"/>
          </w:tcPr>
          <w:p>
            <w:r/>
            <w:r>
              <w:rPr>
                <w:rFonts w:ascii="Arial" w:hAnsi="Arial"/>
                <w:sz w:val="20"/>
              </w:rPr>
              <w:t>Completes Phase 2 Bridge of Algebraic Thinking plan</w:t>
            </w:r>
          </w:p>
        </w:tc>
        <w:tc>
          <w:tcPr>
            <w:tcW w:type="dxa" w:w="2160"/>
            <w:shd w:fill="F8D7DA" w:val="clear"/>
          </w:tcPr>
          <w:p>
            <w:pPr>
              <w:jc w:val="center"/>
            </w:pPr>
            <w:r/>
            <w:r>
              <w:rPr>
                <w:rFonts w:ascii="Arial" w:hAnsi="Arial"/>
                <w:b/>
                <w:color w:val="721C24"/>
                <w:sz w:val="20"/>
              </w:rPr>
              <w:t>Not Started</w:t>
            </w:r>
          </w:p>
        </w:tc>
      </w:tr>
      <w:tr>
        <w:tc>
          <w:tcPr>
            <w:tcW w:type="dxa" w:w="2592"/>
          </w:tcPr>
          <w:p>
            <w:r/>
            <w:r>
              <w:rPr>
                <w:rFonts w:ascii="Arial" w:hAnsi="Arial"/>
                <w:b/>
                <w:sz w:val="20"/>
              </w:rPr>
              <w:t>Grades 6–12</w:t>
            </w:r>
          </w:p>
        </w:tc>
        <w:tc>
          <w:tcPr>
            <w:tcW w:type="dxa" w:w="4608"/>
          </w:tcPr>
          <w:p>
            <w:r/>
            <w:r>
              <w:rPr>
                <w:rFonts w:ascii="Arial" w:hAnsi="Arial"/>
                <w:sz w:val="20"/>
              </w:rPr>
              <w:t>Phase 3 (Core Algebra) + Phase 4 (Advanced)</w:t>
            </w:r>
          </w:p>
        </w:tc>
        <w:tc>
          <w:tcPr>
            <w:tcW w:type="dxa" w:w="2160"/>
            <w:shd w:fill="F8D7DA" w:val="clear"/>
          </w:tcPr>
          <w:p>
            <w:pPr>
              <w:jc w:val="center"/>
            </w:pPr>
            <w:r/>
            <w:r>
              <w:rPr>
                <w:rFonts w:ascii="Arial" w:hAnsi="Arial"/>
                <w:b/>
                <w:color w:val="721C24"/>
                <w:sz w:val="20"/>
              </w:rPr>
              <w:t>Not Started</w:t>
            </w:r>
          </w:p>
        </w:tc>
      </w:tr>
      <w:tr>
        <w:tc>
          <w:tcPr>
            <w:tcW w:type="dxa" w:w="2592"/>
          </w:tcPr>
          <w:p>
            <w:r/>
            <w:r>
              <w:rPr>
                <w:rFonts w:ascii="Arial" w:hAnsi="Arial"/>
                <w:b/>
                <w:sz w:val="20"/>
              </w:rPr>
              <w:t>Automated Testing</w:t>
            </w:r>
          </w:p>
        </w:tc>
        <w:tc>
          <w:tcPr>
            <w:tcW w:type="dxa" w:w="4608"/>
          </w:tcPr>
          <w:p>
            <w:r/>
            <w:r>
              <w:rPr>
                <w:rFonts w:ascii="Arial" w:hAnsi="Arial"/>
                <w:sz w:val="20"/>
              </w:rPr>
              <w:t>Unit tests, integration tests, test harness</w:t>
            </w:r>
          </w:p>
        </w:tc>
        <w:tc>
          <w:tcPr>
            <w:tcW w:type="dxa" w:w="2160"/>
            <w:shd w:fill="F8D7DA" w:val="clear"/>
          </w:tcPr>
          <w:p>
            <w:pPr>
              <w:jc w:val="center"/>
            </w:pPr>
            <w:r/>
            <w:r>
              <w:rPr>
                <w:rFonts w:ascii="Arial" w:hAnsi="Arial"/>
                <w:b/>
                <w:color w:val="721C24"/>
                <w:sz w:val="20"/>
              </w:rPr>
              <w:t>Not Started</w:t>
            </w:r>
          </w:p>
        </w:tc>
      </w:tr>
    </w:tbl>
    <w:p/>
    <w:p>
      <w:r>
        <w:br w:type="page"/>
      </w:r>
    </w:p>
    <w:p>
      <w:pPr>
        <w:pStyle w:val="Heading1"/>
      </w:pPr>
      <w:r>
        <w:t>4. Scalability Assessment</w:t>
      </w:r>
    </w:p>
    <w:p>
      <w:pPr>
        <w:pStyle w:val="Heading2"/>
      </w:pPr>
      <w:r>
        <w:t>4a. Architecture Strengths</w:t>
      </w:r>
    </w:p>
    <w:p>
      <w:pPr>
        <w:pStyle w:val="ListBullet"/>
      </w:pPr>
      <w:r>
        <w:t>Zero-server architecture: Static HTML on GitHub Pages means no hosting costs, no downtime, no database. Scales to unlimited concurrent users via CDN.</w:t>
      </w:r>
    </w:p>
    <w:p>
      <w:pPr>
        <w:pStyle w:val="ListBullet"/>
      </w:pPr>
      <w:r>
        <w:t>Shared module chain: 12 JS modules handle common functionality. Adding a new tool means copying the template and customizing — shared behavior is inherited automatically.</w:t>
      </w:r>
    </w:p>
    <w:p>
      <w:pPr>
        <w:pStyle w:val="ListBullet"/>
      </w:pPr>
      <w:r>
        <w:t>Design system compliance: vinculum-core.css with CSS variables means a theme change propagates to all 91 tools instantly.</w:t>
      </w:r>
    </w:p>
    <w:p>
      <w:pPr>
        <w:pStyle w:val="ListBullet"/>
      </w:pPr>
      <w:r>
        <w:t>Validation script: vinculum-validate.sh catches drift before it ships. Every new tool is automatically checked against 6 compliance rules.</w:t>
      </w:r>
    </w:p>
    <w:p>
      <w:pPr>
        <w:pStyle w:val="ListBullet"/>
      </w:pPr>
      <w:r>
        <w:t>Template-driven workflow: tools/_template.html provides a 5-step copy-and-customize process for building new tools.</w:t>
      </w:r>
    </w:p>
    <w:p>
      <w:pPr>
        <w:pStyle w:val="Heading2"/>
      </w:pPr>
      <w:r>
        <w:t>4b. Scalability Risks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160"/>
            <w:shd w:fill="1A1A2E" w:val="clear"/>
          </w:tcPr>
          <w:p>
            <w:r/>
            <w:r>
              <w:rPr>
                <w:rFonts w:ascii="Arial" w:hAnsi="Arial"/>
                <w:b/>
                <w:color w:val="FFFFFF"/>
                <w:sz w:val="20"/>
              </w:rPr>
              <w:t>Risk</w:t>
            </w:r>
          </w:p>
        </w:tc>
        <w:tc>
          <w:tcPr>
            <w:tcW w:type="dxa" w:w="2880"/>
            <w:shd w:fill="1A1A2E" w:val="clear"/>
          </w:tcPr>
          <w:p>
            <w:r/>
            <w:r>
              <w:rPr>
                <w:rFonts w:ascii="Arial" w:hAnsi="Arial"/>
                <w:b/>
                <w:color w:val="FFFFFF"/>
                <w:sz w:val="20"/>
              </w:rPr>
              <w:t>Impact</w:t>
            </w:r>
          </w:p>
        </w:tc>
        <w:tc>
          <w:tcPr>
            <w:tcW w:type="dxa" w:w="1872"/>
            <w:shd w:fill="1A1A2E" w:val="clear"/>
          </w:tcPr>
          <w:p>
            <w:r/>
            <w:r>
              <w:rPr>
                <w:rFonts w:ascii="Arial" w:hAnsi="Arial"/>
                <w:b/>
                <w:color w:val="FFFFFF"/>
                <w:sz w:val="20"/>
              </w:rPr>
              <w:t>Severity</w:t>
            </w:r>
          </w:p>
        </w:tc>
        <w:tc>
          <w:tcPr>
            <w:tcW w:type="dxa" w:w="2448"/>
            <w:shd w:fill="1A1A2E" w:val="clear"/>
          </w:tcPr>
          <w:p>
            <w:r/>
            <w:r>
              <w:rPr>
                <w:rFonts w:ascii="Arial" w:hAnsi="Arial"/>
                <w:b/>
                <w:color w:val="FFFFFF"/>
                <w:sz w:val="20"/>
              </w:rPr>
              <w:t>Mitigation</w:t>
            </w:r>
          </w:p>
        </w:tc>
      </w:tr>
      <w:tr>
        <w:tc>
          <w:tcPr>
            <w:tcW w:type="dxa" w:w="2160"/>
          </w:tcPr>
          <w:p>
            <w:r/>
            <w:r>
              <w:rPr>
                <w:rFonts w:ascii="Arial" w:hAnsi="Arial"/>
                <w:b/>
                <w:sz w:val="20"/>
              </w:rPr>
              <w:t>File size bloat</w:t>
            </w:r>
          </w:p>
        </w:tc>
        <w:tc>
          <w:tcPr>
            <w:tcW w:type="dxa" w:w="2880"/>
          </w:tcPr>
          <w:p>
            <w:r/>
            <w:r>
              <w:rPr>
                <w:rFonts w:ascii="Arial" w:hAnsi="Arial"/>
                <w:sz w:val="20"/>
              </w:rPr>
              <w:t>42 files &gt; 35KB, 5 &gt; 50KB (max 128KB)</w:t>
            </w:r>
          </w:p>
        </w:tc>
        <w:tc>
          <w:tcPr>
            <w:tcW w:type="dxa" w:w="1872"/>
            <w:shd w:fill="FFF3CD" w:val="clear"/>
          </w:tcPr>
          <w:p>
            <w:pPr>
              <w:jc w:val="center"/>
            </w:pPr>
            <w:r/>
            <w:r>
              <w:rPr>
                <w:rFonts w:ascii="Arial" w:hAnsi="Arial"/>
                <w:b/>
                <w:color w:val="856404"/>
                <w:sz w:val="20"/>
              </w:rPr>
              <w:t>Partial</w:t>
            </w:r>
          </w:p>
        </w:tc>
        <w:tc>
          <w:tcPr>
            <w:tcW w:type="dxa" w:w="2448"/>
          </w:tcPr>
          <w:p>
            <w:r/>
            <w:r>
              <w:rPr>
                <w:rFonts w:ascii="Arial" w:hAnsi="Arial"/>
                <w:sz w:val="20"/>
              </w:rPr>
              <w:t>Extract question banks to JSON</w:t>
            </w:r>
          </w:p>
        </w:tc>
      </w:tr>
      <w:tr>
        <w:tc>
          <w:tcPr>
            <w:tcW w:type="dxa" w:w="2160"/>
          </w:tcPr>
          <w:p>
            <w:r/>
            <w:r>
              <w:rPr>
                <w:rFonts w:ascii="Arial" w:hAnsi="Arial"/>
                <w:b/>
                <w:sz w:val="20"/>
              </w:rPr>
              <w:t>Inline code duplication</w:t>
            </w:r>
          </w:p>
        </w:tc>
        <w:tc>
          <w:tcPr>
            <w:tcW w:type="dxa" w:w="2880"/>
          </w:tcPr>
          <w:p>
            <w:r/>
            <w:r>
              <w:rPr>
                <w:rFonts w:ascii="Arial" w:hAnsi="Arial"/>
                <w:sz w:val="20"/>
              </w:rPr>
              <w:t>86 tools still have inline showFB()</w:t>
            </w:r>
          </w:p>
        </w:tc>
        <w:tc>
          <w:tcPr>
            <w:tcW w:type="dxa" w:w="1872"/>
            <w:shd w:fill="FFF3CD" w:val="clear"/>
          </w:tcPr>
          <w:p>
            <w:pPr>
              <w:jc w:val="center"/>
            </w:pPr>
            <w:r/>
            <w:r>
              <w:rPr>
                <w:rFonts w:ascii="Arial" w:hAnsi="Arial"/>
                <w:b/>
                <w:color w:val="856404"/>
                <w:sz w:val="20"/>
              </w:rPr>
              <w:t>Partial</w:t>
            </w:r>
          </w:p>
        </w:tc>
        <w:tc>
          <w:tcPr>
            <w:tcW w:type="dxa" w:w="2448"/>
          </w:tcPr>
          <w:p>
            <w:r/>
            <w:r>
              <w:rPr>
                <w:rFonts w:ascii="Arial" w:hAnsi="Arial"/>
                <w:sz w:val="20"/>
              </w:rPr>
              <w:t>Incremental refactor per grade</w:t>
            </w:r>
          </w:p>
        </w:tc>
      </w:tr>
      <w:tr>
        <w:tc>
          <w:tcPr>
            <w:tcW w:type="dxa" w:w="2160"/>
          </w:tcPr>
          <w:p>
            <w:r/>
            <w:r>
              <w:rPr>
                <w:rFonts w:ascii="Arial" w:hAnsi="Arial"/>
                <w:b/>
                <w:sz w:val="20"/>
              </w:rPr>
              <w:t>No automated testing</w:t>
            </w:r>
          </w:p>
        </w:tc>
        <w:tc>
          <w:tcPr>
            <w:tcW w:type="dxa" w:w="2880"/>
          </w:tcPr>
          <w:p>
            <w:r/>
            <w:r>
              <w:rPr>
                <w:rFonts w:ascii="Arial" w:hAnsi="Arial"/>
                <w:sz w:val="20"/>
              </w:rPr>
              <w:t>Manual testing only</w:t>
            </w:r>
          </w:p>
        </w:tc>
        <w:tc>
          <w:tcPr>
            <w:tcW w:type="dxa" w:w="1872"/>
            <w:shd w:fill="F8D7DA" w:val="clear"/>
          </w:tcPr>
          <w:p>
            <w:pPr>
              <w:jc w:val="center"/>
            </w:pPr>
            <w:r/>
            <w:r>
              <w:rPr>
                <w:rFonts w:ascii="Arial" w:hAnsi="Arial"/>
                <w:b/>
                <w:color w:val="721C24"/>
                <w:sz w:val="20"/>
              </w:rPr>
              <w:t>Not Started</w:t>
            </w:r>
          </w:p>
        </w:tc>
        <w:tc>
          <w:tcPr>
            <w:tcW w:type="dxa" w:w="2448"/>
          </w:tcPr>
          <w:p>
            <w:r/>
            <w:r>
              <w:rPr>
                <w:rFonts w:ascii="Arial" w:hAnsi="Arial"/>
                <w:sz w:val="20"/>
              </w:rPr>
              <w:t>Add test harness</w:t>
            </w:r>
          </w:p>
        </w:tc>
      </w:tr>
      <w:tr>
        <w:tc>
          <w:tcPr>
            <w:tcW w:type="dxa" w:w="2160"/>
          </w:tcPr>
          <w:p>
            <w:r/>
            <w:r>
              <w:rPr>
                <w:rFonts w:ascii="Arial" w:hAnsi="Arial"/>
                <w:b/>
                <w:sz w:val="20"/>
              </w:rPr>
              <w:t>No data persistence</w:t>
            </w:r>
          </w:p>
        </w:tc>
        <w:tc>
          <w:tcPr>
            <w:tcW w:type="dxa" w:w="2880"/>
          </w:tcPr>
          <w:p>
            <w:r/>
            <w:r>
              <w:rPr>
                <w:rFonts w:ascii="Arial" w:hAnsi="Arial"/>
                <w:sz w:val="20"/>
              </w:rPr>
              <w:t>Progress resets on refresh</w:t>
            </w:r>
          </w:p>
        </w:tc>
        <w:tc>
          <w:tcPr>
            <w:tcW w:type="dxa" w:w="1872"/>
            <w:shd w:fill="E2E3F1" w:val="clear"/>
          </w:tcPr>
          <w:p>
            <w:pPr>
              <w:jc w:val="center"/>
            </w:pPr>
            <w:r/>
            <w:r>
              <w:rPr>
                <w:rFonts w:ascii="Arial" w:hAnsi="Arial"/>
                <w:b/>
                <w:color w:val="383D6E"/>
                <w:sz w:val="20"/>
              </w:rPr>
              <w:t>Planned</w:t>
            </w:r>
          </w:p>
        </w:tc>
        <w:tc>
          <w:tcPr>
            <w:tcW w:type="dxa" w:w="2448"/>
          </w:tcPr>
          <w:p>
            <w:r/>
            <w:r>
              <w:rPr>
                <w:rFonts w:ascii="Arial" w:hAnsi="Arial"/>
                <w:sz w:val="20"/>
              </w:rPr>
              <w:t>Identity + dashboard system</w:t>
            </w:r>
          </w:p>
        </w:tc>
      </w:tr>
      <w:tr>
        <w:tc>
          <w:tcPr>
            <w:tcW w:type="dxa" w:w="2160"/>
          </w:tcPr>
          <w:p>
            <w:r/>
            <w:r>
              <w:rPr>
                <w:rFonts w:ascii="Arial" w:hAnsi="Arial"/>
                <w:b/>
                <w:sz w:val="20"/>
              </w:rPr>
              <w:t>Hub page complexity</w:t>
            </w:r>
          </w:p>
        </w:tc>
        <w:tc>
          <w:tcPr>
            <w:tcW w:type="dxa" w:w="2880"/>
          </w:tcPr>
          <w:p>
            <w:r/>
            <w:r>
              <w:rPr>
                <w:rFonts w:ascii="Arial" w:hAnsi="Arial"/>
                <w:sz w:val="20"/>
              </w:rPr>
              <w:t>98 entries on one page</w:t>
            </w:r>
          </w:p>
        </w:tc>
        <w:tc>
          <w:tcPr>
            <w:tcW w:type="dxa" w:w="1872"/>
            <w:shd w:fill="FFF3CD" w:val="clear"/>
          </w:tcPr>
          <w:p>
            <w:pPr>
              <w:jc w:val="center"/>
            </w:pPr>
            <w:r/>
            <w:r>
              <w:rPr>
                <w:rFonts w:ascii="Arial" w:hAnsi="Arial"/>
                <w:b/>
                <w:color w:val="856404"/>
                <w:sz w:val="20"/>
              </w:rPr>
              <w:t>Partial</w:t>
            </w:r>
          </w:p>
        </w:tc>
        <w:tc>
          <w:tcPr>
            <w:tcW w:type="dxa" w:w="2448"/>
          </w:tcPr>
          <w:p>
            <w:r/>
            <w:r>
              <w:rPr>
                <w:rFonts w:ascii="Arial" w:hAnsi="Arial"/>
                <w:sz w:val="20"/>
              </w:rPr>
              <w:t>Add filter/search or routing</w:t>
            </w:r>
          </w:p>
        </w:tc>
      </w:tr>
    </w:tbl>
    <w:p/>
    <w:p>
      <w:pPr>
        <w:pStyle w:val="Heading2"/>
      </w:pPr>
      <w:r>
        <w:t>4c. File Size Distribution</w:t>
      </w:r>
    </w:p>
    <w:tbl>
      <w:tblPr>
        <w:tblStyle w:val="TableGrid"/>
        <w:tblW w:type="auto" w:w="0"/>
        <w:jc w:val="center"/>
        <w:tblLook w:firstColumn="1" w:firstRow="1" w:lastColumn="0" w:lastRow="0" w:noHBand="0" w:noVBand="1" w:val="04A0"/>
      </w:tblPr>
      <w:tblGrid>
        <w:gridCol w:w="3120"/>
        <w:gridCol w:w="3120"/>
        <w:gridCol w:w="3120"/>
      </w:tblGrid>
      <w:tr>
        <w:tc>
          <w:tcPr>
            <w:tcW w:type="dxa" w:w="2592"/>
            <w:shd w:fill="1A1A2E" w:val="clear"/>
          </w:tcPr>
          <w:p>
            <w:r/>
            <w:r>
              <w:rPr>
                <w:rFonts w:ascii="Arial" w:hAnsi="Arial"/>
                <w:b/>
                <w:color w:val="FFFFFF"/>
                <w:sz w:val="20"/>
              </w:rPr>
              <w:t>Size Range</w:t>
            </w:r>
          </w:p>
        </w:tc>
        <w:tc>
          <w:tcPr>
            <w:tcW w:type="dxa" w:w="1440"/>
            <w:shd w:fill="1A1A2E" w:val="clear"/>
          </w:tcPr>
          <w:p>
            <w:r/>
            <w:r>
              <w:rPr>
                <w:rFonts w:ascii="Arial" w:hAnsi="Arial"/>
                <w:b/>
                <w:color w:val="FFFFFF"/>
                <w:sz w:val="20"/>
              </w:rPr>
              <w:t>Count</w:t>
            </w:r>
          </w:p>
        </w:tc>
        <w:tc>
          <w:tcPr>
            <w:tcW w:type="dxa" w:w="5328"/>
            <w:shd w:fill="1A1A2E" w:val="clear"/>
          </w:tcPr>
          <w:p>
            <w:r/>
            <w:r>
              <w:rPr>
                <w:rFonts w:ascii="Arial" w:hAnsi="Arial"/>
                <w:b/>
                <w:color w:val="FFFFFF"/>
                <w:sz w:val="20"/>
              </w:rPr>
              <w:t>Assessment</w:t>
            </w:r>
          </w:p>
        </w:tc>
      </w:tr>
      <w:tr>
        <w:tc>
          <w:tcPr>
            <w:tcW w:type="dxa" w:w="2592"/>
          </w:tcPr>
          <w:p>
            <w:r/>
            <w:r>
              <w:rPr>
                <w:rFonts w:ascii="Arial" w:hAnsi="Arial"/>
                <w:sz w:val="20"/>
              </w:rPr>
              <w:t>Under 25 KB</w:t>
            </w:r>
          </w:p>
        </w:tc>
        <w:tc>
          <w:tcPr>
            <w:tcW w:type="dxa" w:w="1440"/>
          </w:tcPr>
          <w:p>
            <w:pPr>
              <w:jc w:val="center"/>
            </w:pPr>
            <w:r/>
            <w:r>
              <w:rPr>
                <w:rFonts w:ascii="Arial" w:hAnsi="Arial"/>
                <w:sz w:val="20"/>
              </w:rPr>
              <w:t>17</w:t>
            </w:r>
          </w:p>
        </w:tc>
        <w:tc>
          <w:tcPr>
            <w:tcW w:type="dxa" w:w="5328"/>
          </w:tcPr>
          <w:p>
            <w:r/>
            <w:r>
              <w:rPr>
                <w:rFonts w:ascii="Arial" w:hAnsi="Arial"/>
                <w:color w:val="155724"/>
                <w:sz w:val="20"/>
              </w:rPr>
              <w:t>Excellent — mostly G4 tools (model for future builds)</w:t>
            </w:r>
          </w:p>
        </w:tc>
      </w:tr>
      <w:tr>
        <w:tc>
          <w:tcPr>
            <w:tcW w:type="dxa" w:w="2592"/>
          </w:tcPr>
          <w:p>
            <w:r/>
            <w:r>
              <w:rPr>
                <w:rFonts w:ascii="Arial" w:hAnsi="Arial"/>
                <w:sz w:val="20"/>
              </w:rPr>
              <w:t>25–35 KB</w:t>
            </w:r>
          </w:p>
        </w:tc>
        <w:tc>
          <w:tcPr>
            <w:tcW w:type="dxa" w:w="1440"/>
          </w:tcPr>
          <w:p>
            <w:pPr>
              <w:jc w:val="center"/>
            </w:pPr>
            <w:r/>
            <w:r>
              <w:rPr>
                <w:rFonts w:ascii="Arial" w:hAnsi="Arial"/>
                <w:sz w:val="20"/>
              </w:rPr>
              <w:t>25</w:t>
            </w:r>
          </w:p>
        </w:tc>
        <w:tc>
          <w:tcPr>
            <w:tcW w:type="dxa" w:w="5328"/>
          </w:tcPr>
          <w:p>
            <w:r/>
            <w:r>
              <w:rPr>
                <w:rFonts w:ascii="Arial" w:hAnsi="Arial"/>
                <w:sz w:val="20"/>
              </w:rPr>
              <w:t>Acceptable — room for optimization</w:t>
            </w:r>
          </w:p>
        </w:tc>
      </w:tr>
      <w:tr>
        <w:tc>
          <w:tcPr>
            <w:tcW w:type="dxa" w:w="2592"/>
          </w:tcPr>
          <w:p>
            <w:r/>
            <w:r>
              <w:rPr>
                <w:rFonts w:ascii="Arial" w:hAnsi="Arial"/>
                <w:sz w:val="20"/>
              </w:rPr>
              <w:t>35–50 KB</w:t>
            </w:r>
          </w:p>
        </w:tc>
        <w:tc>
          <w:tcPr>
            <w:tcW w:type="dxa" w:w="1440"/>
          </w:tcPr>
          <w:p>
            <w:pPr>
              <w:jc w:val="center"/>
            </w:pPr>
            <w:r/>
            <w:r>
              <w:rPr>
                <w:rFonts w:ascii="Arial" w:hAnsi="Arial"/>
                <w:sz w:val="20"/>
              </w:rPr>
              <w:t>35</w:t>
            </w:r>
          </w:p>
        </w:tc>
        <w:tc>
          <w:tcPr>
            <w:tcW w:type="dxa" w:w="5328"/>
          </w:tcPr>
          <w:p>
            <w:r/>
            <w:r>
              <w:rPr>
                <w:rFonts w:ascii="Arial" w:hAnsi="Arial"/>
                <w:color w:val="856404"/>
                <w:sz w:val="20"/>
              </w:rPr>
              <w:t>Warning — should extract question banks</w:t>
            </w:r>
          </w:p>
        </w:tc>
      </w:tr>
      <w:tr>
        <w:tc>
          <w:tcPr>
            <w:tcW w:type="dxa" w:w="2592"/>
          </w:tcPr>
          <w:p>
            <w:r/>
            <w:r>
              <w:rPr>
                <w:rFonts w:ascii="Arial" w:hAnsi="Arial"/>
                <w:sz w:val="20"/>
              </w:rPr>
              <w:t>Over 50 KB</w:t>
            </w:r>
          </w:p>
        </w:tc>
        <w:tc>
          <w:tcPr>
            <w:tcW w:type="dxa" w:w="1440"/>
          </w:tcPr>
          <w:p>
            <w:pPr>
              <w:jc w:val="center"/>
            </w:pPr>
            <w:r/>
            <w:r>
              <w:rPr>
                <w:rFonts w:ascii="Arial" w:hAnsi="Arial"/>
                <w:sz w:val="20"/>
              </w:rPr>
              <w:t>5</w:t>
            </w:r>
          </w:p>
        </w:tc>
        <w:tc>
          <w:tcPr>
            <w:tcW w:type="dxa" w:w="5328"/>
          </w:tcPr>
          <w:p>
            <w:r/>
            <w:r>
              <w:rPr>
                <w:rFonts w:ascii="Arial" w:hAnsi="Arial"/>
                <w:color w:val="721C24"/>
                <w:sz w:val="20"/>
              </w:rPr>
              <w:t>Critical — needs data extraction to JSON</w:t>
            </w:r>
          </w:p>
        </w:tc>
      </w:tr>
    </w:tbl>
    <w:p/>
    <w:p>
      <w:r>
        <w:t>Largest files: 2/word-problems.html (128 KB), K/shape-sorter.html (76 KB), 2/time-money.html (56 KB), K/measurement-compare.html (52 KB), K/teen-number-factory.html (52 KB).</w:t>
      </w:r>
    </w:p>
    <w:p>
      <w:r>
        <w:br w:type="page"/>
      </w:r>
    </w:p>
    <w:p>
      <w:pPr>
        <w:pStyle w:val="Heading1"/>
      </w:pPr>
      <w:r>
        <w:t>5. Deployment &amp; Infrastructure</w:t>
      </w:r>
    </w:p>
    <w:tbl>
      <w:tblPr>
        <w:tblStyle w:val="TableGrid"/>
        <w:tblW w:type="auto" w:w="0"/>
        <w:jc w:val="center"/>
        <w:tblLook w:firstColumn="1" w:firstRow="1" w:lastColumn="0" w:lastRow="0" w:noHBand="0" w:noVBand="1" w:val="04A0"/>
      </w:tblPr>
      <w:tblGrid>
        <w:gridCol w:w="4680"/>
        <w:gridCol w:w="4680"/>
      </w:tblGrid>
      <w:tr>
        <w:tc>
          <w:tcPr>
            <w:tcW w:type="dxa" w:w="2880"/>
            <w:shd w:fill="1A1A2E" w:val="clear"/>
          </w:tcPr>
          <w:p>
            <w:r/>
            <w:r>
              <w:rPr>
                <w:rFonts w:ascii="Arial" w:hAnsi="Arial"/>
                <w:b/>
                <w:color w:val="FFFFFF"/>
                <w:sz w:val="20"/>
              </w:rPr>
              <w:t>Parameter</w:t>
            </w:r>
          </w:p>
        </w:tc>
        <w:tc>
          <w:tcPr>
            <w:tcW w:type="dxa" w:w="6480"/>
            <w:shd w:fill="1A1A2E" w:val="clear"/>
          </w:tcPr>
          <w:p>
            <w:r/>
            <w:r>
              <w:rPr>
                <w:rFonts w:ascii="Arial" w:hAnsi="Arial"/>
                <w:b/>
                <w:color w:val="FFFFFF"/>
                <w:sz w:val="20"/>
              </w:rPr>
              <w:t>Value</w:t>
            </w:r>
          </w:p>
        </w:tc>
      </w:tr>
      <w:tr>
        <w:tc>
          <w:tcPr>
            <w:tcW w:type="dxa" w:w="2880"/>
          </w:tcPr>
          <w:p>
            <w:r/>
            <w:r>
              <w:rPr>
                <w:rFonts w:ascii="Arial" w:hAnsi="Arial"/>
                <w:b/>
                <w:sz w:val="20"/>
              </w:rPr>
              <w:t>Live URL</w:t>
            </w:r>
          </w:p>
        </w:tc>
        <w:tc>
          <w:tcPr>
            <w:tcW w:type="dxa" w:w="6480"/>
          </w:tcPr>
          <w:p>
            <w:r/>
            <w:r>
              <w:rPr>
                <w:rFonts w:ascii="Arial" w:hAnsi="Arial"/>
                <w:sz w:val="20"/>
              </w:rPr>
              <w:t>discrafty-cpu.github.io/vinculum-hub</w:t>
            </w:r>
          </w:p>
        </w:tc>
      </w:tr>
      <w:tr>
        <w:tc>
          <w:tcPr>
            <w:tcW w:type="dxa" w:w="2880"/>
          </w:tcPr>
          <w:p>
            <w:r/>
            <w:r>
              <w:rPr>
                <w:rFonts w:ascii="Arial" w:hAnsi="Arial"/>
                <w:b/>
                <w:sz w:val="20"/>
              </w:rPr>
              <w:t>Repository</w:t>
            </w:r>
          </w:p>
        </w:tc>
        <w:tc>
          <w:tcPr>
            <w:tcW w:type="dxa" w:w="6480"/>
          </w:tcPr>
          <w:p>
            <w:r/>
            <w:r>
              <w:rPr>
                <w:rFonts w:ascii="Arial" w:hAnsi="Arial"/>
                <w:sz w:val="20"/>
              </w:rPr>
              <w:t>github.com/discrafty-cpu/vinculum-hub</w:t>
            </w:r>
          </w:p>
        </w:tc>
      </w:tr>
      <w:tr>
        <w:tc>
          <w:tcPr>
            <w:tcW w:type="dxa" w:w="2880"/>
          </w:tcPr>
          <w:p>
            <w:r/>
            <w:r>
              <w:rPr>
                <w:rFonts w:ascii="Arial" w:hAnsi="Arial"/>
                <w:b/>
                <w:sz w:val="20"/>
              </w:rPr>
              <w:t>Hosting</w:t>
            </w:r>
          </w:p>
        </w:tc>
        <w:tc>
          <w:tcPr>
            <w:tcW w:type="dxa" w:w="6480"/>
          </w:tcPr>
          <w:p>
            <w:r/>
            <w:r>
              <w:rPr>
                <w:rFonts w:ascii="Arial" w:hAnsi="Arial"/>
                <w:sz w:val="20"/>
              </w:rPr>
              <w:t>GitHub Pages (free, CDN-backed)</w:t>
            </w:r>
          </w:p>
        </w:tc>
      </w:tr>
      <w:tr>
        <w:tc>
          <w:tcPr>
            <w:tcW w:type="dxa" w:w="2880"/>
          </w:tcPr>
          <w:p>
            <w:r/>
            <w:r>
              <w:rPr>
                <w:rFonts w:ascii="Arial" w:hAnsi="Arial"/>
                <w:b/>
                <w:sz w:val="20"/>
              </w:rPr>
              <w:t>Deployments</w:t>
            </w:r>
          </w:p>
        </w:tc>
        <w:tc>
          <w:tcPr>
            <w:tcW w:type="dxa" w:w="6480"/>
          </w:tcPr>
          <w:p>
            <w:r/>
            <w:r>
              <w:rPr>
                <w:rFonts w:ascii="Arial" w:hAnsi="Arial"/>
                <w:sz w:val="20"/>
              </w:rPr>
              <w:t>35 total (auto-deploys on push to main)</w:t>
            </w:r>
          </w:p>
        </w:tc>
      </w:tr>
      <w:tr>
        <w:tc>
          <w:tcPr>
            <w:tcW w:type="dxa" w:w="2880"/>
          </w:tcPr>
          <w:p>
            <w:r/>
            <w:r>
              <w:rPr>
                <w:rFonts w:ascii="Arial" w:hAnsi="Arial"/>
                <w:b/>
                <w:sz w:val="20"/>
              </w:rPr>
              <w:t>Languages</w:t>
            </w:r>
          </w:p>
        </w:tc>
        <w:tc>
          <w:tcPr>
            <w:tcW w:type="dxa" w:w="6480"/>
          </w:tcPr>
          <w:p>
            <w:r/>
            <w:r>
              <w:rPr>
                <w:rFonts w:ascii="Arial" w:hAnsi="Arial"/>
                <w:sz w:val="20"/>
              </w:rPr>
              <w:t>HTML 94.9%, JavaScript 4.2%, Other 0.9%</w:t>
            </w:r>
          </w:p>
        </w:tc>
      </w:tr>
      <w:tr>
        <w:tc>
          <w:tcPr>
            <w:tcW w:type="dxa" w:w="2880"/>
          </w:tcPr>
          <w:p>
            <w:r/>
            <w:r>
              <w:rPr>
                <w:rFonts w:ascii="Arial" w:hAnsi="Arial"/>
                <w:b/>
                <w:sz w:val="20"/>
              </w:rPr>
              <w:t>Backend</w:t>
            </w:r>
          </w:p>
        </w:tc>
        <w:tc>
          <w:tcPr>
            <w:tcW w:type="dxa" w:w="6480"/>
          </w:tcPr>
          <w:p>
            <w:r/>
            <w:r>
              <w:rPr>
                <w:rFonts w:ascii="Arial" w:hAnsi="Arial"/>
                <w:sz w:val="20"/>
              </w:rPr>
              <w:t>None — fully static, zero-server</w:t>
            </w:r>
          </w:p>
        </w:tc>
      </w:tr>
      <w:tr>
        <w:tc>
          <w:tcPr>
            <w:tcW w:type="dxa" w:w="2880"/>
          </w:tcPr>
          <w:p>
            <w:r/>
            <w:r>
              <w:rPr>
                <w:rFonts w:ascii="Arial" w:hAnsi="Arial"/>
                <w:b/>
                <w:sz w:val="20"/>
              </w:rPr>
              <w:t>Database</w:t>
            </w:r>
          </w:p>
        </w:tc>
        <w:tc>
          <w:tcPr>
            <w:tcW w:type="dxa" w:w="6480"/>
          </w:tcPr>
          <w:p>
            <w:r/>
            <w:r>
              <w:rPr>
                <w:rFonts w:ascii="Arial" w:hAnsi="Arial"/>
                <w:sz w:val="20"/>
              </w:rPr>
              <w:t>None — localStorage planned via vinculum-identity.js</w:t>
            </w:r>
          </w:p>
        </w:tc>
      </w:tr>
      <w:tr>
        <w:tc>
          <w:tcPr>
            <w:tcW w:type="dxa" w:w="2880"/>
          </w:tcPr>
          <w:p>
            <w:r/>
            <w:r>
              <w:rPr>
                <w:rFonts w:ascii="Arial" w:hAnsi="Arial"/>
                <w:b/>
                <w:sz w:val="20"/>
              </w:rPr>
              <w:t>Build Process</w:t>
            </w:r>
          </w:p>
        </w:tc>
        <w:tc>
          <w:tcPr>
            <w:tcW w:type="dxa" w:w="6480"/>
          </w:tcPr>
          <w:p>
            <w:r/>
            <w:r>
              <w:rPr>
                <w:rFonts w:ascii="Arial" w:hAnsi="Arial"/>
                <w:sz w:val="20"/>
              </w:rPr>
              <w:t>None required — raw HTML/JS/CSS served directly</w:t>
            </w:r>
          </w:p>
        </w:tc>
      </w:tr>
      <w:tr>
        <w:tc>
          <w:tcPr>
            <w:tcW w:type="dxa" w:w="2880"/>
          </w:tcPr>
          <w:p>
            <w:r/>
            <w:r>
              <w:rPr>
                <w:rFonts w:ascii="Arial" w:hAnsi="Arial"/>
                <w:b/>
                <w:sz w:val="20"/>
              </w:rPr>
              <w:t>CI/CD</w:t>
            </w:r>
          </w:p>
        </w:tc>
        <w:tc>
          <w:tcPr>
            <w:tcW w:type="dxa" w:w="6480"/>
          </w:tcPr>
          <w:p>
            <w:r/>
            <w:r>
              <w:rPr>
                <w:rFonts w:ascii="Arial" w:hAnsi="Arial"/>
                <w:sz w:val="20"/>
              </w:rPr>
              <w:t>vinculum-validate.sh (manual pre-push)</w:t>
            </w:r>
          </w:p>
        </w:tc>
      </w:tr>
      <w:tr>
        <w:tc>
          <w:tcPr>
            <w:tcW w:type="dxa" w:w="2880"/>
          </w:tcPr>
          <w:p>
            <w:r/>
            <w:r>
              <w:rPr>
                <w:rFonts w:ascii="Arial" w:hAnsi="Arial"/>
                <w:b/>
                <w:sz w:val="20"/>
              </w:rPr>
              <w:t>Contributors</w:t>
            </w:r>
          </w:p>
        </w:tc>
        <w:tc>
          <w:tcPr>
            <w:tcW w:type="dxa" w:w="6480"/>
          </w:tcPr>
          <w:p>
            <w:r/>
            <w:r>
              <w:rPr>
                <w:rFonts w:ascii="Arial" w:hAnsi="Arial"/>
                <w:sz w:val="20"/>
              </w:rPr>
              <w:t>1 (claude Claude)</w:t>
            </w:r>
          </w:p>
        </w:tc>
      </w:tr>
    </w:tbl>
    <w:p/>
    <w:p>
      <w:pPr>
        <w:pStyle w:val="Heading1"/>
      </w:pPr>
      <w:r>
        <w:t>6. Algebraic Thinking Roadmap</w:t>
      </w:r>
    </w:p>
    <w:p>
      <w:r>
        <w:t>The Algebraic Thinking Implementation Plan defines 4 phases for scaling K–12:</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592"/>
            <w:shd w:fill="1A1A2E" w:val="clear"/>
          </w:tcPr>
          <w:p>
            <w:r/>
            <w:r>
              <w:rPr>
                <w:rFonts w:ascii="Arial" w:hAnsi="Arial"/>
                <w:b/>
                <w:color w:val="FFFFFF"/>
                <w:sz w:val="20"/>
              </w:rPr>
              <w:t>Phase</w:t>
            </w:r>
          </w:p>
        </w:tc>
        <w:tc>
          <w:tcPr>
            <w:tcW w:type="dxa" w:w="1152"/>
            <w:shd w:fill="1A1A2E" w:val="clear"/>
          </w:tcPr>
          <w:p>
            <w:r/>
            <w:r>
              <w:rPr>
                <w:rFonts w:ascii="Arial" w:hAnsi="Arial"/>
                <w:b/>
                <w:color w:val="FFFFFF"/>
                <w:sz w:val="20"/>
              </w:rPr>
              <w:t>Grades</w:t>
            </w:r>
          </w:p>
        </w:tc>
        <w:tc>
          <w:tcPr>
            <w:tcW w:type="dxa" w:w="3888"/>
            <w:shd w:fill="1A1A2E" w:val="clear"/>
          </w:tcPr>
          <w:p>
            <w:r/>
            <w:r>
              <w:rPr>
                <w:rFonts w:ascii="Arial" w:hAnsi="Arial"/>
                <w:b/>
                <w:color w:val="FFFFFF"/>
                <w:sz w:val="20"/>
              </w:rPr>
              <w:t>Focus</w:t>
            </w:r>
          </w:p>
        </w:tc>
        <w:tc>
          <w:tcPr>
            <w:tcW w:type="dxa" w:w="1728"/>
            <w:shd w:fill="1A1A2E" w:val="clear"/>
          </w:tcPr>
          <w:p>
            <w:r/>
            <w:r>
              <w:rPr>
                <w:rFonts w:ascii="Arial" w:hAnsi="Arial"/>
                <w:b/>
                <w:color w:val="FFFFFF"/>
                <w:sz w:val="20"/>
              </w:rPr>
              <w:t>Status</w:t>
            </w:r>
          </w:p>
        </w:tc>
      </w:tr>
      <w:tr>
        <w:tc>
          <w:tcPr>
            <w:tcW w:type="dxa" w:w="2592"/>
          </w:tcPr>
          <w:p>
            <w:r/>
            <w:r>
              <w:rPr>
                <w:rFonts w:ascii="Arial" w:hAnsi="Arial"/>
                <w:b/>
                <w:sz w:val="20"/>
              </w:rPr>
              <w:t>Phase 1: Foundation</w:t>
            </w:r>
          </w:p>
        </w:tc>
        <w:tc>
          <w:tcPr>
            <w:tcW w:type="dxa" w:w="1152"/>
          </w:tcPr>
          <w:p>
            <w:pPr>
              <w:jc w:val="center"/>
            </w:pPr>
            <w:r/>
            <w:r>
              <w:rPr>
                <w:rFonts w:ascii="Arial" w:hAnsi="Arial"/>
                <w:sz w:val="20"/>
              </w:rPr>
              <w:t>K–2</w:t>
            </w:r>
          </w:p>
        </w:tc>
        <w:tc>
          <w:tcPr>
            <w:tcW w:type="dxa" w:w="3888"/>
          </w:tcPr>
          <w:p>
            <w:r/>
            <w:r>
              <w:rPr>
                <w:rFonts w:ascii="Arial" w:hAnsi="Arial"/>
                <w:sz w:val="20"/>
              </w:rPr>
              <w:t>Number sense, patterns, equality concepts</w:t>
            </w:r>
          </w:p>
        </w:tc>
        <w:tc>
          <w:tcPr>
            <w:tcW w:type="dxa" w:w="1728"/>
            <w:shd w:fill="D4EDDA" w:val="clear"/>
          </w:tcPr>
          <w:p>
            <w:pPr>
              <w:jc w:val="center"/>
            </w:pPr>
            <w:r/>
            <w:r>
              <w:rPr>
                <w:rFonts w:ascii="Arial" w:hAnsi="Arial"/>
                <w:b/>
                <w:color w:val="155724"/>
                <w:sz w:val="20"/>
              </w:rPr>
              <w:t>Complete</w:t>
            </w:r>
          </w:p>
        </w:tc>
      </w:tr>
      <w:tr>
        <w:tc>
          <w:tcPr>
            <w:tcW w:type="dxa" w:w="2592"/>
          </w:tcPr>
          <w:p>
            <w:r/>
            <w:r>
              <w:rPr>
                <w:rFonts w:ascii="Arial" w:hAnsi="Arial"/>
                <w:b/>
                <w:sz w:val="20"/>
              </w:rPr>
              <w:t>Phase 2: Bridge</w:t>
            </w:r>
          </w:p>
        </w:tc>
        <w:tc>
          <w:tcPr>
            <w:tcW w:type="dxa" w:w="1152"/>
          </w:tcPr>
          <w:p>
            <w:pPr>
              <w:jc w:val="center"/>
            </w:pPr>
            <w:r/>
            <w:r>
              <w:rPr>
                <w:rFonts w:ascii="Arial" w:hAnsi="Arial"/>
                <w:sz w:val="20"/>
              </w:rPr>
              <w:t>3–5</w:t>
            </w:r>
          </w:p>
        </w:tc>
        <w:tc>
          <w:tcPr>
            <w:tcW w:type="dxa" w:w="3888"/>
          </w:tcPr>
          <w:p>
            <w:r/>
            <w:r>
              <w:rPr>
                <w:rFonts w:ascii="Arial" w:hAnsi="Arial"/>
                <w:sz w:val="20"/>
              </w:rPr>
              <w:t>Properties, unknowns, fraction reasoning</w:t>
            </w:r>
          </w:p>
        </w:tc>
        <w:tc>
          <w:tcPr>
            <w:tcW w:type="dxa" w:w="1728"/>
            <w:shd w:fill="FFF3CD" w:val="clear"/>
          </w:tcPr>
          <w:p>
            <w:pPr>
              <w:jc w:val="center"/>
            </w:pPr>
            <w:r/>
            <w:r>
              <w:rPr>
                <w:rFonts w:ascii="Arial" w:hAnsi="Arial"/>
                <w:b/>
                <w:color w:val="856404"/>
                <w:sz w:val="20"/>
              </w:rPr>
              <w:t>Partial</w:t>
            </w:r>
          </w:p>
        </w:tc>
      </w:tr>
      <w:tr>
        <w:tc>
          <w:tcPr>
            <w:tcW w:type="dxa" w:w="2592"/>
          </w:tcPr>
          <w:p>
            <w:r/>
            <w:r>
              <w:rPr>
                <w:rFonts w:ascii="Arial" w:hAnsi="Arial"/>
                <w:b/>
                <w:sz w:val="20"/>
              </w:rPr>
              <w:t>Phase 3: Core Algebra</w:t>
            </w:r>
          </w:p>
        </w:tc>
        <w:tc>
          <w:tcPr>
            <w:tcW w:type="dxa" w:w="1152"/>
          </w:tcPr>
          <w:p>
            <w:pPr>
              <w:jc w:val="center"/>
            </w:pPr>
            <w:r/>
            <w:r>
              <w:rPr>
                <w:rFonts w:ascii="Arial" w:hAnsi="Arial"/>
                <w:sz w:val="20"/>
              </w:rPr>
              <w:t>6–8</w:t>
            </w:r>
          </w:p>
        </w:tc>
        <w:tc>
          <w:tcPr>
            <w:tcW w:type="dxa" w:w="3888"/>
          </w:tcPr>
          <w:p>
            <w:r/>
            <w:r>
              <w:rPr>
                <w:rFonts w:ascii="Arial" w:hAnsi="Arial"/>
                <w:sz w:val="20"/>
              </w:rPr>
              <w:t>Variables, expressions, equations, functions</w:t>
            </w:r>
          </w:p>
        </w:tc>
        <w:tc>
          <w:tcPr>
            <w:tcW w:type="dxa" w:w="1728"/>
            <w:shd w:fill="F8D7DA" w:val="clear"/>
          </w:tcPr>
          <w:p>
            <w:pPr>
              <w:jc w:val="center"/>
            </w:pPr>
            <w:r/>
            <w:r>
              <w:rPr>
                <w:rFonts w:ascii="Arial" w:hAnsi="Arial"/>
                <w:b/>
                <w:color w:val="721C24"/>
                <w:sz w:val="20"/>
              </w:rPr>
              <w:t>Not Started</w:t>
            </w:r>
          </w:p>
        </w:tc>
      </w:tr>
      <w:tr>
        <w:tc>
          <w:tcPr>
            <w:tcW w:type="dxa" w:w="2592"/>
          </w:tcPr>
          <w:p>
            <w:r/>
            <w:r>
              <w:rPr>
                <w:rFonts w:ascii="Arial" w:hAnsi="Arial"/>
                <w:b/>
                <w:sz w:val="20"/>
              </w:rPr>
              <w:t>Phase 4: Advanced</w:t>
            </w:r>
          </w:p>
        </w:tc>
        <w:tc>
          <w:tcPr>
            <w:tcW w:type="dxa" w:w="1152"/>
          </w:tcPr>
          <w:p>
            <w:pPr>
              <w:jc w:val="center"/>
            </w:pPr>
            <w:r/>
            <w:r>
              <w:rPr>
                <w:rFonts w:ascii="Arial" w:hAnsi="Arial"/>
                <w:sz w:val="20"/>
              </w:rPr>
              <w:t>9–12</w:t>
            </w:r>
          </w:p>
        </w:tc>
        <w:tc>
          <w:tcPr>
            <w:tcW w:type="dxa" w:w="3888"/>
          </w:tcPr>
          <w:p>
            <w:r/>
            <w:r>
              <w:rPr>
                <w:rFonts w:ascii="Arial" w:hAnsi="Arial"/>
                <w:sz w:val="20"/>
              </w:rPr>
              <w:t>Advanced algebra, modeling, proof</w:t>
            </w:r>
          </w:p>
        </w:tc>
        <w:tc>
          <w:tcPr>
            <w:tcW w:type="dxa" w:w="1728"/>
            <w:shd w:fill="F8D7DA" w:val="clear"/>
          </w:tcPr>
          <w:p>
            <w:pPr>
              <w:jc w:val="center"/>
            </w:pPr>
            <w:r/>
            <w:r>
              <w:rPr>
                <w:rFonts w:ascii="Arial" w:hAnsi="Arial"/>
                <w:b/>
                <w:color w:val="721C24"/>
                <w:sz w:val="20"/>
              </w:rPr>
              <w:t>Not Started</w:t>
            </w:r>
          </w:p>
        </w:tc>
      </w:tr>
    </w:tbl>
    <w:p/>
    <w:p>
      <w:r>
        <w:t>Phase 2 progress: Grades 3 and 4 complete (40 tools). Grade 5 is the remaining piece to close Phase 2.</w:t>
      </w:r>
    </w:p>
    <w:p>
      <w:pPr>
        <w:pStyle w:val="Heading1"/>
      </w:pPr>
      <w:r>
        <w:t>7. Recommended Next Steps (Prioritized)</w:t>
      </w:r>
    </w:p>
    <w:p>
      <w:pPr>
        <w:pStyle w:val="Heading2"/>
      </w:pPr>
      <w:r>
        <w:t>Priority 1: Finish What’s Started</w:t>
      </w:r>
    </w:p>
    <w:p>
      <w:pPr>
        <w:pStyle w:val="ListBullet"/>
      </w:pPr>
      <w:r>
        <w:rPr>
          <w:b/>
        </w:rPr>
        <w:t xml:space="preserve">Wire shared modules into tool JS logic — </w:t>
      </w:r>
      <w:r>
        <w:t>86 tools still have inline showFB() and adaptive code. Replace with shared API calls to reduce file sizes and ensure consistency.</w:t>
      </w:r>
    </w:p>
    <w:p>
      <w:pPr>
        <w:pStyle w:val="ListBullet"/>
      </w:pPr>
      <w:r>
        <w:rPr>
          <w:b/>
        </w:rPr>
        <w:t xml:space="preserve">Extract question banks from 5 critical files — </w:t>
      </w:r>
      <w:r>
        <w:t>Move hardcoded question arrays to external .json files. Should bring all tools under 50 KB.</w:t>
      </w:r>
    </w:p>
    <w:p>
      <w:pPr>
        <w:pStyle w:val="ListBullet"/>
      </w:pPr>
      <w:r>
        <w:rPr>
          <w:b/>
        </w:rPr>
        <w:t xml:space="preserve">Activate Smart Context inputs — </w:t>
      </w:r>
      <w:r>
        <w:t>vinculum-input.js is loaded but most tools still use native HTML inputs. Replace with VinculumInput.create() calls.</w:t>
      </w:r>
    </w:p>
    <w:p>
      <w:pPr>
        <w:pStyle w:val="Heading2"/>
      </w:pPr>
      <w:r>
        <w:t>Priority 2: Build Grade 5 (Close Phase 2)</w:t>
      </w:r>
    </w:p>
    <w:p>
      <w:pPr>
        <w:pStyle w:val="ListBullet"/>
      </w:pPr>
      <w:r>
        <w:rPr>
          <w:b/>
        </w:rPr>
        <w:t xml:space="preserve">Build 15–20 Grade 5 tools — </w:t>
      </w:r>
      <w:r>
        <w:t>Using _template.html and G4 as quality model. Domains: NBT (decimals, place value to millions), NF (fraction operations), OA (patterns, expressions), MD (volume, coordinate plane), G (2D classification).</w:t>
      </w:r>
    </w:p>
    <w:p>
      <w:pPr>
        <w:pStyle w:val="Heading2"/>
      </w:pPr>
      <w:r>
        <w:t>Priority 3: Teacher-Facing Systems</w:t>
      </w:r>
    </w:p>
    <w:p>
      <w:pPr>
        <w:pStyle w:val="ListBullet"/>
      </w:pPr>
      <w:r>
        <w:rPr>
          <w:b/>
        </w:rPr>
        <w:t xml:space="preserve">Fluency Dashboard (/dashboard.html) — </w:t>
      </w:r>
      <w:r>
        <w:t>Class heatmap grid, localStorage + CSV export. Gives teachers visibility into progress without a server.</w:t>
      </w:r>
    </w:p>
    <w:p>
      <w:pPr>
        <w:pStyle w:val="ListBullet"/>
      </w:pPr>
      <w:r>
        <w:rPr>
          <w:b/>
        </w:rPr>
        <w:t xml:space="preserve">Identity System (vinculum-identity.js) — </w:t>
      </w:r>
      <w:r>
        <w:t>Student codes S001–S200, no PII. Enables dashboard and cross-session persistence.</w:t>
      </w:r>
    </w:p>
    <w:p>
      <w:pPr>
        <w:pStyle w:val="Heading2"/>
      </w:pPr>
      <w:r>
        <w:t>Priority 4: Cultural Integration</w:t>
      </w:r>
    </w:p>
    <w:p>
      <w:pPr>
        <w:pStyle w:val="ListBullet"/>
      </w:pPr>
      <w:r>
        <w:rPr>
          <w:b/>
        </w:rPr>
        <w:t xml:space="preserve">Build vinculum-indigenous.js — </w:t>
      </w:r>
      <w:r>
        <w:t>Pull Digester_Tags from the .numbers file into shared module. Automate cultural context injection for all tools.</w:t>
      </w:r>
    </w:p>
    <w:p>
      <w:pPr>
        <w:pStyle w:val="ListBullet"/>
      </w:pPr>
      <w:r>
        <w:rPr>
          <w:b/>
        </w:rPr>
        <w:t xml:space="preserve">Community review process — </w:t>
      </w:r>
      <w:r>
        <w:t>All Dakota/Anishinaabe/Ojibwe content needs Indigenous educator review before MN deployment mode. Legal requirement under statute 120B.021 (deadline 2027–28).</w:t>
      </w:r>
    </w:p>
    <w:p>
      <w:pPr>
        <w:pStyle w:val="Heading2"/>
      </w:pPr>
      <w:r>
        <w:t>Priority 5: Scale to Grades 6–12</w:t>
      </w:r>
    </w:p>
    <w:p>
      <w:pPr>
        <w:pStyle w:val="ListBullet"/>
      </w:pPr>
      <w:r>
        <w:rPr>
          <w:b/>
        </w:rPr>
        <w:t xml:space="preserve">Phase 3: Core Algebra (Grades 6–8) — </w:t>
      </w:r>
      <w:r>
        <w:t>Variables, expressions, equations, functions. Reference the Algebraic Thinking PDF.</w:t>
      </w:r>
    </w:p>
    <w:p>
      <w:pPr>
        <w:pStyle w:val="ListBullet"/>
      </w:pPr>
      <w:r>
        <w:rPr>
          <w:b/>
        </w:rPr>
        <w:t xml:space="preserve">Phase 4: Advanced (Grades 9–12) — </w:t>
      </w:r>
      <w:r>
        <w:t>Advanced algebra, modeling, proof. Longest horizon item.</w:t>
      </w:r>
    </w:p>
    <w:p>
      <w:r>
        <w:br w:type="page"/>
      </w:r>
    </w:p>
    <w:p>
      <w:pPr>
        <w:pStyle w:val="Heading1"/>
      </w:pPr>
      <w:r>
        <w:t>8. Full Tool Inventory (91 Tools)</w:t>
      </w:r>
    </w:p>
    <w:p>
      <w:pPr>
        <w:pStyle w:val="Heading2"/>
      </w:pPr>
      <w:r>
        <w:t>Kindergarten (17 tools)</w:t>
      </w:r>
    </w:p>
    <w:p>
      <w:pPr>
        <w:pStyle w:val="ListBullet"/>
      </w:pPr>
      <w:r>
        <w:t>3D Shape Builder</w:t>
      </w:r>
    </w:p>
    <w:p>
      <w:pPr>
        <w:pStyle w:val="ListBullet"/>
      </w:pPr>
      <w:r>
        <w:t>Add &amp; Subtract</w:t>
      </w:r>
    </w:p>
    <w:p>
      <w:pPr>
        <w:pStyle w:val="ListBullet"/>
      </w:pPr>
      <w:r>
        <w:t>Classify &amp; Count</w:t>
      </w:r>
    </w:p>
    <w:p>
      <w:pPr>
        <w:pStyle w:val="ListBullet"/>
      </w:pPr>
      <w:r>
        <w:t>Counting Objects</w:t>
      </w:r>
    </w:p>
    <w:p>
      <w:pPr>
        <w:pStyle w:val="ListBullet"/>
      </w:pPr>
      <w:r>
        <w:t>Counting Sequences</w:t>
      </w:r>
    </w:p>
    <w:p>
      <w:pPr>
        <w:pStyle w:val="ListBullet"/>
      </w:pPr>
      <w:r>
        <w:t>Measurement Compare</w:t>
      </w:r>
    </w:p>
    <w:p>
      <w:pPr>
        <w:pStyle w:val="ListBullet"/>
      </w:pPr>
      <w:r>
        <w:t>Number Bonds</w:t>
      </w:r>
    </w:p>
    <w:p>
      <w:pPr>
        <w:pStyle w:val="ListBullet"/>
      </w:pPr>
      <w:r>
        <w:t>Number Compare</w:t>
      </w:r>
    </w:p>
    <w:p>
      <w:pPr>
        <w:pStyle w:val="ListBullet"/>
      </w:pPr>
      <w:r>
        <w:t>Number Path</w:t>
      </w:r>
    </w:p>
    <w:p>
      <w:pPr>
        <w:pStyle w:val="ListBullet"/>
      </w:pPr>
      <w:r>
        <w:t>Number Recognition</w:t>
      </w:r>
    </w:p>
    <w:p>
      <w:pPr>
        <w:pStyle w:val="ListBullet"/>
      </w:pPr>
      <w:r>
        <w:t>Pattern Machine</w:t>
      </w:r>
    </w:p>
    <w:p>
      <w:pPr>
        <w:pStyle w:val="ListBullet"/>
      </w:pPr>
      <w:r>
        <w:t>Position Words</w:t>
      </w:r>
    </w:p>
    <w:p>
      <w:pPr>
        <w:pStyle w:val="ListBullet"/>
      </w:pPr>
      <w:r>
        <w:t>Shape Builder</w:t>
      </w:r>
    </w:p>
    <w:p>
      <w:pPr>
        <w:pStyle w:val="ListBullet"/>
      </w:pPr>
      <w:r>
        <w:t>Shape Sorter</w:t>
      </w:r>
    </w:p>
    <w:p>
      <w:pPr>
        <w:pStyle w:val="ListBullet"/>
      </w:pPr>
      <w:r>
        <w:t>Story Problem Theater</w:t>
      </w:r>
    </w:p>
    <w:p>
      <w:pPr>
        <w:pStyle w:val="ListBullet"/>
      </w:pPr>
      <w:r>
        <w:t>Teen Number Factory</w:t>
      </w:r>
    </w:p>
    <w:p>
      <w:pPr>
        <w:pStyle w:val="ListBullet"/>
      </w:pPr>
      <w:r>
        <w:t>Teen Numbers</w:t>
      </w:r>
    </w:p>
    <w:p>
      <w:pPr>
        <w:pStyle w:val="Heading2"/>
      </w:pPr>
      <w:r>
        <w:t>Grade 1 (16 tools)</w:t>
      </w:r>
    </w:p>
    <w:p>
      <w:pPr>
        <w:pStyle w:val="ListBullet"/>
      </w:pPr>
      <w:r>
        <w:t>Add/Sub Fluency</w:t>
      </w:r>
    </w:p>
    <w:p>
      <w:pPr>
        <w:pStyle w:val="ListBullet"/>
      </w:pPr>
      <w:r>
        <w:t>Addition Number Line</w:t>
      </w:r>
    </w:p>
    <w:p>
      <w:pPr>
        <w:pStyle w:val="ListBullet"/>
      </w:pPr>
      <w:r>
        <w:t>Clock Reader</w:t>
      </w:r>
    </w:p>
    <w:p>
      <w:pPr>
        <w:pStyle w:val="ListBullet"/>
      </w:pPr>
      <w:r>
        <w:t>Comparison Symbols</w:t>
      </w:r>
    </w:p>
    <w:p>
      <w:pPr>
        <w:pStyle w:val="ListBullet"/>
      </w:pPr>
      <w:r>
        <w:t>Composite Shapes</w:t>
      </w:r>
    </w:p>
    <w:p>
      <w:pPr>
        <w:pStyle w:val="ListBullet"/>
      </w:pPr>
      <w:r>
        <w:t>Counter Builder</w:t>
      </w:r>
    </w:p>
    <w:p>
      <w:pPr>
        <w:pStyle w:val="ListBullet"/>
      </w:pPr>
      <w:r>
        <w:t>Counting to 120</w:t>
      </w:r>
    </w:p>
    <w:p>
      <w:pPr>
        <w:pStyle w:val="ListBullet"/>
      </w:pPr>
      <w:r>
        <w:t>Data &amp; Graphs</w:t>
      </w:r>
    </w:p>
    <w:p>
      <w:pPr>
        <w:pStyle w:val="ListBullet"/>
      </w:pPr>
      <w:r>
        <w:t>Equation Balance</w:t>
      </w:r>
    </w:p>
    <w:p>
      <w:pPr>
        <w:pStyle w:val="ListBullet"/>
      </w:pPr>
      <w:r>
        <w:t>Fact Family Houses</w:t>
      </w:r>
    </w:p>
    <w:p>
      <w:pPr>
        <w:pStyle w:val="ListBullet"/>
      </w:pPr>
      <w:r>
        <w:t>Fraction Shapes</w:t>
      </w:r>
    </w:p>
    <w:p>
      <w:pPr>
        <w:pStyle w:val="ListBullet"/>
      </w:pPr>
      <w:r>
        <w:t>Length Comparisons</w:t>
      </w:r>
    </w:p>
    <w:p>
      <w:pPr>
        <w:pStyle w:val="ListBullet"/>
      </w:pPr>
      <w:r>
        <w:t>Place Value: Tens &amp; Ones</w:t>
      </w:r>
    </w:p>
    <w:p>
      <w:pPr>
        <w:pStyle w:val="ListBullet"/>
      </w:pPr>
      <w:r>
        <w:t>Shape Attributes</w:t>
      </w:r>
    </w:p>
    <w:p>
      <w:pPr>
        <w:pStyle w:val="ListBullet"/>
      </w:pPr>
      <w:r>
        <w:t>Two-Digit Operations</w:t>
      </w:r>
    </w:p>
    <w:p>
      <w:pPr>
        <w:pStyle w:val="ListBullet"/>
      </w:pPr>
      <w:r>
        <w:t>Word Problem Models</w:t>
      </w:r>
    </w:p>
    <w:p>
      <w:pPr>
        <w:pStyle w:val="Heading2"/>
      </w:pPr>
      <w:r>
        <w:t>Grade 2 (17 tools)</w:t>
      </w:r>
    </w:p>
    <w:p>
      <w:pPr>
        <w:pStyle w:val="ListBullet"/>
      </w:pPr>
      <w:r>
        <w:t>Addition Strategies</w:t>
      </w:r>
    </w:p>
    <w:p>
      <w:pPr>
        <w:pStyle w:val="ListBullet"/>
      </w:pPr>
      <w:r>
        <w:t>Array Builder</w:t>
      </w:r>
    </w:p>
    <w:p>
      <w:pPr>
        <w:pStyle w:val="ListBullet"/>
      </w:pPr>
      <w:r>
        <w:t>Equal Shares</w:t>
      </w:r>
    </w:p>
    <w:p>
      <w:pPr>
        <w:pStyle w:val="ListBullet"/>
      </w:pPr>
      <w:r>
        <w:t>Fluency to 20</w:t>
      </w:r>
    </w:p>
    <w:p>
      <w:pPr>
        <w:pStyle w:val="ListBullet"/>
      </w:pPr>
      <w:r>
        <w:t>Line Plots</w:t>
      </w:r>
    </w:p>
    <w:p>
      <w:pPr>
        <w:pStyle w:val="ListBullet"/>
      </w:pPr>
      <w:r>
        <w:t>Measurement Lab</w:t>
      </w:r>
    </w:p>
    <w:p>
      <w:pPr>
        <w:pStyle w:val="ListBullet"/>
      </w:pPr>
      <w:r>
        <w:t>Number Line Operations</w:t>
      </w:r>
    </w:p>
    <w:p>
      <w:pPr>
        <w:pStyle w:val="ListBullet"/>
      </w:pPr>
      <w:r>
        <w:t>Odd &amp; Even</w:t>
      </w:r>
    </w:p>
    <w:p>
      <w:pPr>
        <w:pStyle w:val="ListBullet"/>
      </w:pPr>
      <w:r>
        <w:t>Partition Fractions</w:t>
      </w:r>
    </w:p>
    <w:p>
      <w:pPr>
        <w:pStyle w:val="ListBullet"/>
      </w:pPr>
      <w:r>
        <w:t>Picture Graphs</w:t>
      </w:r>
    </w:p>
    <w:p>
      <w:pPr>
        <w:pStyle w:val="ListBullet"/>
      </w:pPr>
      <w:r>
        <w:t>Place Value: Hundreds</w:t>
      </w:r>
    </w:p>
    <w:p>
      <w:pPr>
        <w:pStyle w:val="ListBullet"/>
      </w:pPr>
      <w:r>
        <w:t>Shape Identifier</w:t>
      </w:r>
    </w:p>
    <w:p>
      <w:pPr>
        <w:pStyle w:val="ListBullet"/>
      </w:pPr>
      <w:r>
        <w:t>Skip Counting</w:t>
      </w:r>
    </w:p>
    <w:p>
      <w:pPr>
        <w:pStyle w:val="ListBullet"/>
      </w:pPr>
      <w:r>
        <w:t>Three-Digit Operations</w:t>
      </w:r>
    </w:p>
    <w:p>
      <w:pPr>
        <w:pStyle w:val="ListBullet"/>
      </w:pPr>
      <w:r>
        <w:t>Time &amp; Money</w:t>
      </w:r>
    </w:p>
    <w:p>
      <w:pPr>
        <w:pStyle w:val="ListBullet"/>
      </w:pPr>
      <w:r>
        <w:t>Two-Digit Fluency</w:t>
      </w:r>
    </w:p>
    <w:p>
      <w:pPr>
        <w:pStyle w:val="ListBullet"/>
      </w:pPr>
      <w:r>
        <w:t>Word Problems</w:t>
      </w:r>
    </w:p>
    <w:p>
      <w:pPr>
        <w:pStyle w:val="Heading2"/>
      </w:pPr>
      <w:r>
        <w:t>Grade 3 (20 tools)</w:t>
      </w:r>
    </w:p>
    <w:p>
      <w:pPr>
        <w:pStyle w:val="ListBullet"/>
      </w:pPr>
      <w:r>
        <w:t>Area &amp; Perimeter</w:t>
      </w:r>
    </w:p>
    <w:p>
      <w:pPr>
        <w:pStyle w:val="ListBullet"/>
      </w:pPr>
      <w:r>
        <w:t>Division Fair Share</w:t>
      </w:r>
    </w:p>
    <w:p>
      <w:pPr>
        <w:pStyle w:val="ListBullet"/>
      </w:pPr>
      <w:r>
        <w:t>Elapsed Time</w:t>
      </w:r>
    </w:p>
    <w:p>
      <w:pPr>
        <w:pStyle w:val="ListBullet"/>
      </w:pPr>
      <w:r>
        <w:t>Equivalent Fractions</w:t>
      </w:r>
    </w:p>
    <w:p>
      <w:pPr>
        <w:pStyle w:val="ListBullet"/>
      </w:pPr>
      <w:r>
        <w:t>Fact Fluency</w:t>
      </w:r>
    </w:p>
    <w:p>
      <w:pPr>
        <w:pStyle w:val="ListBullet"/>
      </w:pPr>
      <w:r>
        <w:t>Fraction Bars</w:t>
      </w:r>
    </w:p>
    <w:p>
      <w:pPr>
        <w:pStyle w:val="ListBullet"/>
      </w:pPr>
      <w:r>
        <w:t>Fraction Number Line</w:t>
      </w:r>
    </w:p>
    <w:p>
      <w:pPr>
        <w:pStyle w:val="ListBullet"/>
      </w:pPr>
      <w:r>
        <w:t>Line Plot Fractions</w:t>
      </w:r>
    </w:p>
    <w:p>
      <w:pPr>
        <w:pStyle w:val="ListBullet"/>
      </w:pPr>
      <w:r>
        <w:t>Liquid Volume &amp; Mass</w:t>
      </w:r>
    </w:p>
    <w:p>
      <w:pPr>
        <w:pStyle w:val="ListBullet"/>
      </w:pPr>
      <w:r>
        <w:t>Multi-Digit Add/Sub</w:t>
      </w:r>
    </w:p>
    <w:p>
      <w:pPr>
        <w:pStyle w:val="ListBullet"/>
      </w:pPr>
      <w:r>
        <w:t>Multiplication Arrays</w:t>
      </w:r>
    </w:p>
    <w:p>
      <w:pPr>
        <w:pStyle w:val="ListBullet"/>
      </w:pPr>
      <w:r>
        <w:t>Multiply by Tens</w:t>
      </w:r>
    </w:p>
    <w:p>
      <w:pPr>
        <w:pStyle w:val="ListBullet"/>
      </w:pPr>
      <w:r>
        <w:t>Patterns &amp; Rules</w:t>
      </w:r>
    </w:p>
    <w:p>
      <w:pPr>
        <w:pStyle w:val="ListBullet"/>
      </w:pPr>
      <w:r>
        <w:t>Properties Explorer</w:t>
      </w:r>
    </w:p>
    <w:p>
      <w:pPr>
        <w:pStyle w:val="ListBullet"/>
      </w:pPr>
      <w:r>
        <w:t>Quadrilateral Sorter</w:t>
      </w:r>
    </w:p>
    <w:p>
      <w:pPr>
        <w:pStyle w:val="ListBullet"/>
      </w:pPr>
      <w:r>
        <w:t>Rounding Roller</w:t>
      </w:r>
    </w:p>
    <w:p>
      <w:pPr>
        <w:pStyle w:val="ListBullet"/>
      </w:pPr>
      <w:r>
        <w:t>Scaled Graphs</w:t>
      </w:r>
    </w:p>
    <w:p>
      <w:pPr>
        <w:pStyle w:val="ListBullet"/>
      </w:pPr>
      <w:r>
        <w:t>Shape Partitioner</w:t>
      </w:r>
    </w:p>
    <w:p>
      <w:pPr>
        <w:pStyle w:val="ListBullet"/>
      </w:pPr>
      <w:r>
        <w:t>Two-Step Word Problems</w:t>
      </w:r>
    </w:p>
    <w:p>
      <w:pPr>
        <w:pStyle w:val="ListBullet"/>
      </w:pPr>
      <w:r>
        <w:t>Unknown Factor</w:t>
      </w:r>
    </w:p>
    <w:p>
      <w:pPr>
        <w:pStyle w:val="Heading2"/>
      </w:pPr>
      <w:r>
        <w:t>Grade 4 (20 tools)</w:t>
      </w:r>
    </w:p>
    <w:p>
      <w:pPr>
        <w:pStyle w:val="ListBullet"/>
      </w:pPr>
      <w:r>
        <w:t>Add/Subtract Algorithm</w:t>
      </w:r>
    </w:p>
    <w:p>
      <w:pPr>
        <w:pStyle w:val="ListBullet"/>
      </w:pPr>
      <w:r>
        <w:t>Angle Explorer</w:t>
      </w:r>
    </w:p>
    <w:p>
      <w:pPr>
        <w:pStyle w:val="ListBullet"/>
      </w:pPr>
      <w:r>
        <w:t>Area &amp; Perimeter Formulas</w:t>
      </w:r>
    </w:p>
    <w:p>
      <w:pPr>
        <w:pStyle w:val="ListBullet"/>
      </w:pPr>
      <w:r>
        <w:t>Decimal Fractions</w:t>
      </w:r>
    </w:p>
    <w:p>
      <w:pPr>
        <w:pStyle w:val="ListBullet"/>
      </w:pPr>
      <w:r>
        <w:t>Equivalent Fractions Models</w:t>
      </w:r>
    </w:p>
    <w:p>
      <w:pPr>
        <w:pStyle w:val="ListBullet"/>
      </w:pPr>
      <w:r>
        <w:t>Factors &amp; Multiples</w:t>
      </w:r>
    </w:p>
    <w:p>
      <w:pPr>
        <w:pStyle w:val="ListBullet"/>
      </w:pPr>
      <w:r>
        <w:t>Fraction Add/Subtract</w:t>
      </w:r>
    </w:p>
    <w:p>
      <w:pPr>
        <w:pStyle w:val="ListBullet"/>
      </w:pPr>
      <w:r>
        <w:t>Fraction Comparison</w:t>
      </w:r>
    </w:p>
    <w:p>
      <w:pPr>
        <w:pStyle w:val="ListBullet"/>
      </w:pPr>
      <w:r>
        <w:t>Fraction Multiplication</w:t>
      </w:r>
    </w:p>
    <w:p>
      <w:pPr>
        <w:pStyle w:val="ListBullet"/>
      </w:pPr>
      <w:r>
        <w:t>Line Symmetry</w:t>
      </w:r>
    </w:p>
    <w:p>
      <w:pPr>
        <w:pStyle w:val="ListBullet"/>
      </w:pPr>
      <w:r>
        <w:t>Lines &amp; Angles</w:t>
      </w:r>
    </w:p>
    <w:p>
      <w:pPr>
        <w:pStyle w:val="ListBullet"/>
      </w:pPr>
      <w:r>
        <w:t>Long Division</w:t>
      </w:r>
    </w:p>
    <w:p>
      <w:pPr>
        <w:pStyle w:val="ListBullet"/>
      </w:pPr>
      <w:r>
        <w:t>Measurement Conversion</w:t>
      </w:r>
    </w:p>
    <w:p>
      <w:pPr>
        <w:pStyle w:val="ListBullet"/>
      </w:pPr>
      <w:r>
        <w:t>Multi-Digit Multiplication</w:t>
      </w:r>
    </w:p>
    <w:p>
      <w:pPr>
        <w:pStyle w:val="ListBullet"/>
      </w:pPr>
      <w:r>
        <w:t>Multi-Step Remainders</w:t>
      </w:r>
    </w:p>
    <w:p>
      <w:pPr>
        <w:pStyle w:val="ListBullet"/>
      </w:pPr>
      <w:r>
        <w:t>Multiplicative Comparison</w:t>
      </w:r>
    </w:p>
    <w:p>
      <w:pPr>
        <w:pStyle w:val="ListBullet"/>
      </w:pPr>
      <w:r>
        <w:t>Number Patterns</w:t>
      </w:r>
    </w:p>
    <w:p>
      <w:pPr>
        <w:pStyle w:val="ListBullet"/>
      </w:pPr>
      <w:r>
        <w:t>Place Value Relationships</w:t>
      </w:r>
    </w:p>
    <w:p>
      <w:pPr>
        <w:pStyle w:val="ListBullet"/>
      </w:pPr>
      <w:r>
        <w:t>Rounding Large Numbers</w:t>
      </w:r>
    </w:p>
    <w:p>
      <w:pPr>
        <w:pStyle w:val="ListBullet"/>
      </w:pPr>
      <w:r>
        <w:t>Triangle &amp; Quadrilateral Sort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rial" w:hAnsi="Arial"/>
      <w:b/>
      <w:bCs/>
      <w:color w:val="1A1A2E"/>
      <w:sz w:val="40"/>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Arial" w:hAnsi="Arial"/>
      <w:b/>
      <w:bCs/>
      <w:color w:val="2D2D44"/>
      <w:sz w:val="32"/>
      <w:szCs w:val="26"/>
    </w:rPr>
  </w:style>
  <w:style w:type="paragraph" w:styleId="Heading3">
    <w:name w:val="heading 3"/>
    <w:basedOn w:val="Normal"/>
    <w:next w:val="Normal"/>
    <w:link w:val="Heading3Char"/>
    <w:uiPriority w:val="9"/>
    <w:unhideWhenUsed/>
    <w:qFormat/>
    <w:rsid w:val="00FC693F"/>
    <w:pPr>
      <w:keepNext/>
      <w:keepLines/>
      <w:spacing w:before="360" w:after="160"/>
      <w:outlineLvl w:val="2"/>
    </w:pPr>
    <w:rPr>
      <w:rFonts w:asciiTheme="majorHAnsi" w:eastAsiaTheme="majorEastAsia" w:hAnsiTheme="majorHAnsi" w:cstheme="majorBidi" w:ascii="Arial" w:hAnsi="Arial"/>
      <w:b/>
      <w:bCs/>
      <w:color w:val="444466"/>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