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891B2"/>
          <w:sz w:val="56"/>
        </w:rPr>
        <w:t>VINCULUM Hub</w:t>
      </w:r>
    </w:p>
    <w:p>
      <w:pPr>
        <w:jc w:val="center"/>
      </w:pPr>
      <w:r>
        <w:rPr>
          <w:rFonts w:ascii="Arial" w:hAnsi="Arial"/>
          <w:color w:val="1E293B"/>
          <w:sz w:val="36"/>
        </w:rPr>
        <w:t>CCSS Key Shifts Alignment Report</w:t>
      </w:r>
    </w:p>
    <w:p>
      <w:pPr>
        <w:jc w:val="center"/>
      </w:pPr>
      <w:r>
        <w:rPr>
          <w:rFonts w:ascii="Arial" w:hAnsi="Arial"/>
          <w:i/>
          <w:color w:val="666666"/>
          <w:sz w:val="22"/>
        </w:rPr>
        <w:t>How VINCULUM addresses Focus, Coherence, and Rigor</w:t>
        <w:br/>
        <w:t>with emphasis on Operational Fluency &amp; Multi-Perspective Access</w:t>
      </w:r>
    </w:p>
    <w:p>
      <w:pPr>
        <w:jc w:val="center"/>
      </w:pPr>
      <w:r>
        <w:rPr>
          <w:rFonts w:ascii="Arial" w:hAnsi="Arial"/>
          <w:color w:val="0891B2"/>
          <w:sz w:val="20"/>
        </w:rPr>
        <w:t>Platform Status: 46 tools across K–2 | 7 shared modules | March 15, 2026</w:t>
      </w:r>
    </w:p>
    <w:p>
      <w:r>
        <w:br w:type="page"/>
      </w:r>
    </w:p>
    <w:p>
      <w:pPr>
        <w:pStyle w:val="Heading1"/>
      </w:pPr>
      <w:r>
        <w:t>Executive Summary</w:t>
      </w:r>
    </w:p>
    <w:p>
      <w:r>
        <w:rPr>
          <w:sz w:val="22"/>
        </w:rPr>
        <w:t xml:space="preserve">The Common Core Key Shifts ask three things of math instruction: </w:t>
      </w:r>
      <w:r>
        <w:rPr>
          <w:b/>
          <w:sz w:val="22"/>
        </w:rPr>
        <w:t>Focus</w:t>
      </w:r>
      <w:r>
        <w:rPr>
          <w:sz w:val="22"/>
        </w:rPr>
        <w:t xml:space="preserve"> (go deep on fewer topics), </w:t>
      </w:r>
      <w:r>
        <w:rPr>
          <w:b/>
          <w:sz w:val="22"/>
        </w:rPr>
        <w:t>Coherence</w:t>
      </w:r>
      <w:r>
        <w:rPr>
          <w:sz w:val="22"/>
        </w:rPr>
        <w:t xml:space="preserve"> (connect ideas across grades), and </w:t>
      </w:r>
      <w:r>
        <w:rPr>
          <w:b/>
          <w:sz w:val="22"/>
        </w:rPr>
        <w:t>Rigor</w:t>
      </w:r>
      <w:r>
        <w:rPr>
          <w:sz w:val="22"/>
        </w:rPr>
        <w:t xml:space="preserve"> (balance conceptual understanding, procedural fluency, and application). This report examines how VINCULUM Hub’s architecture and tool design address each shift—what’s already strong, what’s partially built, and what needs to happen as we scale from K–2 into G3 and beyond.</w:t>
      </w:r>
    </w:p>
    <w:p>
      <w:r>
        <w:rPr>
          <w:sz w:val="22"/>
        </w:rPr>
        <w:t>The critical insight from the CCSS is that students must access concepts from multiple perspectives—not memorize procedures in isolation. VINCULUM’s CRA (Concrete–Representational–Abstract) architecture directly serves this requirement. Every tool offers three modes: Explore (concrete manipulation), Practice (representational problem-solving), and Play (abstract application). A student encounters the same mathematical idea through three distinct lenses within a single tool.</w:t>
      </w:r>
    </w:p>
    <w:p>
      <w:r>
        <w:br w:type="page"/>
      </w:r>
    </w:p>
    <w:p>
      <w:pPr>
        <w:pStyle w:val="Heading1"/>
      </w:pPr>
      <w:r>
        <w:t>Shift 1: Focus</w:t>
      </w:r>
    </w:p>
    <w:p>
      <w:r>
        <w:rPr>
          <w:i/>
          <w:color w:val="666666"/>
          <w:sz w:val="22"/>
        </w:rPr>
        <w:t>"Rather than racing to cover many topics in a mile-wide, inch-deep curriculum, the standards ask math teachers to significantly narrow and deepen the way time and energy are spent."</w:t>
      </w:r>
    </w:p>
    <w:p>
      <w:pPr>
        <w:pStyle w:val="Heading2"/>
      </w:pPr>
      <w:r>
        <w:t>How VINCULUM Addresses This</w:t>
      </w:r>
    </w:p>
    <w:p>
      <w:r>
        <w:t>VINCULUM’s grade-level tool design directly enforces focus. Each grade has a specific set of tools aligned to major work, not a grab-bag of everything. The difficulty system (emergent/developing/secure) goes deep within each topic rather than jumping to the next 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1E293B"/>
          </w:tcPr>
          <w:p>
            <w:r/>
            <w:r>
              <w:rPr>
                <w:rFonts w:ascii="Arial" w:hAnsi="Arial"/>
                <w:b/>
                <w:color w:val="FFFFFF"/>
                <w:sz w:val="20"/>
              </w:rPr>
              <w:t>Grade</w:t>
            </w:r>
          </w:p>
        </w:tc>
        <w:tc>
          <w:tcPr>
            <w:tcW w:type="dxa" w:w="3168"/>
            <w:shd w:val="clear" w:color="auto" w:fill="1E293B"/>
          </w:tcPr>
          <w:p>
            <w:r/>
            <w:r>
              <w:rPr>
                <w:rFonts w:ascii="Arial" w:hAnsi="Arial"/>
                <w:b/>
                <w:color w:val="FFFFFF"/>
                <w:sz w:val="20"/>
              </w:rPr>
              <w:t>CCSS Major Work</w:t>
            </w:r>
          </w:p>
        </w:tc>
        <w:tc>
          <w:tcPr>
            <w:tcW w:type="dxa" w:w="3168"/>
            <w:shd w:val="clear" w:color="auto" w:fill="1E293B"/>
          </w:tcPr>
          <w:p>
            <w:r/>
            <w:r>
              <w:rPr>
                <w:rFonts w:ascii="Arial" w:hAnsi="Arial"/>
                <w:b/>
                <w:color w:val="FFFFFF"/>
                <w:sz w:val="20"/>
              </w:rPr>
              <w:t>VINCULUM Coverage</w:t>
            </w:r>
          </w:p>
        </w:tc>
        <w:tc>
          <w:tcPr>
            <w:tcW w:type="dxa" w:w="2016"/>
            <w:shd w:val="clear" w:color="auto" w:fill="1E293B"/>
          </w:tcPr>
          <w:p>
            <w:r/>
            <w:r>
              <w:rPr>
                <w:rFonts w:ascii="Arial" w:hAnsi="Arial"/>
                <w:b/>
                <w:color w:val="FFFFFF"/>
                <w:sz w:val="20"/>
              </w:rPr>
              <w:t>Status</w:t>
            </w:r>
          </w:p>
        </w:tc>
      </w:tr>
      <w:tr>
        <w:tc>
          <w:tcPr>
            <w:tcW w:type="dxa" w:w="1008"/>
          </w:tcPr>
          <w:p>
            <w:r/>
            <w:r>
              <w:rPr>
                <w:rFonts w:ascii="Arial" w:hAnsi="Arial"/>
                <w:sz w:val="20"/>
              </w:rPr>
              <w:t>K</w:t>
            </w:r>
          </w:p>
        </w:tc>
        <w:tc>
          <w:tcPr>
            <w:tcW w:type="dxa" w:w="3168"/>
          </w:tcPr>
          <w:p>
            <w:r/>
            <w:r>
              <w:rPr>
                <w:rFonts w:ascii="Arial" w:hAnsi="Arial"/>
                <w:sz w:val="20"/>
              </w:rPr>
              <w:t>Addition &amp; subtraction concepts, counting, cardinality</w:t>
            </w:r>
          </w:p>
        </w:tc>
        <w:tc>
          <w:tcPr>
            <w:tcW w:type="dxa" w:w="3168"/>
          </w:tcPr>
          <w:p>
            <w:r/>
            <w:r>
              <w:rPr>
                <w:rFonts w:ascii="Arial" w:hAnsi="Arial"/>
                <w:sz w:val="20"/>
              </w:rPr>
              <w:t>16 tools: counting, number bonds, add-subtract, number path, comparisons, story problems</w:t>
            </w:r>
          </w:p>
        </w:tc>
        <w:tc>
          <w:tcPr>
            <w:tcW w:type="dxa" w:w="2016"/>
            <w:shd w:val="clear" w:color="auto" w:fill="E8F5E9"/>
          </w:tcPr>
          <w:p>
            <w:pPr>
              <w:jc w:val="center"/>
            </w:pPr>
            <w:r/>
            <w:r>
              <w:rPr>
                <w:rFonts w:ascii="Arial" w:hAnsi="Arial"/>
                <w:b/>
                <w:color w:val="059669"/>
                <w:sz w:val="20"/>
              </w:rPr>
              <w:t>STRONG</w:t>
            </w:r>
          </w:p>
        </w:tc>
      </w:tr>
      <w:tr>
        <w:tc>
          <w:tcPr>
            <w:tcW w:type="dxa" w:w="1008"/>
          </w:tcPr>
          <w:p>
            <w:r/>
            <w:r>
              <w:rPr>
                <w:rFonts w:ascii="Arial" w:hAnsi="Arial"/>
                <w:sz w:val="20"/>
              </w:rPr>
              <w:t>1</w:t>
            </w:r>
          </w:p>
        </w:tc>
        <w:tc>
          <w:tcPr>
            <w:tcW w:type="dxa" w:w="3168"/>
          </w:tcPr>
          <w:p>
            <w:r/>
            <w:r>
              <w:rPr>
                <w:rFonts w:ascii="Arial" w:hAnsi="Arial"/>
                <w:sz w:val="20"/>
              </w:rPr>
              <w:t>Add/subtract fluency within 20, place value (tens/ones)</w:t>
            </w:r>
          </w:p>
        </w:tc>
        <w:tc>
          <w:tcPr>
            <w:tcW w:type="dxa" w:w="3168"/>
          </w:tcPr>
          <w:p>
            <w:r/>
            <w:r>
              <w:rPr>
                <w:rFonts w:ascii="Arial" w:hAnsi="Arial"/>
                <w:sz w:val="20"/>
              </w:rPr>
              <w:t>15 tools: add-sub fluency, fact families, equation balance, place value, two-digit ops</w:t>
            </w:r>
          </w:p>
        </w:tc>
        <w:tc>
          <w:tcPr>
            <w:tcW w:type="dxa" w:w="2016"/>
            <w:shd w:val="clear" w:color="auto" w:fill="E8F5E9"/>
          </w:tcPr>
          <w:p>
            <w:pPr>
              <w:jc w:val="center"/>
            </w:pPr>
            <w:r/>
            <w:r>
              <w:rPr>
                <w:rFonts w:ascii="Arial" w:hAnsi="Arial"/>
                <w:b/>
                <w:color w:val="059669"/>
                <w:sz w:val="20"/>
              </w:rPr>
              <w:t>STRONG</w:t>
            </w:r>
          </w:p>
        </w:tc>
      </w:tr>
      <w:tr>
        <w:tc>
          <w:tcPr>
            <w:tcW w:type="dxa" w:w="1008"/>
          </w:tcPr>
          <w:p>
            <w:r/>
            <w:r>
              <w:rPr>
                <w:rFonts w:ascii="Arial" w:hAnsi="Arial"/>
                <w:sz w:val="20"/>
              </w:rPr>
              <w:t>2</w:t>
            </w:r>
          </w:p>
        </w:tc>
        <w:tc>
          <w:tcPr>
            <w:tcW w:type="dxa" w:w="3168"/>
          </w:tcPr>
          <w:p>
            <w:r/>
            <w:r>
              <w:rPr>
                <w:rFonts w:ascii="Arial" w:hAnsi="Arial"/>
                <w:sz w:val="20"/>
              </w:rPr>
              <w:t>Add/subtract fluency, place value to 1000, foundations of multiplication</w:t>
            </w:r>
          </w:p>
        </w:tc>
        <w:tc>
          <w:tcPr>
            <w:tcW w:type="dxa" w:w="3168"/>
          </w:tcPr>
          <w:p>
            <w:r/>
            <w:r>
              <w:rPr>
                <w:rFonts w:ascii="Arial" w:hAnsi="Arial"/>
                <w:sz w:val="20"/>
              </w:rPr>
              <w:t>15 tools: fluency-20, two-digit fluency, three-digit ops, array builder, skip counting</w:t>
            </w:r>
          </w:p>
        </w:tc>
        <w:tc>
          <w:tcPr>
            <w:tcW w:type="dxa" w:w="2016"/>
            <w:shd w:val="clear" w:color="auto" w:fill="E8F5E9"/>
          </w:tcPr>
          <w:p>
            <w:pPr>
              <w:jc w:val="center"/>
            </w:pPr>
            <w:r/>
            <w:r>
              <w:rPr>
                <w:rFonts w:ascii="Arial" w:hAnsi="Arial"/>
                <w:b/>
                <w:color w:val="059669"/>
                <w:sz w:val="20"/>
              </w:rPr>
              <w:t>STRONG</w:t>
            </w:r>
          </w:p>
        </w:tc>
      </w:tr>
      <w:tr>
        <w:tc>
          <w:tcPr>
            <w:tcW w:type="dxa" w:w="1008"/>
          </w:tcPr>
          <w:p>
            <w:r/>
            <w:r>
              <w:rPr>
                <w:rFonts w:ascii="Arial" w:hAnsi="Arial"/>
                <w:sz w:val="20"/>
              </w:rPr>
              <w:t>3–5</w:t>
            </w:r>
          </w:p>
        </w:tc>
        <w:tc>
          <w:tcPr>
            <w:tcW w:type="dxa" w:w="3168"/>
          </w:tcPr>
          <w:p>
            <w:r/>
            <w:r>
              <w:rPr>
                <w:rFonts w:ascii="Arial" w:hAnsi="Arial"/>
                <w:sz w:val="20"/>
              </w:rPr>
              <w:t>Multiplication &amp; division of whole numbers and fractions</w:t>
            </w:r>
          </w:p>
        </w:tc>
        <w:tc>
          <w:tcPr>
            <w:tcW w:type="dxa" w:w="3168"/>
          </w:tcPr>
          <w:p>
            <w:r/>
            <w:r>
              <w:rPr>
                <w:rFonts w:ascii="Arial" w:hAnsi="Arial"/>
                <w:sz w:val="20"/>
              </w:rPr>
              <w:t>1 tool listed (fraction-bars), 14 more planned; directories exist but empty</w:t>
            </w:r>
          </w:p>
        </w:tc>
        <w:tc>
          <w:tcPr>
            <w:tcW w:type="dxa" w:w="2016"/>
            <w:shd w:val="clear" w:color="auto" w:fill="E0F7FA"/>
          </w:tcPr>
          <w:p>
            <w:pPr>
              <w:jc w:val="center"/>
            </w:pPr>
            <w:r/>
            <w:r>
              <w:rPr>
                <w:rFonts w:ascii="Arial" w:hAnsi="Arial"/>
                <w:b/>
                <w:color w:val="0891B2"/>
                <w:sz w:val="20"/>
              </w:rPr>
              <w:t>PLANNED</w:t>
            </w:r>
          </w:p>
        </w:tc>
      </w:tr>
      <w:tr>
        <w:tc>
          <w:tcPr>
            <w:tcW w:type="dxa" w:w="1008"/>
          </w:tcPr>
          <w:p>
            <w:r/>
            <w:r>
              <w:rPr>
                <w:rFonts w:ascii="Arial" w:hAnsi="Arial"/>
                <w:sz w:val="20"/>
              </w:rPr>
              <w:t>6–8</w:t>
            </w:r>
          </w:p>
        </w:tc>
        <w:tc>
          <w:tcPr>
            <w:tcW w:type="dxa" w:w="3168"/>
          </w:tcPr>
          <w:p>
            <w:r/>
            <w:r>
              <w:rPr>
                <w:rFonts w:ascii="Arial" w:hAnsi="Arial"/>
                <w:sz w:val="20"/>
              </w:rPr>
              <w:t>Ratios, proportional relationships, linear algebra</w:t>
            </w:r>
          </w:p>
        </w:tc>
        <w:tc>
          <w:tcPr>
            <w:tcW w:type="dxa" w:w="3168"/>
          </w:tcPr>
          <w:p>
            <w:r/>
            <w:r>
              <w:rPr>
                <w:rFonts w:ascii="Arial" w:hAnsi="Arial"/>
                <w:sz w:val="20"/>
              </w:rPr>
              <w:t>8 tools listed in Hub, 0 built. Includes ratio-table, algebra-tiles, equation-lab</w:t>
            </w:r>
          </w:p>
        </w:tc>
        <w:tc>
          <w:tcPr>
            <w:tcW w:type="dxa" w:w="2016"/>
            <w:shd w:val="clear" w:color="auto" w:fill="E0F7FA"/>
          </w:tcPr>
          <w:p>
            <w:pPr>
              <w:jc w:val="center"/>
            </w:pPr>
            <w:r/>
            <w:r>
              <w:rPr>
                <w:rFonts w:ascii="Arial" w:hAnsi="Arial"/>
                <w:b/>
                <w:color w:val="0891B2"/>
                <w:sz w:val="20"/>
              </w:rPr>
              <w:t>PLANNED</w:t>
            </w:r>
          </w:p>
        </w:tc>
      </w:tr>
    </w:tbl>
    <w:p>
      <w:pPr>
        <w:spacing w:before="240"/>
      </w:pPr>
      <w:r>
        <w:rPr>
          <w:b/>
          <w:color w:val="059669"/>
        </w:rPr>
        <w:t xml:space="preserve">Verdict: </w:t>
      </w:r>
      <w:r>
        <w:t>For K–2, VINCULUM achieves strong focus alignment. Each grade’s tools cluster around the CCSS major work. The three-difficulty-level system ensures depth within each topic. For G3+, the plan is solid but execution hasn’t started.</w:t>
      </w:r>
    </w:p>
    <w:p>
      <w:r>
        <w:br w:type="page"/>
      </w:r>
    </w:p>
    <w:p>
      <w:pPr>
        <w:pStyle w:val="Heading1"/>
      </w:pPr>
      <w:r>
        <w:t>Shift 2: Coherence</w:t>
      </w:r>
    </w:p>
    <w:p>
      <w:r>
        <w:rPr>
          <w:i/>
          <w:color w:val="666666"/>
        </w:rPr>
        <w:t>"Mathematics is not a list of disconnected topics, tricks, or mnemonics; it is a coherent body of knowledge made up of interconnected concepts."</w:t>
      </w:r>
    </w:p>
    <w:p>
      <w:pPr>
        <w:pStyle w:val="Heading2"/>
      </w:pPr>
      <w:r>
        <w:t>How VINCULUM Addresses This</w:t>
      </w:r>
    </w:p>
    <w:p>
      <w:r>
        <w:t>VINCULUM’s Hub has a thread system—tools are organized into learning progressions (Fractions → Rationals, Place Value Journey, Equations Pathway, Geometry Thread) spanning multiple grades. Each tool has prereq and next fields linking it to the prior and subsequent tool.</w:t>
      </w:r>
    </w:p>
    <w:p>
      <w:pPr>
        <w:pStyle w:val="Heading3"/>
      </w:pPr>
      <w:r>
        <w:t>Cross-Grade Progressions Already Built</w:t>
      </w:r>
    </w:p>
    <w:p>
      <w:pPr>
        <w:pStyle w:val="ListBullet"/>
      </w:pPr>
      <w:r>
        <w:rPr>
          <w:b/>
          <w:sz w:val="22"/>
        </w:rPr>
        <w:t xml:space="preserve">Counting Objects (K) → Number Path (K) → Addition Number Line (G1): </w:t>
      </w:r>
      <w:r>
        <w:rPr>
          <w:sz w:val="22"/>
        </w:rPr>
        <w:t>Cardinal counting to spatial-linear number sense to operations on a line.</w:t>
      </w:r>
    </w:p>
    <w:p>
      <w:pPr>
        <w:pStyle w:val="ListBullet"/>
      </w:pPr>
      <w:r>
        <w:rPr>
          <w:b/>
          <w:sz w:val="22"/>
        </w:rPr>
        <w:t xml:space="preserve">Number Bonds (K) → Fact Family Houses (G1) → Fluency Within 20 (G2): </w:t>
      </w:r>
      <w:r>
        <w:rPr>
          <w:sz w:val="22"/>
        </w:rPr>
        <w:t>Part-whole thinking matures into inverse operations then speed/recall.</w:t>
      </w:r>
    </w:p>
    <w:p>
      <w:pPr>
        <w:pStyle w:val="ListBullet"/>
      </w:pPr>
      <w:r>
        <w:rPr>
          <w:b/>
          <w:sz w:val="22"/>
        </w:rPr>
        <w:t xml:space="preserve">Shape Sorter (K) → Shape Attributes (G1) → Shape Identifier (G2): </w:t>
      </w:r>
      <w:r>
        <w:rPr>
          <w:sz w:val="22"/>
        </w:rPr>
        <w:t>Recognition → attribute analysis → classification by properties.</w:t>
      </w:r>
    </w:p>
    <w:p>
      <w:pPr>
        <w:pStyle w:val="ListBullet"/>
      </w:pPr>
      <w:r>
        <w:rPr>
          <w:b/>
          <w:sz w:val="22"/>
        </w:rPr>
        <w:t xml:space="preserve">Measurement Compare (K) → Length Comparisons (G1) → Measurement Lab (G2): </w:t>
      </w:r>
      <w:r>
        <w:rPr>
          <w:sz w:val="22"/>
        </w:rPr>
        <w:t>Direct comparison → indirect measurement → standard units.</w:t>
      </w:r>
    </w:p>
    <w:p>
      <w:pPr>
        <w:pStyle w:val="ListBullet"/>
      </w:pPr>
      <w:r>
        <w:rPr>
          <w:b/>
          <w:sz w:val="22"/>
        </w:rPr>
        <w:t xml:space="preserve">Story Problem Theater (K) → Word Problem Models (G1) → Word Problems (G2): </w:t>
      </w:r>
      <w:r>
        <w:rPr>
          <w:sz w:val="22"/>
        </w:rPr>
        <w:t>Acting out stories → bar models → multi-step equations.</w:t>
      </w:r>
    </w:p>
    <w:p>
      <w:pPr>
        <w:pStyle w:val="Heading3"/>
      </w:pPr>
      <w:r>
        <w:t>Coherence Gap: Cross-Grade Data Flow</w:t>
      </w:r>
    </w:p>
    <w:p>
      <w:r>
        <w:rPr>
          <w:b/>
          <w:color w:val="D97706"/>
        </w:rPr>
        <w:t xml:space="preserve">What’s Missing: </w:t>
      </w:r>
      <w:r>
        <w:t>The cross-grade data flow doesn’t exist yet. A student’s G1 performance should inform their G2 starting point. vinculum-data.js stores data per-tool in localStorage, but there’s no aggregation layer that says “this student mastered addition in G1, so start G2 at developing.” This is planned for the Fluency Dashboard (Step 4 of our roadmap).</w:t>
      </w:r>
    </w:p>
    <w:p>
      <w:r>
        <w:br w:type="page"/>
      </w:r>
    </w:p>
    <w:p>
      <w:pPr>
        <w:pStyle w:val="Heading1"/>
      </w:pPr>
      <w:r>
        <w:t>Shift 3: Rigor</w:t>
      </w:r>
    </w:p>
    <w:p>
      <w:r>
        <w:rPr>
          <w:i/>
          <w:color w:val="666666"/>
        </w:rPr>
        <w:t>"Rigor refers to deep, authentic command of mathematical concepts, not making math harder or introducing topics at earlier grades."</w:t>
      </w:r>
    </w:p>
    <w:p>
      <w:r>
        <w:t>The CCSS demands equal intensity across three aspects: conceptual understanding, procedural fluency, and application. This is exactly what the CRA model delivers.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E293B"/>
          </w:tcPr>
          <w:p>
            <w:r/>
            <w:r>
              <w:rPr>
                <w:rFonts w:ascii="Arial" w:hAnsi="Arial"/>
                <w:b/>
                <w:color w:val="FFFFFF"/>
                <w:sz w:val="20"/>
              </w:rPr>
              <w:t>CCSS Rigor Aspect</w:t>
            </w:r>
          </w:p>
        </w:tc>
        <w:tc>
          <w:tcPr>
            <w:tcW w:type="dxa" w:w="2160"/>
            <w:shd w:val="clear" w:color="auto" w:fill="1E293B"/>
          </w:tcPr>
          <w:p>
            <w:r/>
            <w:r>
              <w:rPr>
                <w:rFonts w:ascii="Arial" w:hAnsi="Arial"/>
                <w:b/>
                <w:color w:val="FFFFFF"/>
                <w:sz w:val="20"/>
              </w:rPr>
              <w:t>CRA Mode</w:t>
            </w:r>
          </w:p>
        </w:tc>
        <w:tc>
          <w:tcPr>
            <w:tcW w:type="dxa" w:w="3168"/>
            <w:shd w:val="clear" w:color="auto" w:fill="1E293B"/>
          </w:tcPr>
          <w:p>
            <w:r/>
            <w:r>
              <w:rPr>
                <w:rFonts w:ascii="Arial" w:hAnsi="Arial"/>
                <w:b/>
                <w:color w:val="FFFFFF"/>
                <w:sz w:val="20"/>
              </w:rPr>
              <w:t>What Students Do</w:t>
            </w:r>
          </w:p>
        </w:tc>
        <w:tc>
          <w:tcPr>
            <w:tcW w:type="dxa" w:w="1440"/>
            <w:shd w:val="clear" w:color="auto" w:fill="1E293B"/>
          </w:tcPr>
          <w:p>
            <w:r/>
            <w:r>
              <w:rPr>
                <w:rFonts w:ascii="Arial" w:hAnsi="Arial"/>
                <w:b/>
                <w:color w:val="FFFFFF"/>
                <w:sz w:val="20"/>
              </w:rPr>
              <w:t>Status</w:t>
            </w:r>
          </w:p>
        </w:tc>
      </w:tr>
      <w:tr>
        <w:tc>
          <w:tcPr>
            <w:tcW w:type="dxa" w:w="2592"/>
          </w:tcPr>
          <w:p>
            <w:r/>
            <w:r>
              <w:rPr>
                <w:rFonts w:ascii="Arial" w:hAnsi="Arial"/>
                <w:sz w:val="20"/>
              </w:rPr>
              <w:t>Conceptual Understanding</w:t>
            </w:r>
          </w:p>
        </w:tc>
        <w:tc>
          <w:tcPr>
            <w:tcW w:type="dxa" w:w="2160"/>
          </w:tcPr>
          <w:p>
            <w:r/>
            <w:r>
              <w:rPr>
                <w:rFonts w:ascii="Arial" w:hAnsi="Arial"/>
                <w:sz w:val="20"/>
              </w:rPr>
              <w:t>Explore (Concrete)</w:t>
            </w:r>
          </w:p>
        </w:tc>
        <w:tc>
          <w:tcPr>
            <w:tcW w:type="dxa" w:w="3168"/>
          </w:tcPr>
          <w:p>
            <w:r/>
            <w:r>
              <w:rPr>
                <w:rFonts w:ascii="Arial" w:hAnsi="Arial"/>
                <w:sz w:val="20"/>
              </w:rPr>
              <w:t>Drag objects, build arrays, manipulate models, see WHY math works</w:t>
            </w:r>
          </w:p>
        </w:tc>
        <w:tc>
          <w:tcPr>
            <w:tcW w:type="dxa" w:w="1440"/>
            <w:shd w:val="clear" w:color="auto" w:fill="E8F5E9"/>
          </w:tcPr>
          <w:p>
            <w:pPr>
              <w:jc w:val="center"/>
            </w:pPr>
            <w:r/>
            <w:r>
              <w:rPr>
                <w:rFonts w:ascii="Arial" w:hAnsi="Arial"/>
                <w:b/>
                <w:color w:val="059669"/>
                <w:sz w:val="20"/>
              </w:rPr>
              <w:t>STRONG</w:t>
            </w:r>
          </w:p>
        </w:tc>
      </w:tr>
      <w:tr>
        <w:tc>
          <w:tcPr>
            <w:tcW w:type="dxa" w:w="2592"/>
          </w:tcPr>
          <w:p>
            <w:r/>
            <w:r>
              <w:rPr>
                <w:rFonts w:ascii="Arial" w:hAnsi="Arial"/>
                <w:sz w:val="20"/>
              </w:rPr>
              <w:t>Procedural Fluency</w:t>
            </w:r>
          </w:p>
        </w:tc>
        <w:tc>
          <w:tcPr>
            <w:tcW w:type="dxa" w:w="2160"/>
          </w:tcPr>
          <w:p>
            <w:r/>
            <w:r>
              <w:rPr>
                <w:rFonts w:ascii="Arial" w:hAnsi="Arial"/>
                <w:sz w:val="20"/>
              </w:rPr>
              <w:t>Practice (Representational)</w:t>
            </w:r>
          </w:p>
        </w:tc>
        <w:tc>
          <w:tcPr>
            <w:tcW w:type="dxa" w:w="3168"/>
          </w:tcPr>
          <w:p>
            <w:r/>
            <w:r>
              <w:rPr>
                <w:rFonts w:ascii="Arial" w:hAnsi="Arial"/>
                <w:sz w:val="20"/>
              </w:rPr>
              <w:t>Answer targeted questions, build accuracy, scaffolded difficulty</w:t>
            </w:r>
          </w:p>
        </w:tc>
        <w:tc>
          <w:tcPr>
            <w:tcW w:type="dxa" w:w="1440"/>
            <w:shd w:val="clear" w:color="auto" w:fill="E8F5E9"/>
          </w:tcPr>
          <w:p>
            <w:pPr>
              <w:jc w:val="center"/>
            </w:pPr>
            <w:r/>
            <w:r>
              <w:rPr>
                <w:rFonts w:ascii="Arial" w:hAnsi="Arial"/>
                <w:b/>
                <w:color w:val="059669"/>
                <w:sz w:val="20"/>
              </w:rPr>
              <w:t>STRONG</w:t>
            </w:r>
          </w:p>
        </w:tc>
      </w:tr>
      <w:tr>
        <w:tc>
          <w:tcPr>
            <w:tcW w:type="dxa" w:w="2592"/>
          </w:tcPr>
          <w:p>
            <w:r/>
            <w:r>
              <w:rPr>
                <w:rFonts w:ascii="Arial" w:hAnsi="Arial"/>
                <w:sz w:val="20"/>
              </w:rPr>
              <w:t>Application</w:t>
            </w:r>
          </w:p>
        </w:tc>
        <w:tc>
          <w:tcPr>
            <w:tcW w:type="dxa" w:w="2160"/>
          </w:tcPr>
          <w:p>
            <w:r/>
            <w:r>
              <w:rPr>
                <w:rFonts w:ascii="Arial" w:hAnsi="Arial"/>
                <w:sz w:val="20"/>
              </w:rPr>
              <w:t>Play (Abstract)</w:t>
            </w:r>
          </w:p>
        </w:tc>
        <w:tc>
          <w:tcPr>
            <w:tcW w:type="dxa" w:w="3168"/>
          </w:tcPr>
          <w:p>
            <w:r/>
            <w:r>
              <w:rPr>
                <w:rFonts w:ascii="Arial" w:hAnsi="Arial"/>
                <w:sz w:val="20"/>
              </w:rPr>
              <w:t>Apply skills in game contexts, transfer knowledge to new situations</w:t>
            </w:r>
          </w:p>
        </w:tc>
        <w:tc>
          <w:tcPr>
            <w:tcW w:type="dxa" w:w="1440"/>
            <w:shd w:val="clear" w:color="auto" w:fill="E8F5E9"/>
          </w:tcPr>
          <w:p>
            <w:pPr>
              <w:jc w:val="center"/>
            </w:pPr>
            <w:r/>
            <w:r>
              <w:rPr>
                <w:rFonts w:ascii="Arial" w:hAnsi="Arial"/>
                <w:b/>
                <w:color w:val="059669"/>
                <w:sz w:val="20"/>
              </w:rPr>
              <w:t>STRONG</w:t>
            </w:r>
          </w:p>
        </w:tc>
      </w:tr>
    </w:tbl>
    <w:p>
      <w:pPr>
        <w:pStyle w:val="Heading2"/>
      </w:pPr>
      <w:r>
        <w:t>The Multi-Perspective Access Question</w:t>
      </w:r>
    </w:p>
    <w:p>
      <w:r>
        <w:rPr>
          <w:i/>
          <w:color w:val="666666"/>
        </w:rPr>
        <w:t>"Students must be able to access concepts from a number of perspectives in order to see math as more than a set of mnemonics or discrete procedures."</w:t>
      </w:r>
      <w:r>
        <w:br/>
        <w:br/>
        <w:t>This is VINCULUM’s strongest architectural feature. It operates at two levels:</w:t>
      </w:r>
    </w:p>
    <w:p>
      <w:pPr>
        <w:pStyle w:val="Heading3"/>
      </w:pPr>
      <w:r>
        <w:t>Level 1: Within Each Tool (3 Perspectives)</w:t>
      </w:r>
    </w:p>
    <w:p>
      <w:r>
        <w:t>Every tool offers the same concept through three lenses. Take Number Bonds as an example:</w:t>
      </w:r>
    </w:p>
    <w:p>
      <w:pPr>
        <w:pStyle w:val="ListBullet"/>
      </w:pPr>
      <w:r>
        <w:rPr>
          <w:b/>
        </w:rPr>
        <w:t xml:space="preserve">Explore: </w:t>
      </w:r>
      <w:r>
        <w:t>Students physically drag objects into groups to discover that 7 = 3+4 or 2+5. Perspective: tactile, discovery-based.</w:t>
      </w:r>
    </w:p>
    <w:p>
      <w:pPr>
        <w:pStyle w:val="ListBullet"/>
      </w:pPr>
      <w:r>
        <w:rPr>
          <w:b/>
        </w:rPr>
        <w:t xml:space="preserve">Practice: </w:t>
      </w:r>
      <w:r>
        <w:t>Students see a number bond diagram and fill in the missing part. Perspective: symbolic, structured.</w:t>
      </w:r>
    </w:p>
    <w:p>
      <w:pPr>
        <w:pStyle w:val="ListBullet"/>
      </w:pPr>
      <w:r>
        <w:rPr>
          <w:b/>
        </w:rPr>
        <w:t xml:space="preserve">Play: </w:t>
      </w:r>
      <w:r>
        <w:t>Students use number bonds to solve problems in a game. Perspective: applied, contextual.</w:t>
      </w:r>
    </w:p>
    <w:p>
      <w:pPr>
        <w:pStyle w:val="Heading3"/>
      </w:pPr>
      <w:r>
        <w:t>Level 2: Across Tools (Thread Perspectives)</w:t>
      </w:r>
    </w:p>
    <w:p>
      <w:r>
        <w:t>The same mathematical idea appears in multiple tools, each with a different representational model:</w:t>
      </w:r>
    </w:p>
    <w:p>
      <w:pPr>
        <w:pStyle w:val="ListBullet"/>
      </w:pPr>
      <w:r>
        <w:rPr>
          <w:b/>
        </w:rPr>
        <w:t xml:space="preserve">Addition: </w:t>
      </w:r>
      <w:r>
        <w:t>Number Bonds (part-whole model), Add &amp; Subtract (equation model), Story Problem Theater (narrative context), Number Path Explorer (spatial/linear model), Addition Number Line in G1 (measurement model)</w:t>
      </w:r>
    </w:p>
    <w:p>
      <w:pPr>
        <w:pStyle w:val="ListBullet"/>
      </w:pPr>
      <w:r>
        <w:rPr>
          <w:b/>
        </w:rPr>
        <w:t xml:space="preserve">Place Value: </w:t>
      </w:r>
      <w:r>
        <w:t>Teen Numbers (ten-and-some-more), Teen Number Factory (building teens), Place Value Tens/Ones G1 (grouped blocks), Place Value Hundreds G2 (extended model)</w:t>
      </w:r>
    </w:p>
    <w:p>
      <w:pPr>
        <w:pStyle w:val="ListBullet"/>
      </w:pPr>
      <w:r>
        <w:rPr>
          <w:b/>
        </w:rPr>
        <w:t xml:space="preserve">Fractions: </w:t>
      </w:r>
      <w:r>
        <w:t>Fraction Shapes G1 (area model), Partition Fractions G2 (partitioning), Fraction Bars G3 planned (strip model), Fractions on Number Line G3 planned (linear model)</w:t>
      </w:r>
    </w:p>
    <w:p>
      <w:pPr>
        <w:spacing w:before="240"/>
      </w:pPr>
      <w:r>
        <w:rPr>
          <w:b/>
          <w:color w:val="0891B2"/>
        </w:rPr>
        <w:t xml:space="preserve">Key Insight: </w:t>
      </w:r>
      <w:r>
        <w:t>A student who struggles with addition as an equation (abstract) can encounter it as physical manipulation (concrete), a story problem (contextual), or spatial hops on a number path (spatial). This IS the multi-perspective access CCSS demands.</w:t>
      </w:r>
    </w:p>
    <w:p>
      <w:r>
        <w:br w:type="page"/>
      </w:r>
    </w:p>
    <w:p>
      <w:pPr>
        <w:pStyle w:val="Heading1"/>
      </w:pPr>
      <w:r>
        <w:t>Operational Fluency: Current State &amp; Roadmap</w:t>
      </w:r>
    </w:p>
    <w:p>
      <w:r>
        <w:rPr>
          <w:i/>
          <w:color w:val="666666"/>
        </w:rPr>
        <w:t>"The standards call for speed and accuracy in calculation. Students must practice core functions in order to have access to more complex concepts and procedures."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E293B"/>
          </w:tcPr>
          <w:p>
            <w:r/>
            <w:r>
              <w:rPr>
                <w:rFonts w:ascii="Arial" w:hAnsi="Arial"/>
                <w:b/>
                <w:color w:val="FFFFFF"/>
                <w:sz w:val="20"/>
              </w:rPr>
              <w:t>Grade</w:t>
            </w:r>
          </w:p>
        </w:tc>
        <w:tc>
          <w:tcPr>
            <w:tcW w:type="dxa" w:w="2592"/>
            <w:shd w:val="clear" w:color="auto" w:fill="1E293B"/>
          </w:tcPr>
          <w:p>
            <w:r/>
            <w:r>
              <w:rPr>
                <w:rFonts w:ascii="Arial" w:hAnsi="Arial"/>
                <w:b/>
                <w:color w:val="FFFFFF"/>
                <w:sz w:val="20"/>
              </w:rPr>
              <w:t>Fluency Target (CCSS)</w:t>
            </w:r>
          </w:p>
        </w:tc>
        <w:tc>
          <w:tcPr>
            <w:tcW w:type="dxa" w:w="2592"/>
            <w:shd w:val="clear" w:color="auto" w:fill="1E293B"/>
          </w:tcPr>
          <w:p>
            <w:r/>
            <w:r>
              <w:rPr>
                <w:rFonts w:ascii="Arial" w:hAnsi="Arial"/>
                <w:b/>
                <w:color w:val="FFFFFF"/>
                <w:sz w:val="20"/>
              </w:rPr>
              <w:t>VINCULUM Tool</w:t>
            </w:r>
          </w:p>
        </w:tc>
        <w:tc>
          <w:tcPr>
            <w:tcW w:type="dxa" w:w="1152"/>
            <w:shd w:val="clear" w:color="auto" w:fill="1E293B"/>
          </w:tcPr>
          <w:p>
            <w:r/>
            <w:r>
              <w:rPr>
                <w:rFonts w:ascii="Arial" w:hAnsi="Arial"/>
                <w:b/>
                <w:color w:val="FFFFFF"/>
                <w:sz w:val="20"/>
              </w:rPr>
              <w:t>Timed?</w:t>
            </w:r>
          </w:p>
        </w:tc>
        <w:tc>
          <w:tcPr>
            <w:tcW w:type="dxa" w:w="1440"/>
            <w:shd w:val="clear" w:color="auto" w:fill="1E293B"/>
          </w:tcPr>
          <w:p>
            <w:r/>
            <w:r>
              <w:rPr>
                <w:rFonts w:ascii="Arial" w:hAnsi="Arial"/>
                <w:b/>
                <w:color w:val="FFFFFF"/>
                <w:sz w:val="20"/>
              </w:rPr>
              <w:t>Status</w:t>
            </w:r>
          </w:p>
        </w:tc>
      </w:tr>
      <w:tr>
        <w:tc>
          <w:tcPr>
            <w:tcW w:type="dxa" w:w="864"/>
          </w:tcPr>
          <w:p>
            <w:r/>
            <w:r>
              <w:rPr>
                <w:rFonts w:ascii="Arial" w:hAnsi="Arial"/>
                <w:sz w:val="20"/>
              </w:rPr>
              <w:t>K</w:t>
            </w:r>
          </w:p>
        </w:tc>
        <w:tc>
          <w:tcPr>
            <w:tcW w:type="dxa" w:w="2592"/>
          </w:tcPr>
          <w:p>
            <w:r/>
            <w:r>
              <w:rPr>
                <w:rFonts w:ascii="Arial" w:hAnsi="Arial"/>
                <w:sz w:val="20"/>
              </w:rPr>
              <w:t>Add/subtract within 5</w:t>
            </w:r>
          </w:p>
        </w:tc>
        <w:tc>
          <w:tcPr>
            <w:tcW w:type="dxa" w:w="2592"/>
          </w:tcPr>
          <w:p>
            <w:r/>
            <w:r>
              <w:rPr>
                <w:rFonts w:ascii="Arial" w:hAnsi="Arial"/>
                <w:sz w:val="20"/>
              </w:rPr>
              <w:t>Add &amp; Subtract (Play mode)</w:t>
            </w:r>
          </w:p>
        </w:tc>
        <w:tc>
          <w:tcPr>
            <w:tcW w:type="dxa" w:w="1152"/>
          </w:tcPr>
          <w:p>
            <w:r/>
            <w:r>
              <w:rPr>
                <w:rFonts w:ascii="Arial" w:hAnsi="Arial"/>
                <w:sz w:val="20"/>
              </w:rPr>
              <w:t>Yes</w:t>
            </w:r>
          </w:p>
        </w:tc>
        <w:tc>
          <w:tcPr>
            <w:tcW w:type="dxa" w:w="1440"/>
            <w:shd w:val="clear" w:color="auto" w:fill="E8F5E9"/>
          </w:tcPr>
          <w:p>
            <w:pPr>
              <w:jc w:val="center"/>
            </w:pPr>
            <w:r/>
            <w:r>
              <w:rPr>
                <w:rFonts w:ascii="Arial" w:hAnsi="Arial"/>
                <w:b/>
                <w:color w:val="059669"/>
                <w:sz w:val="20"/>
              </w:rPr>
              <w:t>STRONG</w:t>
            </w:r>
          </w:p>
        </w:tc>
      </w:tr>
      <w:tr>
        <w:tc>
          <w:tcPr>
            <w:tcW w:type="dxa" w:w="864"/>
          </w:tcPr>
          <w:p>
            <w:r/>
            <w:r>
              <w:rPr>
                <w:rFonts w:ascii="Arial" w:hAnsi="Arial"/>
                <w:sz w:val="20"/>
              </w:rPr>
              <w:t>1</w:t>
            </w:r>
          </w:p>
        </w:tc>
        <w:tc>
          <w:tcPr>
            <w:tcW w:type="dxa" w:w="2592"/>
          </w:tcPr>
          <w:p>
            <w:r/>
            <w:r>
              <w:rPr>
                <w:rFonts w:ascii="Arial" w:hAnsi="Arial"/>
                <w:sz w:val="20"/>
              </w:rPr>
              <w:t>Add/subtract within 10</w:t>
            </w:r>
          </w:p>
        </w:tc>
        <w:tc>
          <w:tcPr>
            <w:tcW w:type="dxa" w:w="2592"/>
          </w:tcPr>
          <w:p>
            <w:r/>
            <w:r>
              <w:rPr>
                <w:rFonts w:ascii="Arial" w:hAnsi="Arial"/>
                <w:sz w:val="20"/>
              </w:rPr>
              <w:t>Add-Sub Fluency</w:t>
            </w:r>
          </w:p>
        </w:tc>
        <w:tc>
          <w:tcPr>
            <w:tcW w:type="dxa" w:w="1152"/>
          </w:tcPr>
          <w:p>
            <w:r/>
            <w:r>
              <w:rPr>
                <w:rFonts w:ascii="Arial" w:hAnsi="Arial"/>
                <w:sz w:val="20"/>
              </w:rPr>
              <w:t>Yes</w:t>
            </w:r>
          </w:p>
        </w:tc>
        <w:tc>
          <w:tcPr>
            <w:tcW w:type="dxa" w:w="1440"/>
            <w:shd w:val="clear" w:color="auto" w:fill="E8F5E9"/>
          </w:tcPr>
          <w:p>
            <w:pPr>
              <w:jc w:val="center"/>
            </w:pPr>
            <w:r/>
            <w:r>
              <w:rPr>
                <w:rFonts w:ascii="Arial" w:hAnsi="Arial"/>
                <w:b/>
                <w:color w:val="059669"/>
                <w:sz w:val="20"/>
              </w:rPr>
              <w:t>STRONG</w:t>
            </w:r>
          </w:p>
        </w:tc>
      </w:tr>
      <w:tr>
        <w:tc>
          <w:tcPr>
            <w:tcW w:type="dxa" w:w="864"/>
          </w:tcPr>
          <w:p>
            <w:r/>
            <w:r>
              <w:rPr>
                <w:rFonts w:ascii="Arial" w:hAnsi="Arial"/>
                <w:sz w:val="20"/>
              </w:rPr>
              <w:t>2</w:t>
            </w:r>
          </w:p>
        </w:tc>
        <w:tc>
          <w:tcPr>
            <w:tcW w:type="dxa" w:w="2592"/>
          </w:tcPr>
          <w:p>
            <w:r/>
            <w:r>
              <w:rPr>
                <w:rFonts w:ascii="Arial" w:hAnsi="Arial"/>
                <w:sz w:val="20"/>
              </w:rPr>
              <w:t>Add/subtract within 20</w:t>
            </w:r>
          </w:p>
        </w:tc>
        <w:tc>
          <w:tcPr>
            <w:tcW w:type="dxa" w:w="2592"/>
          </w:tcPr>
          <w:p>
            <w:r/>
            <w:r>
              <w:rPr>
                <w:rFonts w:ascii="Arial" w:hAnsi="Arial"/>
                <w:sz w:val="20"/>
              </w:rPr>
              <w:t>Fluency-20, Two-Digit Fluency</w:t>
            </w:r>
          </w:p>
        </w:tc>
        <w:tc>
          <w:tcPr>
            <w:tcW w:type="dxa" w:w="1152"/>
          </w:tcPr>
          <w:p>
            <w:r/>
            <w:r>
              <w:rPr>
                <w:rFonts w:ascii="Arial" w:hAnsi="Arial"/>
                <w:sz w:val="20"/>
              </w:rPr>
              <w:t>Yes</w:t>
            </w:r>
          </w:p>
        </w:tc>
        <w:tc>
          <w:tcPr>
            <w:tcW w:type="dxa" w:w="1440"/>
            <w:shd w:val="clear" w:color="auto" w:fill="E8F5E9"/>
          </w:tcPr>
          <w:p>
            <w:pPr>
              <w:jc w:val="center"/>
            </w:pPr>
            <w:r/>
            <w:r>
              <w:rPr>
                <w:rFonts w:ascii="Arial" w:hAnsi="Arial"/>
                <w:b/>
                <w:color w:val="059669"/>
                <w:sz w:val="20"/>
              </w:rPr>
              <w:t>STRONG</w:t>
            </w:r>
          </w:p>
        </w:tc>
      </w:tr>
      <w:tr>
        <w:tc>
          <w:tcPr>
            <w:tcW w:type="dxa" w:w="864"/>
          </w:tcPr>
          <w:p>
            <w:r/>
            <w:r>
              <w:rPr>
                <w:rFonts w:ascii="Arial" w:hAnsi="Arial"/>
                <w:sz w:val="20"/>
              </w:rPr>
              <w:t>3</w:t>
            </w:r>
          </w:p>
        </w:tc>
        <w:tc>
          <w:tcPr>
            <w:tcW w:type="dxa" w:w="2592"/>
          </w:tcPr>
          <w:p>
            <w:r/>
            <w:r>
              <w:rPr>
                <w:rFonts w:ascii="Arial" w:hAnsi="Arial"/>
                <w:sz w:val="20"/>
              </w:rPr>
              <w:t>Multiply/divide within 100</w:t>
            </w:r>
          </w:p>
        </w:tc>
        <w:tc>
          <w:tcPr>
            <w:tcW w:type="dxa" w:w="2592"/>
          </w:tcPr>
          <w:p>
            <w:r/>
            <w:r>
              <w:rPr>
                <w:rFonts w:ascii="Arial" w:hAnsi="Arial"/>
                <w:sz w:val="20"/>
              </w:rPr>
              <w:t>Fact Fluency (planned)</w:t>
            </w:r>
          </w:p>
        </w:tc>
        <w:tc>
          <w:tcPr>
            <w:tcW w:type="dxa" w:w="1152"/>
          </w:tcPr>
          <w:p>
            <w:r/>
            <w:r>
              <w:rPr>
                <w:rFonts w:ascii="Arial" w:hAnsi="Arial"/>
                <w:sz w:val="20"/>
              </w:rPr>
              <w:t>Planned</w:t>
            </w:r>
          </w:p>
        </w:tc>
        <w:tc>
          <w:tcPr>
            <w:tcW w:type="dxa" w:w="1440"/>
            <w:shd w:val="clear" w:color="auto" w:fill="E0F7FA"/>
          </w:tcPr>
          <w:p>
            <w:pPr>
              <w:jc w:val="center"/>
            </w:pPr>
            <w:r/>
            <w:r>
              <w:rPr>
                <w:rFonts w:ascii="Arial" w:hAnsi="Arial"/>
                <w:b/>
                <w:color w:val="0891B2"/>
                <w:sz w:val="20"/>
              </w:rPr>
              <w:t>PLANNED</w:t>
            </w:r>
          </w:p>
        </w:tc>
      </w:tr>
      <w:tr>
        <w:tc>
          <w:tcPr>
            <w:tcW w:type="dxa" w:w="864"/>
          </w:tcPr>
          <w:p>
            <w:r/>
            <w:r>
              <w:rPr>
                <w:rFonts w:ascii="Arial" w:hAnsi="Arial"/>
                <w:sz w:val="20"/>
              </w:rPr>
              <w:t>4</w:t>
            </w:r>
          </w:p>
        </w:tc>
        <w:tc>
          <w:tcPr>
            <w:tcW w:type="dxa" w:w="2592"/>
          </w:tcPr>
          <w:p>
            <w:r/>
            <w:r>
              <w:rPr>
                <w:rFonts w:ascii="Arial" w:hAnsi="Arial"/>
                <w:sz w:val="20"/>
              </w:rPr>
              <w:t>Add/sub within 1,000,000</w:t>
            </w:r>
          </w:p>
        </w:tc>
        <w:tc>
          <w:tcPr>
            <w:tcW w:type="dxa" w:w="2592"/>
          </w:tcPr>
          <w:p>
            <w:r/>
            <w:r>
              <w:rPr>
                <w:rFonts w:ascii="Arial" w:hAnsi="Arial"/>
                <w:sz w:val="20"/>
              </w:rPr>
              <w:t>Not yet planned</w:t>
            </w:r>
          </w:p>
        </w:tc>
        <w:tc>
          <w:tcPr>
            <w:tcW w:type="dxa" w:w="1152"/>
          </w:tcPr>
          <w:p>
            <w:r/>
            <w:r>
              <w:rPr>
                <w:rFonts w:ascii="Arial" w:hAnsi="Arial"/>
                <w:sz w:val="20"/>
              </w:rPr>
              <w:t>—</w:t>
            </w:r>
          </w:p>
        </w:tc>
        <w:tc>
          <w:tcPr>
            <w:tcW w:type="dxa" w:w="1440"/>
            <w:shd w:val="clear" w:color="auto" w:fill="FFEBEE"/>
          </w:tcPr>
          <w:p>
            <w:pPr>
              <w:jc w:val="center"/>
            </w:pPr>
            <w:r/>
            <w:r>
              <w:rPr>
                <w:rFonts w:ascii="Arial" w:hAnsi="Arial"/>
                <w:b/>
                <w:color w:val="DC2626"/>
                <w:sz w:val="20"/>
              </w:rPr>
              <w:t>GAP</w:t>
            </w:r>
          </w:p>
        </w:tc>
      </w:tr>
      <w:tr>
        <w:tc>
          <w:tcPr>
            <w:tcW w:type="dxa" w:w="864"/>
          </w:tcPr>
          <w:p>
            <w:r/>
            <w:r>
              <w:rPr>
                <w:rFonts w:ascii="Arial" w:hAnsi="Arial"/>
                <w:sz w:val="20"/>
              </w:rPr>
              <w:t>5</w:t>
            </w:r>
          </w:p>
        </w:tc>
        <w:tc>
          <w:tcPr>
            <w:tcW w:type="dxa" w:w="2592"/>
          </w:tcPr>
          <w:p>
            <w:r/>
            <w:r>
              <w:rPr>
                <w:rFonts w:ascii="Arial" w:hAnsi="Arial"/>
                <w:sz w:val="20"/>
              </w:rPr>
              <w:t>Multi-digit multiplication</w:t>
            </w:r>
          </w:p>
        </w:tc>
        <w:tc>
          <w:tcPr>
            <w:tcW w:type="dxa" w:w="2592"/>
          </w:tcPr>
          <w:p>
            <w:r/>
            <w:r>
              <w:rPr>
                <w:rFonts w:ascii="Arial" w:hAnsi="Arial"/>
                <w:sz w:val="20"/>
              </w:rPr>
              <w:t>Not yet planned</w:t>
            </w:r>
          </w:p>
        </w:tc>
        <w:tc>
          <w:tcPr>
            <w:tcW w:type="dxa" w:w="1152"/>
          </w:tcPr>
          <w:p>
            <w:r/>
            <w:r>
              <w:rPr>
                <w:rFonts w:ascii="Arial" w:hAnsi="Arial"/>
                <w:sz w:val="20"/>
              </w:rPr>
              <w:t>—</w:t>
            </w:r>
          </w:p>
        </w:tc>
        <w:tc>
          <w:tcPr>
            <w:tcW w:type="dxa" w:w="1440"/>
            <w:shd w:val="clear" w:color="auto" w:fill="FFEBEE"/>
          </w:tcPr>
          <w:p>
            <w:pPr>
              <w:jc w:val="center"/>
            </w:pPr>
            <w:r/>
            <w:r>
              <w:rPr>
                <w:rFonts w:ascii="Arial" w:hAnsi="Arial"/>
                <w:b/>
                <w:color w:val="DC2626"/>
                <w:sz w:val="20"/>
              </w:rPr>
              <w:t>GAP</w:t>
            </w:r>
          </w:p>
        </w:tc>
      </w:tr>
    </w:tbl>
    <w:p>
      <w:pPr>
        <w:pStyle w:val="Heading3"/>
      </w:pPr>
      <w:r>
        <w:t>What Makes VINCULUM Fluency Different</w:t>
      </w:r>
    </w:p>
    <w:p>
      <w:pPr>
        <w:pStyle w:val="ListBullet"/>
      </w:pPr>
      <w:r>
        <w:rPr>
          <w:b/>
        </w:rPr>
        <w:t xml:space="preserve">Adaptive difficulty: </w:t>
      </w:r>
      <w:r>
        <w:t>The adaptive-hook watches accuracy in a rolling 8-answer window. Above 85% = silently increase difficulty. Below 40% = step back with scaffold hint. Students stay in their productive struggle zone automatically.</w:t>
      </w:r>
    </w:p>
    <w:p>
      <w:pPr>
        <w:pStyle w:val="ListBullet"/>
      </w:pPr>
      <w:r>
        <w:rPr>
          <w:b/>
        </w:rPr>
        <w:t xml:space="preserve">Spaced retrieval: </w:t>
      </w:r>
      <w:r>
        <w:t>vinculum-data.js tracks which facts a student has seen and schedules review at 1, 3, 7, 14, and 30-day intervals—the research-backed spacing effect.</w:t>
      </w:r>
    </w:p>
    <w:p>
      <w:pPr>
        <w:pStyle w:val="ListBullet"/>
      </w:pPr>
      <w:r>
        <w:rPr>
          <w:b/>
        </w:rPr>
        <w:t xml:space="preserve">Misconception logging: </w:t>
      </w:r>
      <w:r>
        <w:t>When a student makes an error, the system logs the specific misconception pattern. This data will feed the future teacher dashboard.</w:t>
      </w:r>
    </w:p>
    <w:p>
      <w:pPr>
        <w:pStyle w:val="ListBullet"/>
      </w:pPr>
      <w:r>
        <w:rPr>
          <w:b/>
        </w:rPr>
        <w:t xml:space="preserve">Fluency through understanding: </w:t>
      </w:r>
      <w:r>
        <w:t>Students encounter the same operation in Explore (why it works), Practice (how to do it), and Play (when to use it) BEFORE any speed pressure. Speed without understanding is just memorization—CCSS explicitly warns against this.</w:t>
      </w:r>
    </w:p>
    <w:p>
      <w:r>
        <w:br w:type="page"/>
      </w:r>
    </w:p>
    <w:p>
      <w:pPr>
        <w:pStyle w:val="Heading1"/>
      </w:pPr>
      <w:r>
        <w:t>Addressed Now vs. Building Toward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1E293B"/>
          </w:tcPr>
          <w:p>
            <w:r/>
            <w:r>
              <w:rPr>
                <w:rFonts w:ascii="Arial" w:hAnsi="Arial"/>
                <w:b/>
                <w:color w:val="FFFFFF"/>
                <w:sz w:val="20"/>
              </w:rPr>
              <w:t>Already Addressed</w:t>
            </w:r>
          </w:p>
        </w:tc>
        <w:tc>
          <w:tcPr>
            <w:tcW w:type="dxa" w:w="1296"/>
            <w:shd w:val="clear" w:color="auto" w:fill="1E293B"/>
          </w:tcPr>
          <w:p>
            <w:r/>
            <w:r>
              <w:rPr>
                <w:rFonts w:ascii="Arial" w:hAnsi="Arial"/>
                <w:b/>
                <w:color w:val="FFFFFF"/>
                <w:sz w:val="20"/>
              </w:rPr>
              <w:t>Status</w:t>
            </w:r>
          </w:p>
        </w:tc>
        <w:tc>
          <w:tcPr>
            <w:tcW w:type="dxa" w:w="3168"/>
            <w:shd w:val="clear" w:color="auto" w:fill="1E293B"/>
          </w:tcPr>
          <w:p>
            <w:r/>
            <w:r>
              <w:rPr>
                <w:rFonts w:ascii="Arial" w:hAnsi="Arial"/>
                <w:b/>
                <w:color w:val="FFFFFF"/>
                <w:sz w:val="20"/>
              </w:rPr>
              <w:t>Building Toward</w:t>
            </w:r>
          </w:p>
        </w:tc>
        <w:tc>
          <w:tcPr>
            <w:tcW w:type="dxa" w:w="1728"/>
            <w:shd w:val="clear" w:color="auto" w:fill="1E293B"/>
          </w:tcPr>
          <w:p>
            <w:r/>
            <w:r>
              <w:rPr>
                <w:rFonts w:ascii="Arial" w:hAnsi="Arial"/>
                <w:b/>
                <w:color w:val="FFFFFF"/>
                <w:sz w:val="20"/>
              </w:rPr>
              <w:t>When</w:t>
            </w:r>
          </w:p>
        </w:tc>
      </w:tr>
      <w:tr>
        <w:tc>
          <w:tcPr>
            <w:tcW w:type="dxa" w:w="3168"/>
          </w:tcPr>
          <w:p>
            <w:r/>
            <w:r>
              <w:rPr>
                <w:rFonts w:ascii="Arial" w:hAnsi="Arial"/>
                <w:sz w:val="20"/>
              </w:rPr>
              <w:t>CRA three-mode architecture (multi-perspective access)</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Cross-grade data flow (G1 mastery informs G2 start)</w:t>
            </w:r>
          </w:p>
        </w:tc>
        <w:tc>
          <w:tcPr>
            <w:tcW w:type="dxa" w:w="1728"/>
          </w:tcPr>
          <w:p>
            <w:r/>
            <w:r>
              <w:rPr>
                <w:rFonts w:ascii="Arial" w:hAnsi="Arial"/>
                <w:sz w:val="20"/>
              </w:rPr>
              <w:t>Step 4: Dashboard</w:t>
            </w:r>
          </w:p>
        </w:tc>
      </w:tr>
      <w:tr>
        <w:tc>
          <w:tcPr>
            <w:tcW w:type="dxa" w:w="3168"/>
          </w:tcPr>
          <w:p>
            <w:r/>
            <w:r>
              <w:rPr>
                <w:rFonts w:ascii="Arial" w:hAnsi="Arial"/>
                <w:sz w:val="20"/>
              </w:rPr>
              <w:t>Three difficulty tiers per tool (depth not breadth)</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G3 multiplication/division suite (15 tools)</w:t>
            </w:r>
          </w:p>
        </w:tc>
        <w:tc>
          <w:tcPr>
            <w:tcW w:type="dxa" w:w="1728"/>
          </w:tcPr>
          <w:p>
            <w:r/>
            <w:r>
              <w:rPr>
                <w:rFonts w:ascii="Arial" w:hAnsi="Arial"/>
                <w:sz w:val="20"/>
              </w:rPr>
              <w:t>Next build cycle</w:t>
            </w:r>
          </w:p>
        </w:tc>
      </w:tr>
      <w:tr>
        <w:tc>
          <w:tcPr>
            <w:tcW w:type="dxa" w:w="3168"/>
          </w:tcPr>
          <w:p>
            <w:r/>
            <w:r>
              <w:rPr>
                <w:rFonts w:ascii="Arial" w:hAnsi="Arial"/>
                <w:sz w:val="20"/>
              </w:rPr>
              <w:t>Adaptive difficulty engine (productive struggle)</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Teacher dashboard for misconception review</w:t>
            </w:r>
          </w:p>
        </w:tc>
        <w:tc>
          <w:tcPr>
            <w:tcW w:type="dxa" w:w="1728"/>
          </w:tcPr>
          <w:p>
            <w:r/>
            <w:r>
              <w:rPr>
                <w:rFonts w:ascii="Arial" w:hAnsi="Arial"/>
                <w:sz w:val="20"/>
              </w:rPr>
              <w:t>Step 4</w:t>
            </w:r>
          </w:p>
        </w:tc>
      </w:tr>
      <w:tr>
        <w:tc>
          <w:tcPr>
            <w:tcW w:type="dxa" w:w="3168"/>
          </w:tcPr>
          <w:p>
            <w:r/>
            <w:r>
              <w:rPr>
                <w:rFonts w:ascii="Arial" w:hAnsi="Arial"/>
                <w:sz w:val="20"/>
              </w:rPr>
              <w:t>Spaced retrieval scheduling (1/3/7/14/30 day)</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G4–5 fluency tools (multi-digit, fractions)</w:t>
            </w:r>
          </w:p>
        </w:tc>
        <w:tc>
          <w:tcPr>
            <w:tcW w:type="dxa" w:w="1728"/>
          </w:tcPr>
          <w:p>
            <w:r/>
            <w:r>
              <w:rPr>
                <w:rFonts w:ascii="Arial" w:hAnsi="Arial"/>
                <w:sz w:val="20"/>
              </w:rPr>
              <w:t>After G3 build</w:t>
            </w:r>
          </w:p>
        </w:tc>
      </w:tr>
      <w:tr>
        <w:tc>
          <w:tcPr>
            <w:tcW w:type="dxa" w:w="3168"/>
          </w:tcPr>
          <w:p>
            <w:r/>
            <w:r>
              <w:rPr>
                <w:rFonts w:ascii="Arial" w:hAnsi="Arial"/>
                <w:sz w:val="20"/>
              </w:rPr>
              <w:t>Learning threads connecting tools across grades</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Universal screening (identify at-risk students)</w:t>
            </w:r>
          </w:p>
        </w:tc>
        <w:tc>
          <w:tcPr>
            <w:tcW w:type="dxa" w:w="1728"/>
          </w:tcPr>
          <w:p>
            <w:r/>
            <w:r>
              <w:rPr>
                <w:rFonts w:ascii="Arial" w:hAnsi="Arial"/>
                <w:sz w:val="20"/>
              </w:rPr>
              <w:t>Future</w:t>
            </w:r>
          </w:p>
        </w:tc>
      </w:tr>
      <w:tr>
        <w:tc>
          <w:tcPr>
            <w:tcW w:type="dxa" w:w="3168"/>
          </w:tcPr>
          <w:p>
            <w:r/>
            <w:r>
              <w:rPr>
                <w:rFonts w:ascii="Arial" w:hAnsi="Arial"/>
                <w:sz w:val="20"/>
              </w:rPr>
              <w:t>K–2 fluency targets covered (46 tools)</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G6–8 ratio/algebra/function tools</w:t>
            </w:r>
          </w:p>
        </w:tc>
        <w:tc>
          <w:tcPr>
            <w:tcW w:type="dxa" w:w="1728"/>
          </w:tcPr>
          <w:p>
            <w:r/>
            <w:r>
              <w:rPr>
                <w:rFonts w:ascii="Arial" w:hAnsi="Arial"/>
                <w:sz w:val="20"/>
              </w:rPr>
              <w:t>Future</w:t>
            </w:r>
          </w:p>
        </w:tc>
      </w:tr>
      <w:tr>
        <w:tc>
          <w:tcPr>
            <w:tcW w:type="dxa" w:w="3168"/>
          </w:tcPr>
          <w:p>
            <w:r/>
            <w:r>
              <w:rPr>
                <w:rFonts w:ascii="Arial" w:hAnsi="Arial"/>
                <w:sz w:val="20"/>
              </w:rPr>
              <w:t>Misconception logging per student per tool</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Family engagement portal</w:t>
            </w:r>
          </w:p>
        </w:tc>
        <w:tc>
          <w:tcPr>
            <w:tcW w:type="dxa" w:w="1728"/>
          </w:tcPr>
          <w:p>
            <w:r/>
            <w:r>
              <w:rPr>
                <w:rFonts w:ascii="Arial" w:hAnsi="Arial"/>
                <w:sz w:val="20"/>
              </w:rPr>
              <w:t>Future</w:t>
            </w:r>
          </w:p>
        </w:tc>
      </w:tr>
      <w:tr>
        <w:tc>
          <w:tcPr>
            <w:tcW w:type="dxa" w:w="3168"/>
          </w:tcPr>
          <w:p>
            <w:r/>
            <w:r>
              <w:rPr>
                <w:rFonts w:ascii="Arial" w:hAnsi="Arial"/>
                <w:sz w:val="20"/>
              </w:rPr>
              <w:t>Story context for application (180 templates)</w:t>
            </w:r>
          </w:p>
        </w:tc>
        <w:tc>
          <w:tcPr>
            <w:tcW w:type="dxa" w:w="1296"/>
            <w:shd w:val="clear" w:color="auto" w:fill="E8F5E9"/>
          </w:tcPr>
          <w:p>
            <w:pPr>
              <w:jc w:val="center"/>
            </w:pPr>
            <w:r/>
            <w:r>
              <w:rPr>
                <w:rFonts w:ascii="Arial" w:hAnsi="Arial"/>
                <w:b/>
                <w:color w:val="059669"/>
                <w:sz w:val="20"/>
              </w:rPr>
              <w:t>STRONG</w:t>
            </w:r>
          </w:p>
        </w:tc>
        <w:tc>
          <w:tcPr>
            <w:tcW w:type="dxa" w:w="3168"/>
          </w:tcPr>
          <w:p>
            <w:r/>
            <w:r>
              <w:rPr>
                <w:rFonts w:ascii="Arial" w:hAnsi="Arial"/>
                <w:sz w:val="20"/>
              </w:rPr>
              <w:t>Academic vocabulary module</w:t>
            </w:r>
          </w:p>
        </w:tc>
        <w:tc>
          <w:tcPr>
            <w:tcW w:type="dxa" w:w="1728"/>
          </w:tcPr>
          <w:p>
            <w:r/>
            <w:r>
              <w:rPr>
                <w:rFonts w:ascii="Arial" w:hAnsi="Arial"/>
                <w:sz w:val="20"/>
              </w:rPr>
              <w:t>Future</w:t>
            </w:r>
          </w:p>
        </w:tc>
      </w:tr>
    </w:tbl>
    <w:p>
      <w:pPr>
        <w:pStyle w:val="Heading1"/>
      </w:pPr>
      <w:r>
        <w:t>Recommendations &amp; Next Steps</w:t>
      </w:r>
    </w:p>
    <w:p>
      <w:pPr>
        <w:pStyle w:val="Heading2"/>
      </w:pPr>
      <w:r>
        <w:t>1. Immediate: Build G3 Tool Suite</w:t>
      </w:r>
    </w:p>
    <w:p>
      <w:r>
        <w:t>Grade 3 is the inflection point where multiplication and fractions enter. Without G3 tools, the coherence thread breaks. The 15 proposed tools (Multiplication Array Builder, Division Fair Share, Fact Fluency, Two-Step Word Problems, Patterns &amp; Rules, Rounding Roller, Multi-Digit Add/Sub, Fraction Bars, Fractions on Number Line, Equivalent Fractions, Area &amp; Perimeter Lab, Elapsed Time, Scaled Graphs, Shape Partitioner, Quadrilateral Sorter) directly address grades 3–5 major work.</w:t>
      </w:r>
    </w:p>
    <w:p>
      <w:pPr>
        <w:pStyle w:val="Heading2"/>
      </w:pPr>
      <w:r>
        <w:t>2. Short-Term: Fluency Dashboard</w:t>
      </w:r>
    </w:p>
    <w:p>
      <w:r>
        <w:t>The adaptive engine and spaced retrieval system are already collecting data. A teacher-facing dashboard would close the biggest coherence gap: giving teachers visibility into which students need intervention on which skills.</w:t>
      </w:r>
    </w:p>
    <w:p>
      <w:pPr>
        <w:pStyle w:val="Heading2"/>
      </w:pPr>
      <w:r>
        <w:t>3. Medium-Term: Cross-Grade Proficiency Profile</w:t>
      </w:r>
    </w:p>
    <w:p>
      <w:r>
        <w:t>Build a student profile that follows a learner from K through G8. When a G3 student opens Fraction Bars, the system should know they mastered partitioning in G1’s Fraction Shapes tool. This is the fullest expression of CCSS coherence: “each standard is not a new event, but an extension of previous learning.”</w:t>
      </w:r>
    </w:p>
    <w:p>
      <w:pPr>
        <w:pStyle w:val="Heading2"/>
      </w:pPr>
      <w:r>
        <w:t>4. Long-Term: Multi-Representation Engine</w:t>
      </w:r>
    </w:p>
    <w:p>
      <w:r>
        <w:t>When a student is stuck, the system automatically offers an alternative representation. Struggling with fraction bars? Try the number line model. Can’t see multiplication as repeated addition? Switch to the array view. The infrastructure (shared modules, data tracking, adaptive engine) is already in place.</w:t>
      </w:r>
    </w:p>
    <w:p>
      <w:pPr>
        <w:spacing w:before="480"/>
      </w:pPr>
      <w:r>
        <w:rPr>
          <w:b/>
          <w:color w:val="0891B2"/>
          <w:sz w:val="24"/>
        </w:rPr>
        <w:t xml:space="preserve">Bottom Line: </w:t>
      </w:r>
      <w:r>
        <w:rPr>
          <w:sz w:val="22"/>
        </w:rPr>
        <w:t>VINCULUM’s CRA architecture is fundamentally aligned with the CCSS Key Shifts. The three-mode system IS multi-perspective access. The adaptive engine IS productive struggle. The thread system IS coherence. What remains is execution: building out the G3–8 tools and connecting the data layer across grades.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91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