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2D3142"/>
          <w:sz w:val="56"/>
        </w:rPr>
        <w:t>VINCULUM Math Solutions Hub</w:t>
      </w:r>
    </w:p>
    <w:p>
      <w:pPr>
        <w:spacing w:after="480"/>
        <w:jc w:val="center"/>
      </w:pPr>
      <w:r>
        <w:rPr>
          <w:rFonts w:ascii="Arial" w:hAnsi="Arial"/>
          <w:i/>
          <w:color w:val="2D3142"/>
          <w:sz w:val="36"/>
        </w:rPr>
        <w:t>Technical Feature Specification</w:t>
      </w:r>
    </w:p>
    <w:p>
      <w:pPr>
        <w:jc w:val="center"/>
      </w:pPr>
      <w:r>
        <w:rPr>
          <w:rFonts w:ascii="Arial" w:hAnsi="Arial"/>
          <w:color w:val="FF6B35"/>
          <w:sz w:val="24"/>
        </w:rPr>
        <w:t>v2.0 — March 2026</w:t>
      </w:r>
    </w:p>
    <w:p/>
    <w:p/>
    <w:p>
      <w:pPr>
        <w:jc w:val="center"/>
      </w:pPr>
      <w:r>
        <w:rPr>
          <w:rFonts w:ascii="Arial" w:hAnsi="Arial"/>
          <w:sz w:val="22"/>
        </w:rPr>
        <w:t>Author: Jon Drummond</w:t>
      </w:r>
    </w:p>
    <w:p>
      <w:pPr>
        <w:spacing w:line="312" w:lineRule="auto"/>
        <w:jc w:val="center"/>
      </w:pPr>
      <w:r>
        <w:rPr>
          <w:rFonts w:ascii="Arial" w:hAnsi="Arial"/>
          <w:i/>
          <w:sz w:val="22"/>
        </w:rPr>
        <w:t>Complete feature specification for a research-backed K-12 math tool platform with narrative context, misconception detection, adaptive difficulty, and triple-standard alignment.</w:t>
      </w:r>
    </w:p>
    <w:p>
      <w:r>
        <w:br w:type="page"/>
      </w:r>
    </w:p>
    <w:p>
      <w:pPr>
        <w:pStyle w:val="Heading1"/>
        <w:spacing w:before="240" w:after="120"/>
      </w:pPr>
      <w:r>
        <w:rPr>
          <w:rFonts w:ascii="Arial" w:hAnsi="Arial"/>
          <w:b/>
          <w:color w:val="2D3142"/>
          <w:sz w:val="32"/>
        </w:rPr>
        <w:t>1. Platform Overview</w:t>
      </w:r>
    </w:p>
    <w:p>
      <w:pPr>
        <w:spacing w:line="360" w:lineRule="auto" w:after="120"/>
        <w:jc w:val="both"/>
      </w:pPr>
      <w:r>
        <w:rPr>
          <w:rFonts w:ascii="Arial" w:hAnsi="Arial"/>
          <w:color w:val="000000"/>
          <w:sz w:val="24"/>
        </w:rPr>
        <w:t>VINCULUM is a collection of 45+ self-contained HTML math tools spanning Kindergarten through Grade 8, deployed via GitHub Pages at discrafty-cpu.github.io/vinculum-hub/. Each tool is a single HTML file that links to shared CSS (vinculum-core.css) and JavaScript (vinculum-core.js, vinculum-data.js, vinculum-stories.js) via relative paths. The hub page (VINCULUM-Hub.html) serves as the launchpad, with tools organized by grade, strand, and standard.</w:t>
      </w:r>
    </w:p>
    <w:p>
      <w:pPr>
        <w:spacing w:line="360" w:lineRule="auto" w:after="120"/>
        <w:jc w:val="both"/>
      </w:pPr>
      <w:r>
        <w:rPr>
          <w:rFonts w:ascii="Arial" w:hAnsi="Arial"/>
          <w:color w:val="000000"/>
          <w:sz w:val="24"/>
        </w:rPr>
        <w:t>The platform supports 14 visual themes (including high-contrast and light themes for projector use), a Read-to-Me accessibility mode, and a teacher mode. Every tool follows a three-mode CRA (Concrete-Representational-Abstract) progression: Explore, Practice, and Play. This design honors decades of learning science research while maintaining simplicity in implementation.</w:t>
      </w:r>
    </w:p>
    <w:p>
      <w:pPr>
        <w:spacing w:line="360" w:lineRule="auto" w:after="120"/>
        <w:jc w:val="both"/>
      </w:pPr>
      <w:r>
        <w:rPr>
          <w:rFonts w:ascii="Arial" w:hAnsi="Arial"/>
          <w:color w:val="000000"/>
          <w:sz w:val="24"/>
        </w:rPr>
        <w:t>The tech stack is intentionally simple: vanilla HTML, CSS, and JavaScript with zero build steps, zero frameworks, and zero server dependencies. Everything runs client-side. Data persistence uses localStorage with an in-memory fallback. This architectural choice ensures maximum accessibility—the platform works on any device with a web browser, requires no installation, and functions offline once loaded.</w:t>
      </w:r>
    </w:p>
    <w:p>
      <w:pPr>
        <w:pStyle w:val="Heading2"/>
        <w:spacing w:before="200" w:after="100"/>
      </w:pPr>
      <w:r>
        <w:rPr>
          <w:rFonts w:ascii="Arial" w:hAnsi="Arial"/>
          <w:b/>
          <w:color w:val="2D3142"/>
          <w:sz w:val="28"/>
        </w:rPr>
        <w:t>1.1 Architecture</w:t>
      </w:r>
    </w:p>
    <w:p>
      <w:pPr>
        <w:spacing w:line="360" w:lineRule="auto" w:after="120"/>
        <w:jc w:val="both"/>
      </w:pPr>
      <w:r>
        <w:rPr>
          <w:rFonts w:ascii="Arial" w:hAnsi="Arial"/>
          <w:color w:val="000000"/>
          <w:sz w:val="24"/>
        </w:rPr>
        <w:t>The codebase is organized into five core components, each with a specific responsibility:</w:t>
      </w:r>
    </w:p>
    <w:p>
      <w:pPr>
        <w:spacing w:line="360" w:lineRule="auto" w:after="120"/>
        <w:jc w:val="both"/>
      </w:pPr>
      <w:r>
        <w:rPr>
          <w:rFonts w:ascii="Arial" w:hAnsi="Arial"/>
          <w:color w:val="000000"/>
          <w:sz w:val="24"/>
        </w:rPr>
        <w:t>vinculum-core.css is the single source of truth for all theming. It defines 14 distinct themes with 60+ CSS variables per theme, enabling teachers and students to switch visual environments without touching any JavaScript. The themes range from dark (VINCULUM Dark, Neon Arcade, Midnight, Stealth, Obsidian) to light (Sunrise Classroom, Math Lab, Nature Workshop) and specialized accessibility themes (High Contrast).</w:t>
      </w:r>
    </w:p>
    <w:p>
      <w:pPr>
        <w:spacing w:line="360" w:lineRule="auto" w:after="120"/>
        <w:jc w:val="both"/>
      </w:pPr>
      <w:r>
        <w:rPr>
          <w:rFonts w:ascii="Arial" w:hAnsi="Arial"/>
          <w:color w:val="000000"/>
          <w:sz w:val="24"/>
        </w:rPr>
        <w:t>vinculum-core.js is the core bootstrap module. It loads the selected theme on page startup, manages URL parameters for tool launching, handles the Read-to-Me accessibility toggle, implements the feedback system, and manages teacher mode. This module ensures consistent behavior across all 45+ tools without requiring each tool to reimplement these features.</w:t>
      </w:r>
    </w:p>
    <w:p>
      <w:pPr>
        <w:spacing w:line="360" w:lineRule="auto" w:after="120"/>
        <w:jc w:val="both"/>
      </w:pPr>
      <w:r>
        <w:rPr>
          <w:rFonts w:ascii="Arial" w:hAnsi="Arial"/>
          <w:color w:val="000000"/>
          <w:sz w:val="24"/>
        </w:rPr>
        <w:t>vinculum-data.js is the data and analytics layer. It manages anonymous student identity (auto-generated UUIDs, no login), session logging, adaptive difficulty engine logic, misconception tracking and logging, spaced retrieval scheduling, and process capture (timestamped events that reveal student thinking). All data is stored locally in localStorage with graceful fallback to in-memory storage if localStorage is unavailable.</w:t>
      </w:r>
    </w:p>
    <w:p>
      <w:pPr>
        <w:spacing w:line="360" w:lineRule="auto" w:after="120"/>
        <w:jc w:val="both"/>
      </w:pPr>
      <w:r>
        <w:rPr>
          <w:rFonts w:ascii="Arial" w:hAnsi="Arial"/>
          <w:color w:val="000000"/>
          <w:sz w:val="24"/>
        </w:rPr>
        <w:t>vinculum-stories.js is the narrative engine. It contains 180 story templates for K tools, with diverse characters (Maya, Kai, Tomás, Amara, Yuki, Leo, Priya, Noah, Luna, Zara, Marcus, Ava, Jamal, Sofia, Wei) and relatable settings (garden, kitchen, playground, beach, farm, bakery, pet store, library, zoo, park). It also implements the Read-Aloud system using the Web Speech API, enabling text-to-speech narration with sentence-by-sentence highlighting.</w:t>
      </w:r>
    </w:p>
    <w:p>
      <w:pPr>
        <w:spacing w:line="360" w:lineRule="auto" w:after="120"/>
        <w:jc w:val="both"/>
      </w:pPr>
      <w:r>
        <w:rPr>
          <w:rFonts w:ascii="Arial" w:hAnsi="Arial"/>
          <w:color w:val="000000"/>
          <w:sz w:val="24"/>
        </w:rPr>
        <w:t>VINCULUM-Hub.html is the main launchpad page. It displays all 45+ tools organized by grade level, strand, and standard. The Hub uses its own CSS variable system for layout and styling, distinct from individual tool styling, allowing for a cohesive browsing experience while tools maintain thematic consistency.</w:t>
      </w:r>
    </w:p>
    <w:p>
      <w:pPr>
        <w:spacing w:line="360" w:lineRule="auto" w:after="120"/>
        <w:jc w:val="both"/>
      </w:pPr>
      <w:r>
        <w:rPr>
          <w:rFonts w:ascii="Arial" w:hAnsi="Arial"/>
          <w:color w:val="000000"/>
          <w:sz w:val="24"/>
        </w:rPr>
        <w:t>Individual tool files (tools/K/*.html, tools/1/*.html, tools/2/*.html, etc.) are self-contained. Each tool is a single HTML file that imports the shared resources and implements its own problem domain logic. The first 15 Kindergarten tools are complete. The architecture scales to support all K-8 content.</w:t>
      </w:r>
    </w:p>
    <w:p>
      <w:pPr>
        <w:pStyle w:val="Heading2"/>
        <w:spacing w:before="200" w:after="100"/>
      </w:pPr>
      <w:r>
        <w:rPr>
          <w:rFonts w:ascii="Arial" w:hAnsi="Arial"/>
          <w:b/>
          <w:color w:val="2D3142"/>
          <w:sz w:val="28"/>
        </w:rPr>
        <w:t>1.2 Standards Alignment</w:t>
      </w:r>
    </w:p>
    <w:p>
      <w:pPr>
        <w:spacing w:line="360" w:lineRule="auto" w:after="120"/>
        <w:jc w:val="both"/>
      </w:pPr>
      <w:r>
        <w:rPr>
          <w:rFonts w:ascii="Arial" w:hAnsi="Arial"/>
          <w:color w:val="000000"/>
          <w:sz w:val="24"/>
        </w:rPr>
        <w:t>The platform currently tags tools with Minnesota 2007 standard codes. However, a comprehensive three-framework alignment engine is planned to support Common Core (CCSS-M), Minnesota 2007 (active through 2026-27), and Minnesota 2022 (effective 2027-28 and restructured around three strands instead of four).</w:t>
      </w:r>
    </w:p>
    <w:p>
      <w:pPr>
        <w:spacing w:line="360" w:lineRule="auto" w:after="120"/>
        <w:jc w:val="both"/>
      </w:pPr>
      <w:r>
        <w:rPr>
          <w:rFonts w:ascii="Arial" w:hAnsi="Arial"/>
          <w:color w:val="000000"/>
          <w:sz w:val="24"/>
        </w:rPr>
        <w:t>Each tool card on the Hub displays relevant standard codes. Teachers can toggle between viewing Common Core, Minnesota 2007, and Minnesota 2022 alignments. The Standards for Mathematical Practice (MP1-MP8) are implicitly aligned to tool modes: MP1 (make sense of problems) maps to Explore mode, MP4 (model with mathematics) maps to Practice mode, and MP6 (attend to precision) maps to Play mode.</w:t>
      </w:r>
    </w:p>
    <w:p>
      <w:pPr>
        <w:spacing w:line="360" w:lineRule="auto" w:after="120"/>
        <w:jc w:val="both"/>
      </w:pPr>
      <w:r>
        <w:rPr>
          <w:rFonts w:ascii="Arial" w:hAnsi="Arial"/>
          <w:color w:val="000000"/>
          <w:sz w:val="24"/>
        </w:rPr>
        <w:t>A STANDARDS-REFERENCE.md document provides the complete cross-reference map showing how each tool aligns to all three frameworks. This allows educators in Minnesota to confidently transition between standards while using consistent tools, and enables national adoption outside Minnesota by clearly mapping to Common Core.</w:t>
      </w:r>
    </w:p>
    <w:p>
      <w:r>
        <w:br w:type="page"/>
      </w:r>
    </w:p>
    <w:p>
      <w:pPr>
        <w:pStyle w:val="Heading1"/>
        <w:spacing w:before="240" w:after="120"/>
      </w:pPr>
      <w:r>
        <w:rPr>
          <w:rFonts w:ascii="Arial" w:hAnsi="Arial"/>
          <w:b/>
          <w:color w:val="2D3142"/>
          <w:sz w:val="32"/>
        </w:rPr>
        <w:t>2. Feature Specifications</w:t>
      </w:r>
    </w:p>
    <w:p>
      <w:pPr>
        <w:pStyle w:val="Heading2"/>
        <w:spacing w:before="200" w:after="100"/>
      </w:pPr>
      <w:r>
        <w:rPr>
          <w:rFonts w:ascii="Arial" w:hAnsi="Arial"/>
          <w:b/>
          <w:color w:val="2D3142"/>
          <w:sz w:val="28"/>
        </w:rPr>
        <w:t>2.1 Misconception Architecture</w:t>
      </w:r>
    </w:p>
    <w:p>
      <w:pPr>
        <w:pStyle w:val="Heading3"/>
      </w:pPr>
      <w:r>
        <w:rPr>
          <w:rFonts w:ascii="Arial" w:hAnsi="Arial"/>
          <w:b/>
          <w:color w:val="2D3142"/>
          <w:sz w:val="24"/>
        </w:rPr>
        <w:t>What It Is</w:t>
      </w:r>
    </w:p>
    <w:p>
      <w:pPr>
        <w:spacing w:line="360" w:lineRule="auto" w:after="120"/>
        <w:jc w:val="both"/>
      </w:pPr>
      <w:r>
        <w:rPr>
          <w:rFonts w:ascii="Arial" w:hAnsi="Arial"/>
          <w:color w:val="000000"/>
          <w:sz w:val="24"/>
        </w:rPr>
        <w:t>Every tool contains a MISCONCEPTIONS object—a JavaScript dictionary mapping specific wrong-answer patterns to targeted diagnostic feedback messages. When a student answers incorrectly, the checking function runs through a decision tree of known misconception patterns before falling back to generic feedback. Each misconception has a unique identifier, description, and suggested feedback message that addresses the root cause of the error.</w:t>
      </w:r>
    </w:p>
    <w:p>
      <w:pPr>
        <w:pStyle w:val="Heading3"/>
      </w:pPr>
      <w:r>
        <w:rPr>
          <w:rFonts w:ascii="Arial" w:hAnsi="Arial"/>
          <w:b/>
          <w:color w:val="2D3142"/>
          <w:sz w:val="24"/>
        </w:rPr>
        <w:t>Why It Matters</w:t>
      </w:r>
    </w:p>
    <w:p>
      <w:pPr>
        <w:spacing w:line="360" w:lineRule="auto" w:after="120"/>
        <w:jc w:val="both"/>
      </w:pPr>
      <w:r>
        <w:rPr>
          <w:rFonts w:ascii="Arial" w:hAnsi="Arial"/>
          <w:color w:val="000000"/>
          <w:sz w:val="24"/>
        </w:rPr>
        <w:t>Research shows that targeted feedback addressing specific misconceptions is 2–3 times more effective than generic "try again" messages (Hattie &amp; Timperley, 2007, with effect size d=0.73 for feedback). NCTM's Principles to Actions emphasizes that productive struggle requires responsive feedback, not repetitive failure. The 3-Reads Protocol (developed by San Francisco Unified School District) and formative assessment research (Black &amp; Wiliam, 1998) both establish real-time diagnostic feedback as critical for independent learners. When students understand why they erred—not just that they erred—learning accelerates.</w:t>
      </w:r>
    </w:p>
    <w:p>
      <w:pPr>
        <w:pStyle w:val="Heading3"/>
      </w:pPr>
      <w:r>
        <w:rPr>
          <w:rFonts w:ascii="Arial" w:hAnsi="Arial"/>
          <w:b/>
          <w:color w:val="2D3142"/>
          <w:sz w:val="24"/>
        </w:rPr>
        <w:t>How It Works in the App</w:t>
      </w:r>
    </w:p>
    <w:p>
      <w:pPr>
        <w:spacing w:line="360" w:lineRule="auto" w:after="120"/>
        <w:jc w:val="both"/>
      </w:pPr>
      <w:r>
        <w:rPr>
          <w:rFonts w:ascii="Arial" w:hAnsi="Arial"/>
          <w:color w:val="000000"/>
          <w:sz w:val="24"/>
        </w:rPr>
        <w:t>Each tool's main script block contains a const MISCONCEPTIONS object. For example, in a number-bonds tool:</w:t>
      </w:r>
    </w:p>
    <w:p>
      <w:pPr>
        <w:ind w:left="720"/>
      </w:pPr>
      <w:r>
        <w:rPr>
          <w:rFonts w:ascii="Courier New" w:hAnsi="Courier New"/>
          <w:color w:val="646464"/>
          <w:sz w:val="20"/>
        </w:rPr>
        <w:t>MISCONCEPTIONS = { partWholeConfusion: { id: 'partWholeConfusion', desc: 'Clicked the whole instead of the missing part' }, offByOne: { id: 'offByOne', desc: 'Answer is off by exactly one' }, reversedParts: { id: 'reversedParts', desc: 'Gave the known part instead of the missing part' }, randomGuess: { id: 'randomGuess', desc: 'Answer shows no clear pattern' } }</w:t>
      </w:r>
    </w:p>
    <w:p>
      <w:pPr>
        <w:spacing w:line="360" w:lineRule="auto" w:after="120"/>
        <w:jc w:val="both"/>
      </w:pPr>
      <w:r>
        <w:rPr>
          <w:rFonts w:ascii="Arial" w:hAnsi="Arial"/>
          <w:color w:val="000000"/>
          <w:sz w:val="24"/>
        </w:rPr>
        <w:t>The check function (e.g., checkPractice(), selectAnswer(), checkAnswer()) tests the student's answer against each pattern sequentially. If answer === whole, the function displays the partWholeConfusion message. If Math.abs(answer - correct) === 1, it displays the offByOne message. Each misconception event is logged via VinculumData.logMisconception(toolName, misconceptionId, studentAnswer, correctAnswer) for teacher review. All 15 Kindergarten tools are fully implemented with misconception architectures. The pattern scales to all grade levels.</w:t>
      </w:r>
    </w:p>
    <w:p>
      <w:r>
        <w:br w:type="page"/>
      </w:r>
    </w:p>
    <w:p>
      <w:pPr>
        <w:pStyle w:val="Heading2"/>
        <w:spacing w:before="200" w:after="100"/>
      </w:pPr>
      <w:r>
        <w:rPr>
          <w:rFonts w:ascii="Arial" w:hAnsi="Arial"/>
          <w:b/>
          <w:color w:val="2D3142"/>
          <w:sz w:val="28"/>
        </w:rPr>
        <w:t>2.2 Narrative Context System (Story Engine)</w:t>
      </w:r>
    </w:p>
    <w:p>
      <w:pPr>
        <w:pStyle w:val="Heading3"/>
      </w:pPr>
      <w:r>
        <w:rPr>
          <w:rFonts w:ascii="Arial" w:hAnsi="Arial"/>
          <w:b/>
          <w:color w:val="2D3142"/>
          <w:sz w:val="24"/>
        </w:rPr>
        <w:t>What It Is</w:t>
      </w:r>
    </w:p>
    <w:p>
      <w:pPr>
        <w:spacing w:line="360" w:lineRule="auto" w:after="120"/>
        <w:jc w:val="both"/>
      </w:pPr>
      <w:r>
        <w:rPr>
          <w:rFonts w:ascii="Arial" w:hAnsi="Arial"/>
          <w:color w:val="000000"/>
          <w:sz w:val="24"/>
        </w:rPr>
        <w:t>A story template engine (vinculum-stories.js, approximately 60KB) that wraps every math problem in a grammatically correct, character-driven narrative. Each tool has 12 unique story templates featuring diverse characters and relatable settings. The engine interpolates student-provided parameters into templates, generating fresh stories on each problem without requiring manual authoring for every instance.</w:t>
      </w:r>
    </w:p>
    <w:p>
      <w:pPr>
        <w:pStyle w:val="Heading3"/>
      </w:pPr>
      <w:r>
        <w:rPr>
          <w:rFonts w:ascii="Arial" w:hAnsi="Arial"/>
          <w:b/>
          <w:color w:val="2D3142"/>
          <w:sz w:val="24"/>
        </w:rPr>
        <w:t>Why It Matters</w:t>
      </w:r>
    </w:p>
    <w:p>
      <w:pPr>
        <w:spacing w:line="360" w:lineRule="auto" w:after="120"/>
        <w:jc w:val="both"/>
      </w:pPr>
      <w:r>
        <w:rPr>
          <w:rFonts w:ascii="Arial" w:hAnsi="Arial"/>
          <w:color w:val="000000"/>
          <w:sz w:val="24"/>
        </w:rPr>
        <w:t>Meta-analysis shows storytelling increases correct solutions by 58% in second graders (Bratitsis &amp; Mantellou, 2020). Digital stories enhance mathematical reasoning, self-efficacy, and reduce math anxiety (Springer, 2024). Dual-coding theory (Paivio, 1986) explains this effect: verbal narrative plus visual imagery creates stronger memory encoding than either modality alone. Real-world stories are more effective than fictional or abstract contexts (MDPI Education Sciences). NCTM states that representations are essential elements supporting student understanding. Minnesota 2022 standards explicitly require educators to "use context to do and learn mathematics" and to "connect problem-solving to students' lived experiences and cultural perspectives." Stories make mathematics human.</w:t>
      </w:r>
    </w:p>
    <w:p>
      <w:pPr>
        <w:pStyle w:val="Heading3"/>
      </w:pPr>
      <w:r>
        <w:rPr>
          <w:rFonts w:ascii="Arial" w:hAnsi="Arial"/>
          <w:b/>
          <w:color w:val="2D3142"/>
          <w:sz w:val="24"/>
        </w:rPr>
        <w:t>How It Works in the App</w:t>
      </w:r>
    </w:p>
    <w:p>
      <w:pPr>
        <w:spacing w:line="360" w:lineRule="auto" w:after="120"/>
        <w:jc w:val="both"/>
      </w:pPr>
      <w:r>
        <w:rPr>
          <w:rFonts w:ascii="Arial" w:hAnsi="Arial"/>
          <w:color w:val="000000"/>
          <w:sz w:val="24"/>
        </w:rPr>
        <w:t>The STORIES object is keyed by tool filename. Each entry is an array of 12 template objects. A template includes character name, setting, action verb, objects being manipulated, a narrative template string with placeholders, and a follow-up question. Example template:</w:t>
      </w:r>
    </w:p>
    <w:p>
      <w:pPr>
        <w:ind w:left="720"/>
      </w:pPr>
      <w:r>
        <w:rPr>
          <w:rFonts w:ascii="Courier New" w:hAnsi="Courier New"/>
          <w:color w:val="646464"/>
          <w:sz w:val="20"/>
        </w:rPr>
        <w:t>{ character: "Maya", setting: "garden", action: "planted", objects: "flowers", template: "{char} {action} {a} {obj} in her {setting}. Then {b} more {obj} bloomed!", followUp: "How many {obj} does {char} have now?" }</w:t>
      </w:r>
    </w:p>
    <w:p>
      <w:pPr>
        <w:spacing w:line="360" w:lineRule="auto" w:after="120"/>
        <w:jc w:val="both"/>
      </w:pPr>
      <w:r>
        <w:rPr>
          <w:rFonts w:ascii="Arial" w:hAnsi="Arial"/>
          <w:color w:val="000000"/>
          <w:sz w:val="24"/>
        </w:rPr>
        <w:t>The public API includes VinculumStories.getStory(toolName, params), which interpolates placeholders and returns an object { story, question }. VinculumStories.getRandomStory(toolName) selects a random template from the tool's 12 options. VinculumStories.createStoryBanner(toolName, params) returns injectable HTML with a speaker icon and "New Story" button. Stories rotate randomly so students see variety and don't memorize specific narratives. All 15 K tools have 12 templates each (180 total). Grade 1 and Grade 2 will follow with proportional coverage.</w:t>
      </w:r>
    </w:p>
    <w:p>
      <w:r>
        <w:br w:type="page"/>
      </w:r>
    </w:p>
    <w:p>
      <w:pPr>
        <w:pStyle w:val="Heading2"/>
        <w:spacing w:before="200" w:after="100"/>
      </w:pPr>
      <w:r>
        <w:rPr>
          <w:rFonts w:ascii="Arial" w:hAnsi="Arial"/>
          <w:b/>
          <w:color w:val="2D3142"/>
          <w:sz w:val="28"/>
        </w:rPr>
        <w:t>2.3 Universal Read-Aloud System</w:t>
      </w:r>
    </w:p>
    <w:p>
      <w:pPr>
        <w:pStyle w:val="Heading3"/>
      </w:pPr>
      <w:r>
        <w:rPr>
          <w:rFonts w:ascii="Arial" w:hAnsi="Arial"/>
          <w:b/>
          <w:color w:val="2D3142"/>
          <w:sz w:val="24"/>
        </w:rPr>
        <w:t>What It Is</w:t>
      </w:r>
    </w:p>
    <w:p>
      <w:pPr>
        <w:spacing w:line="360" w:lineRule="auto" w:after="120"/>
        <w:jc w:val="both"/>
      </w:pPr>
      <w:r>
        <w:rPr>
          <w:rFonts w:ascii="Arial" w:hAnsi="Arial"/>
          <w:color w:val="000000"/>
          <w:sz w:val="24"/>
        </w:rPr>
        <w:t>A text-to-speech layer built on the Web Speech API (SpeechSynthesis) that reads story narration and problem text aloud, sentence by sentence, with adjustable speed and optional highlight callbacks for synchronized visual highlighting.</w:t>
      </w:r>
    </w:p>
    <w:p>
      <w:pPr>
        <w:pStyle w:val="Heading3"/>
      </w:pPr>
      <w:r>
        <w:rPr>
          <w:rFonts w:ascii="Arial" w:hAnsi="Arial"/>
          <w:b/>
          <w:color w:val="2D3142"/>
          <w:sz w:val="24"/>
        </w:rPr>
        <w:t>Why It Matters</w:t>
      </w:r>
    </w:p>
    <w:p>
      <w:pPr>
        <w:spacing w:line="360" w:lineRule="auto" w:after="120"/>
        <w:jc w:val="both"/>
      </w:pPr>
      <w:r>
        <w:rPr>
          <w:rFonts w:ascii="Arial" w:hAnsi="Arial"/>
          <w:color w:val="000000"/>
          <w:sz w:val="24"/>
        </w:rPr>
        <w:t>CAST Universal Design for Learning (UDL) Guidelines require multiple means of representation—text plus audio plus visual components. Many Kindergarten and Grade 1 students cannot read independently; audio narration is essential for at-home use without a teacher present. The Web Speech API is free, works offline after initial page load, requires zero external services, and is supported in all modern browsers (Chrome, Firefox, Safari, Edge). Research on multimedia learning (Mayer, 2009) shows that synchronized audio plus visual presentation improves comprehension over text alone, particularly for younger learners with emerging decoding skills.</w:t>
      </w:r>
    </w:p>
    <w:p>
      <w:pPr>
        <w:pStyle w:val="Heading3"/>
      </w:pPr>
      <w:r>
        <w:rPr>
          <w:rFonts w:ascii="Arial" w:hAnsi="Arial"/>
          <w:b/>
          <w:color w:val="2D3142"/>
          <w:sz w:val="24"/>
        </w:rPr>
        <w:t>How It Works in the App</w:t>
      </w:r>
    </w:p>
    <w:p>
      <w:pPr>
        <w:spacing w:line="360" w:lineRule="auto" w:after="120"/>
        <w:jc w:val="both"/>
      </w:pPr>
      <w:r>
        <w:rPr>
          <w:rFonts w:ascii="Arial" w:hAnsi="Arial"/>
          <w:color w:val="000000"/>
          <w:sz w:val="24"/>
        </w:rPr>
        <w:t>The Read-Aloud system is built into vinculum-stories.js. The function readAloud(text, options) splits text on sentence boundaries (periods, exclamation marks, question marks) and reads each sentence via SpeechSynthesisUtterance with configurable speech rate (default 0.85x for younger readers to allow processing time). Options include onSentenceStart(index) callback for UI highlighting, onComplete callback when speech finishes, and rate override. The speaker icon (speaker symbol) on the story banner triggers readAloud(). A setAutoRead(true) method reads the story on page load if the Read-to-Me toggle is enabled. Graceful fallback: if window.speechSynthesis is undefined, read-aloud buttons are hidden and text remains readable. The system hooks into the existing Read-to-Me toggle in vinculum-core.js, allowing students to enable audio narration once and have it active across all tools.</w:t>
      </w:r>
    </w:p>
    <w:p>
      <w:r>
        <w:br w:type="page"/>
      </w:r>
    </w:p>
    <w:p>
      <w:pPr>
        <w:pStyle w:val="Heading2"/>
        <w:spacing w:before="200" w:after="100"/>
      </w:pPr>
      <w:r>
        <w:rPr>
          <w:rFonts w:ascii="Arial" w:hAnsi="Arial"/>
          <w:b/>
          <w:color w:val="2D3142"/>
          <w:sz w:val="28"/>
        </w:rPr>
        <w:t>2.4 Progressive Scaffolding (3-Reads Protocol)</w:t>
      </w:r>
    </w:p>
    <w:p>
      <w:pPr>
        <w:pStyle w:val="Heading3"/>
      </w:pPr>
      <w:r>
        <w:rPr>
          <w:rFonts w:ascii="Arial" w:hAnsi="Arial"/>
          <w:b/>
          <w:color w:val="2D3142"/>
          <w:sz w:val="24"/>
        </w:rPr>
        <w:t>What It Is</w:t>
      </w:r>
    </w:p>
    <w:p>
      <w:pPr>
        <w:spacing w:line="360" w:lineRule="auto" w:after="120"/>
        <w:jc w:val="both"/>
      </w:pPr>
      <w:r>
        <w:rPr>
          <w:rFonts w:ascii="Arial" w:hAnsi="Arial"/>
          <w:color w:val="000000"/>
          <w:sz w:val="24"/>
        </w:rPr>
        <w:t>A three-step reveal system in Explore mode that introduces problems progressively—first the story context without numbers, then the mathematical elements with numbers visible, then the question and interactive tools. Each step advances on student click or after a configurable delay, guiding students through the problem-solving process rather than presenting all information at once.</w:t>
      </w:r>
    </w:p>
    <w:p>
      <w:pPr>
        <w:pStyle w:val="Heading3"/>
      </w:pPr>
      <w:r>
        <w:rPr>
          <w:rFonts w:ascii="Arial" w:hAnsi="Arial"/>
          <w:b/>
          <w:color w:val="2D3142"/>
          <w:sz w:val="24"/>
        </w:rPr>
        <w:t>Why It Matters</w:t>
      </w:r>
    </w:p>
    <w:p>
      <w:pPr>
        <w:spacing w:line="360" w:lineRule="auto" w:after="120"/>
        <w:jc w:val="both"/>
      </w:pPr>
      <w:r>
        <w:rPr>
          <w:rFonts w:ascii="Arial" w:hAnsi="Arial"/>
          <w:color w:val="000000"/>
          <w:sz w:val="24"/>
        </w:rPr>
        <w:t>The 3-Reads Protocol (developed by San Francisco Unified School District, now widely adopted) is research-validated. Read 1 addresses context (no numbers). Read 2 introduces mathematical elements. Read 3 presents the question. This protocol relieves the pressure of rushing to find solutions and builds comprehension habits that transfer to independent work (Math Coach's Corner). The protocol aligns with CAST UDL's Engagement principle—recruiting interest and supporting comprehension before demanding performance. Minnesota 2022 standards emphasize progressive complexity and multiple representations.</w:t>
      </w:r>
    </w:p>
    <w:p>
      <w:pPr>
        <w:pStyle w:val="Heading3"/>
      </w:pPr>
      <w:r>
        <w:rPr>
          <w:rFonts w:ascii="Arial" w:hAnsi="Arial"/>
          <w:b/>
          <w:color w:val="2D3142"/>
          <w:sz w:val="24"/>
        </w:rPr>
        <w:t>How It Works in the App</w:t>
      </w:r>
    </w:p>
    <w:p>
      <w:pPr>
        <w:spacing w:line="360" w:lineRule="auto" w:after="120"/>
        <w:jc w:val="both"/>
      </w:pPr>
      <w:r>
        <w:rPr>
          <w:rFonts w:ascii="Arial" w:hAnsi="Arial"/>
          <w:color w:val="000000"/>
          <w:sz w:val="24"/>
        </w:rPr>
        <w:t>In Explore mode, the story banner reveals in three distinct stages. Stage 1: Story text appears and is read aloud if audio is enabled; numbers are hidden or replaced with blanks (e.g., "+ ___" instead of "+ 3"). A pulsing "Next" button with blue glow guides the student. Stage 2: Numbers fade in, objects highlight with animation, and the mathematical structure becomes visible. Stage 3: The question appears, manipulatives or counters activate, and the student can interact freely. Each stage is student-controlled (click Next to advance) or optionally auto-paced with a configurable timer. CSS class .vinculum-pulse provides the guiding glow animation. Implementation target: vinculum-stories.js handles stage logic; each tool's Explore mode calls VinculumStories.startThreeReads(toolName, params, stageCallback) to trigger the progressive reveal.</w:t>
      </w:r>
    </w:p>
    <w:p>
      <w:r>
        <w:br w:type="page"/>
      </w:r>
    </w:p>
    <w:p>
      <w:pPr>
        <w:pStyle w:val="Heading2"/>
        <w:spacing w:before="200" w:after="100"/>
      </w:pPr>
      <w:r>
        <w:rPr>
          <w:rFonts w:ascii="Arial" w:hAnsi="Arial"/>
          <w:b/>
          <w:color w:val="2D3142"/>
          <w:sz w:val="28"/>
        </w:rPr>
        <w:t>2.5 Adaptive Difficulty Engine</w:t>
      </w:r>
    </w:p>
    <w:p>
      <w:pPr>
        <w:pStyle w:val="Heading3"/>
      </w:pPr>
      <w:r>
        <w:rPr>
          <w:rFonts w:ascii="Arial" w:hAnsi="Arial"/>
          <w:b/>
          <w:color w:val="2D3142"/>
          <w:sz w:val="24"/>
        </w:rPr>
        <w:t>What It Is</w:t>
      </w:r>
    </w:p>
    <w:p>
      <w:pPr>
        <w:spacing w:line="360" w:lineRule="auto" w:after="120"/>
        <w:jc w:val="both"/>
      </w:pPr>
      <w:r>
        <w:rPr>
          <w:rFonts w:ascii="Arial" w:hAnsi="Arial"/>
          <w:color w:val="000000"/>
          <w:sz w:val="24"/>
        </w:rPr>
        <w:t>A rolling-window algorithm in vinculum-data.js that tracks the last 8 student responses and recommends difficulty adjustments. The engine categorizes student ability into three tiers: Emergent (foundational understanding), Proficient (grade-level standard), and Advanced (enrichment). Based on accuracy trends, it recommends increasing difficulty, decreasing difficulty, or maintaining current difficulty with additional scaffolding.</w:t>
      </w:r>
    </w:p>
    <w:p>
      <w:pPr>
        <w:pStyle w:val="Heading3"/>
      </w:pPr>
      <w:r>
        <w:rPr>
          <w:rFonts w:ascii="Arial" w:hAnsi="Arial"/>
          <w:b/>
          <w:color w:val="2D3142"/>
          <w:sz w:val="24"/>
        </w:rPr>
        <w:t>Why It Matters</w:t>
      </w:r>
    </w:p>
    <w:p>
      <w:pPr>
        <w:spacing w:line="360" w:lineRule="auto" w:after="120"/>
        <w:jc w:val="both"/>
      </w:pPr>
      <w:r>
        <w:rPr>
          <w:rFonts w:ascii="Arial" w:hAnsi="Arial"/>
          <w:color w:val="000000"/>
          <w:sz w:val="24"/>
        </w:rPr>
        <w:t>Productive struggle calibration is essential for engagement and learning—too easy breeds disengagement, too hard breeds frustration (Vygotsky's Zone of Proximal Development). Research on adaptive learning systems shows 20–30% improvement in learning outcomes when difficulty matches student ability (Kulik &amp; Fletcher, 2016). NCTM's Principles to Actions calls for "productive struggle in learning mathematics." The engine maintains approximately 75–85% success rate, the sweet spot for learning according to decades of cognitive psychology research.</w:t>
      </w:r>
    </w:p>
    <w:p>
      <w:pPr>
        <w:pStyle w:val="Heading3"/>
      </w:pPr>
      <w:r>
        <w:rPr>
          <w:rFonts w:ascii="Arial" w:hAnsi="Arial"/>
          <w:b/>
          <w:color w:val="2D3142"/>
          <w:sz w:val="24"/>
        </w:rPr>
        <w:t>How It Works in the App</w:t>
      </w:r>
    </w:p>
    <w:p>
      <w:pPr>
        <w:spacing w:line="360" w:lineRule="auto" w:after="120"/>
        <w:jc w:val="both"/>
      </w:pPr>
      <w:r>
        <w:rPr>
          <w:rFonts w:ascii="Arial" w:hAnsi="Arial"/>
          <w:color w:val="000000"/>
          <w:sz w:val="24"/>
        </w:rPr>
        <w:t>VinculumData.createAdaptiveEngine(toolName) returns an engine instance specific to that tool. The engine maintains a rolling window of the last 8 correct/incorrect results. If accuracy exceeds 85% over the window, the engine recommends "up" (increase difficulty). If accuracy falls below 40%, it recommends "down" (decrease difficulty). Between 40–85%, it recommends "scaffold" (maintain difficulty but provide additional support like manipulatives or hints). Thresholds are configurable via VinculumData configuration. Difficulty tiers map to problem parameters: Emergent (numbers 1–5, single operation), Proficient (numbers 1–10, mixed operations), Advanced (numbers 1–20, multi-step problems). Each tool reads the engine's recommendation and adjusts its problem generator accordingly via a getDifficultyLevel() function.</w:t>
      </w:r>
    </w:p>
    <w:p>
      <w:r>
        <w:br w:type="page"/>
      </w:r>
    </w:p>
    <w:p>
      <w:pPr>
        <w:pStyle w:val="Heading2"/>
        <w:spacing w:before="200" w:after="100"/>
      </w:pPr>
      <w:r>
        <w:rPr>
          <w:rFonts w:ascii="Arial" w:hAnsi="Arial"/>
          <w:b/>
          <w:color w:val="2D3142"/>
          <w:sz w:val="28"/>
        </w:rPr>
        <w:t>2.6 Spaced Interleaved Retrieval System</w:t>
      </w:r>
    </w:p>
    <w:p>
      <w:pPr>
        <w:pStyle w:val="Heading3"/>
      </w:pPr>
      <w:r>
        <w:rPr>
          <w:rFonts w:ascii="Arial" w:hAnsi="Arial"/>
          <w:b/>
          <w:color w:val="2D3142"/>
          <w:sz w:val="24"/>
        </w:rPr>
        <w:t>What It Is</w:t>
      </w:r>
    </w:p>
    <w:p>
      <w:pPr>
        <w:spacing w:line="360" w:lineRule="auto" w:after="120"/>
        <w:jc w:val="both"/>
      </w:pPr>
      <w:r>
        <w:rPr>
          <w:rFonts w:ascii="Arial" w:hAnsi="Arial"/>
          <w:color w:val="000000"/>
          <w:sz w:val="24"/>
        </w:rPr>
        <w:t>A scheduling algorithm in vinculum-data.js that tracks which concepts a student has practiced and when, then recommends which tools to revisit based on spacing intervals. The system prioritizes tools the student has not reviewed recently, using a scientifically-grounded spacing schedule.</w:t>
      </w:r>
    </w:p>
    <w:p>
      <w:pPr>
        <w:pStyle w:val="Heading3"/>
      </w:pPr>
      <w:r>
        <w:rPr>
          <w:rFonts w:ascii="Arial" w:hAnsi="Arial"/>
          <w:b/>
          <w:color w:val="2D3142"/>
          <w:sz w:val="24"/>
        </w:rPr>
        <w:t>Why It Matters</w:t>
      </w:r>
    </w:p>
    <w:p>
      <w:pPr>
        <w:spacing w:line="360" w:lineRule="auto" w:after="120"/>
        <w:jc w:val="both"/>
      </w:pPr>
      <w:r>
        <w:rPr>
          <w:rFonts w:ascii="Arial" w:hAnsi="Arial"/>
          <w:color w:val="000000"/>
          <w:sz w:val="24"/>
        </w:rPr>
        <w:t>Spaced retrieval practice is one of the most robust findings in cognitive science—retention improves dramatically when practice is distributed over increasing intervals (Ebbinghaus, 1885; Cepeda et al., 2006). Interleaving different problem types strengthens discrimination and transfer (Rohrer &amp; Taylor, 2007). The combination of spacing plus interleaving outperforms blocked practice by 43% on delayed retention tests. Students benefit more from revisiting prior concepts at optimal intervals than from intensive massed practice.</w:t>
      </w:r>
    </w:p>
    <w:p>
      <w:pPr>
        <w:pStyle w:val="Heading3"/>
      </w:pPr>
      <w:r>
        <w:rPr>
          <w:rFonts w:ascii="Arial" w:hAnsi="Arial"/>
          <w:b/>
          <w:color w:val="2D3142"/>
          <w:sz w:val="24"/>
        </w:rPr>
        <w:t>How It Works in the App</w:t>
      </w:r>
    </w:p>
    <w:p>
      <w:pPr>
        <w:spacing w:line="360" w:lineRule="auto" w:after="120"/>
        <w:jc w:val="both"/>
      </w:pPr>
      <w:r>
        <w:rPr>
          <w:rFonts w:ascii="Arial" w:hAnsi="Arial"/>
          <w:color w:val="000000"/>
          <w:sz w:val="24"/>
        </w:rPr>
        <w:t>vinculum-data.js maintains a review queue per student (anonymous, localStorage-based). After each session, the tool name and completion date are logged. The SPACING array [1, 3, 7, 14, 30] defines review intervals in days. If a student scored above 80% on a tool, the next review is scheduled 1 day out, then 3 days, 7 days, 14 days, and finally 30 days. If the student scores below 60%, the interval resets to 1 day. VinculumData.getDueReviews() returns an array of tools currently due for review. VinculumData.getReviewQueue() returns a prioritized list ordered by urgency. The Hub could display a "Review These" section showing due tools for the current date (future integration).</w:t>
      </w:r>
    </w:p>
    <w:p>
      <w:r>
        <w:br w:type="page"/>
      </w:r>
    </w:p>
    <w:p>
      <w:pPr>
        <w:pStyle w:val="Heading2"/>
        <w:spacing w:before="200" w:after="100"/>
      </w:pPr>
      <w:r>
        <w:rPr>
          <w:rFonts w:ascii="Arial" w:hAnsi="Arial"/>
          <w:b/>
          <w:color w:val="2D3142"/>
          <w:sz w:val="28"/>
        </w:rPr>
        <w:t>2.7 Student Thinking Capture (Process Logger)</w:t>
      </w:r>
    </w:p>
    <w:p>
      <w:pPr>
        <w:pStyle w:val="Heading3"/>
      </w:pPr>
      <w:r>
        <w:rPr>
          <w:rFonts w:ascii="Arial" w:hAnsi="Arial"/>
          <w:b/>
          <w:color w:val="2D3142"/>
          <w:sz w:val="24"/>
        </w:rPr>
        <w:t>What It Is</w:t>
      </w:r>
    </w:p>
    <w:p>
      <w:pPr>
        <w:spacing w:line="360" w:lineRule="auto" w:after="120"/>
        <w:jc w:val="both"/>
      </w:pPr>
      <w:r>
        <w:rPr>
          <w:rFonts w:ascii="Arial" w:hAnsi="Arial"/>
          <w:color w:val="000000"/>
          <w:sz w:val="24"/>
        </w:rPr>
        <w:t>A timestamped event logger in vinculum-data.js that records the student's problem-solving process—including hesitations (pauses longer than 5 seconds), answer revisions, time spent per problem, and which hints or scaffolds were used. This creates a process history distinct from just outcome data.</w:t>
      </w:r>
    </w:p>
    <w:p>
      <w:pPr>
        <w:pStyle w:val="Heading3"/>
      </w:pPr>
      <w:r>
        <w:rPr>
          <w:rFonts w:ascii="Arial" w:hAnsi="Arial"/>
          <w:b/>
          <w:color w:val="2D3142"/>
          <w:sz w:val="24"/>
        </w:rPr>
        <w:t>Why It Matters</w:t>
      </w:r>
    </w:p>
    <w:p>
      <w:pPr>
        <w:spacing w:line="360" w:lineRule="auto" w:after="120"/>
        <w:jc w:val="both"/>
      </w:pPr>
      <w:r>
        <w:rPr>
          <w:rFonts w:ascii="Arial" w:hAnsi="Arial"/>
          <w:color w:val="000000"/>
          <w:sz w:val="24"/>
        </w:rPr>
        <w:t>Research on formative assessment (Black &amp; Wiliam, 1998, effect size d=0.70) shows that understanding how students think is more valuable than just seeing right/wrong answers. Hesitation patterns reveal uncertainty or processing difficulty. Revision patterns reveal self-monitoring and metacognition. NCTM's assessment principle calls for evidence of student thinking, not just products. Minnesota 2022 standards explicitly emphasize "mathematical reasoning and communication."</w:t>
      </w:r>
    </w:p>
    <w:p>
      <w:pPr>
        <w:pStyle w:val="Heading3"/>
      </w:pPr>
      <w:r>
        <w:rPr>
          <w:rFonts w:ascii="Arial" w:hAnsi="Arial"/>
          <w:b/>
          <w:color w:val="2D3142"/>
          <w:sz w:val="24"/>
        </w:rPr>
        <w:t>How It Works in the App</w:t>
      </w:r>
    </w:p>
    <w:p>
      <w:pPr>
        <w:spacing w:line="360" w:lineRule="auto" w:after="120"/>
        <w:jc w:val="both"/>
      </w:pPr>
      <w:r>
        <w:rPr>
          <w:rFonts w:ascii="Arial" w:hAnsi="Arial"/>
          <w:color w:val="000000"/>
          <w:sz w:val="24"/>
        </w:rPr>
        <w:t>VinculumData.createProcessLogger(toolName) returns a logger instance for that tool. The logger records timestamped events in the form { type, timestamp, data }. Event types include: "start" (problem presented), "attempt" (student submits an answer), "correct" (correct answer confirmed), "incorrect" (wrong answer), "hint_used" (student requested help), "revision" (student changed their answer). Hesitations are automatically detected by analyzing gaps greater than 5 seconds between events. Export is available via VinculumData.exportAll() (JSON format for programmatic analysis) or VinculumData.exportCSV() for spreadsheet-based analysis. All data is anonymous—no student names, only auto-generated session IDs.</w:t>
      </w:r>
    </w:p>
    <w:p>
      <w:r>
        <w:br w:type="page"/>
      </w:r>
    </w:p>
    <w:p>
      <w:pPr>
        <w:pStyle w:val="Heading2"/>
        <w:spacing w:before="200" w:after="100"/>
      </w:pPr>
      <w:r>
        <w:rPr>
          <w:rFonts w:ascii="Arial" w:hAnsi="Arial"/>
          <w:b/>
          <w:color w:val="2D3142"/>
          <w:sz w:val="28"/>
        </w:rPr>
        <w:t>2.8 Fourteen-Theme System</w:t>
      </w:r>
    </w:p>
    <w:p>
      <w:pPr>
        <w:pStyle w:val="Heading3"/>
      </w:pPr>
      <w:r>
        <w:rPr>
          <w:rFonts w:ascii="Arial" w:hAnsi="Arial"/>
          <w:b/>
          <w:color w:val="2D3142"/>
          <w:sz w:val="24"/>
        </w:rPr>
        <w:t>What It Is</w:t>
      </w:r>
    </w:p>
    <w:p>
      <w:pPr>
        <w:spacing w:line="360" w:lineRule="auto" w:after="120"/>
        <w:jc w:val="both"/>
      </w:pPr>
      <w:r>
        <w:rPr>
          <w:rFonts w:ascii="Arial" w:hAnsi="Arial"/>
          <w:color w:val="000000"/>
          <w:sz w:val="24"/>
        </w:rPr>
        <w:t>A CSS variable architecture supporting 14 distinct visual themes, all defined in vinculum-core.css. Themes include dark options (VINCULUM Dark, Neon Arcade, Neon Forge, Midnight, Stealth, Obsidian, Cyber, Solar Flare, Frost), light options (Sunrise Classroom, Math Lab, Nature Workshop, Ocean Explorer), and accessibility-focused options (High Contrast).</w:t>
      </w:r>
    </w:p>
    <w:p>
      <w:pPr>
        <w:pStyle w:val="Heading3"/>
      </w:pPr>
      <w:r>
        <w:rPr>
          <w:rFonts w:ascii="Arial" w:hAnsi="Arial"/>
          <w:b/>
          <w:color w:val="2D3142"/>
          <w:sz w:val="24"/>
        </w:rPr>
        <w:t>Why It Matters</w:t>
      </w:r>
    </w:p>
    <w:p>
      <w:pPr>
        <w:spacing w:line="360" w:lineRule="auto" w:after="120"/>
        <w:jc w:val="both"/>
      </w:pPr>
      <w:r>
        <w:rPr>
          <w:rFonts w:ascii="Arial" w:hAnsi="Arial"/>
          <w:color w:val="000000"/>
          <w:sz w:val="24"/>
        </w:rPr>
        <w:t>CAST UDL Guidelines require multiple means of engagement—student choice over learning environment increases motivation and reduces disengagement. Light themes are essential for classroom projector use (dark text on light backgrounds are more visible in lit environments). High Contrast meets WCAG 2.1 Level AA accessibility standards for students with vision differences. Theme variety accommodates visual preferences, reduces eye strain during extended use, and allows teachers to select themes appropriate for their classroom environment.</w:t>
      </w:r>
    </w:p>
    <w:p>
      <w:pPr>
        <w:pStyle w:val="Heading3"/>
      </w:pPr>
      <w:r>
        <w:rPr>
          <w:rFonts w:ascii="Arial" w:hAnsi="Arial"/>
          <w:b/>
          <w:color w:val="2D3142"/>
          <w:sz w:val="24"/>
        </w:rPr>
        <w:t>How It Works in the App</w:t>
      </w:r>
    </w:p>
    <w:p>
      <w:pPr>
        <w:spacing w:line="360" w:lineRule="auto" w:after="120"/>
        <w:jc w:val="both"/>
      </w:pPr>
      <w:r>
        <w:rPr>
          <w:rFonts w:ascii="Arial" w:hAnsi="Arial"/>
          <w:color w:val="000000"/>
          <w:sz w:val="24"/>
        </w:rPr>
        <w:t>vinculum-core.css defines each theme as a [data-theme="name"] CSS selector with 25+ CSS custom properties (variables). These variables include --bg (primary background), --card (card background), --text (text color), --cyan, --pink, --yellow, --green, --purple, --orange (manipulative colors), --grad (gradient color), --glow (focus glow), --shadow (drop shadow), and others. All 45+ tools use these variables exclusively—zero hardcoded hex colors in tool CSS. Theme selection is stored in localStorage under the key "vinculum-theme". vinculum-core.js loads the theme on page startup by setting the data-theme attribute on the HTML element. The Hub page (VINCULUM-Hub.html) has its own theme variable mapping (--bg-primary, --bg-sidebar, --text-primary, etc.) because the Hub uses a different layout system than individual tools. Students and teachers can toggle themes via a theme picker dropdown, and their selection persists across sessions.</w:t>
      </w:r>
    </w:p>
    <w:p>
      <w:r>
        <w:br w:type="page"/>
      </w:r>
    </w:p>
    <w:p>
      <w:pPr>
        <w:pStyle w:val="Heading2"/>
        <w:spacing w:before="200" w:after="100"/>
      </w:pPr>
      <w:r>
        <w:rPr>
          <w:rFonts w:ascii="Arial" w:hAnsi="Arial"/>
          <w:b/>
          <w:color w:val="2D3142"/>
          <w:sz w:val="28"/>
        </w:rPr>
        <w:t>2.9 CRA Mode Architecture (Explore → Practice → Play)</w:t>
      </w:r>
    </w:p>
    <w:p>
      <w:pPr>
        <w:pStyle w:val="Heading3"/>
      </w:pPr>
      <w:r>
        <w:rPr>
          <w:rFonts w:ascii="Arial" w:hAnsi="Arial"/>
          <w:b/>
          <w:color w:val="2D3142"/>
          <w:sz w:val="24"/>
        </w:rPr>
        <w:t>What It Is</w:t>
      </w:r>
    </w:p>
    <w:p>
      <w:pPr>
        <w:spacing w:line="360" w:lineRule="auto" w:after="120"/>
        <w:jc w:val="both"/>
      </w:pPr>
      <w:r>
        <w:rPr>
          <w:rFonts w:ascii="Arial" w:hAnsi="Arial"/>
          <w:color w:val="000000"/>
          <w:sz w:val="24"/>
        </w:rPr>
        <w:t>Every tool has three distinct modes following the Concrete-Representational-Abstract progression. Explore mode is concrete, providing open-ended manipulation with visual models and no scoring. Practice mode is representational, presenting structured problems with immediate feedback and adaptive difficulty. Play mode is abstract, delivering a timed or scored game that builds fluency and automaticity.</w:t>
      </w:r>
    </w:p>
    <w:p>
      <w:pPr>
        <w:pStyle w:val="Heading3"/>
      </w:pPr>
      <w:r>
        <w:rPr>
          <w:rFonts w:ascii="Arial" w:hAnsi="Arial"/>
          <w:b/>
          <w:color w:val="2D3142"/>
          <w:sz w:val="24"/>
        </w:rPr>
        <w:t>Why It Matters</w:t>
      </w:r>
    </w:p>
    <w:p>
      <w:pPr>
        <w:spacing w:line="360" w:lineRule="auto" w:after="120"/>
        <w:jc w:val="both"/>
      </w:pPr>
      <w:r>
        <w:rPr>
          <w:rFonts w:ascii="Arial" w:hAnsi="Arial"/>
          <w:color w:val="000000"/>
          <w:sz w:val="24"/>
        </w:rPr>
        <w:t>The CRA sequence is one of the most validated instructional frameworks in mathematics education (Bruner, 1966; Witzel, Mercer &amp; Miller, 2003). Research shows CRA instruction produces significantly higher achievement than abstract-only instruction, particularly for students with learning disabilities and for younger learners (Flores, 2010). NCTM's Principles to Actions recommends educators "use and connect mathematical representations." Minnesota 2007 and 2022 standards both emphasize concrete-to-abstract progression as foundational to mathematical understanding.</w:t>
      </w:r>
    </w:p>
    <w:p>
      <w:pPr>
        <w:pStyle w:val="Heading3"/>
      </w:pPr>
      <w:r>
        <w:rPr>
          <w:rFonts w:ascii="Arial" w:hAnsi="Arial"/>
          <w:b/>
          <w:color w:val="2D3142"/>
          <w:sz w:val="24"/>
        </w:rPr>
        <w:t>How It Works in the App</w:t>
      </w:r>
    </w:p>
    <w:p>
      <w:pPr>
        <w:spacing w:line="360" w:lineRule="auto" w:after="120"/>
        <w:jc w:val="both"/>
      </w:pPr>
      <w:r>
        <w:rPr>
          <w:rFonts w:ascii="Arial" w:hAnsi="Arial"/>
          <w:color w:val="000000"/>
          <w:sz w:val="24"/>
        </w:rPr>
        <w:t>Each tool's state object (e.g., let S = {...}) tracks S.mode as either "explore", "practice", or "play". Mode buttons in the toolbar switch between modes. Explore mode displays manipulatives (virtual counters, number lines, base-ten blocks, etc.) without time pressure, problem correctness scoring, or feedback—just free exploration. Practice mode presents problem-answer cycles with the diagnostic feedback system, adaptive difficulty adjustments, and answer validation. Play mode delivers a scored or timed game with streak multipliers, achievement badges, and optional leaderboard tracking. The mode determines which UI elements are visible and which problem generator function runs. Students are encouraged to visit all three modes: Explore to build understanding, Practice to develop skill, and Play to build fluency.</w:t>
      </w:r>
    </w:p>
    <w:p>
      <w:r>
        <w:br w:type="page"/>
      </w:r>
    </w:p>
    <w:p>
      <w:pPr>
        <w:pStyle w:val="Heading2"/>
        <w:spacing w:before="200" w:after="100"/>
      </w:pPr>
      <w:r>
        <w:rPr>
          <w:rFonts w:ascii="Arial" w:hAnsi="Arial"/>
          <w:b/>
          <w:color w:val="2D3142"/>
          <w:sz w:val="28"/>
        </w:rPr>
        <w:t>2.10 Triple-Standard Alignment Engine</w:t>
      </w:r>
    </w:p>
    <w:p>
      <w:pPr>
        <w:pStyle w:val="Heading3"/>
      </w:pPr>
      <w:r>
        <w:rPr>
          <w:rFonts w:ascii="Arial" w:hAnsi="Arial"/>
          <w:b/>
          <w:color w:val="2D3142"/>
          <w:sz w:val="24"/>
        </w:rPr>
        <w:t>What It Is</w:t>
      </w:r>
    </w:p>
    <w:p>
      <w:pPr>
        <w:spacing w:line="360" w:lineRule="auto" w:after="120"/>
        <w:jc w:val="both"/>
      </w:pPr>
      <w:r>
        <w:rPr>
          <w:rFonts w:ascii="Arial" w:hAnsi="Arial"/>
          <w:color w:val="000000"/>
          <w:sz w:val="24"/>
        </w:rPr>
        <w:t>A system for tagging every tool with standard codes from three frameworks simultaneously: Common Core State Standards (CCSS-M), Minnesota 2007 Standards (active through 2026–27), and Minnesota 2022 Standards (effective 2027–28). Each tool card on the Hub displays relevant codes and allows filtering by standard.</w:t>
      </w:r>
    </w:p>
    <w:p>
      <w:pPr>
        <w:pStyle w:val="Heading3"/>
      </w:pPr>
      <w:r>
        <w:rPr>
          <w:rFonts w:ascii="Arial" w:hAnsi="Arial"/>
          <w:b/>
          <w:color w:val="2D3142"/>
          <w:sz w:val="24"/>
        </w:rPr>
        <w:t>Why It Matters</w:t>
      </w:r>
    </w:p>
    <w:p>
      <w:pPr>
        <w:spacing w:line="360" w:lineRule="auto" w:after="120"/>
        <w:jc w:val="both"/>
      </w:pPr>
      <w:r>
        <w:rPr>
          <w:rFonts w:ascii="Arial" w:hAnsi="Arial"/>
          <w:color w:val="000000"/>
          <w:sz w:val="24"/>
        </w:rPr>
        <w:t>Minnesota is in a standards transition period—2007 standards remain active through 2026–27, while 2022 standards take effect in 2027–28. Teachers need to see both alignments to navigate the transition smoothly. Common Core alignment enables national relevance beyond Minnesota and supports teachers in other states. The 2022 MN standards restructured from 4 strands (Number &amp; Operation, Algebra, Geometry &amp; Measurement, Data Analysis) to 3 strands (Patterns &amp; Relationships, Spatial Reasoning, Data &amp; Probability) with 7 consistent anchor standards spanning K–11. Tools must map to all three frameworks to ensure comprehensive coverage.</w:t>
      </w:r>
    </w:p>
    <w:p>
      <w:pPr>
        <w:pStyle w:val="Heading3"/>
      </w:pPr>
      <w:r>
        <w:rPr>
          <w:rFonts w:ascii="Arial" w:hAnsi="Arial"/>
          <w:b/>
          <w:color w:val="2D3142"/>
          <w:sz w:val="24"/>
        </w:rPr>
        <w:t>How It Works in the App</w:t>
      </w:r>
    </w:p>
    <w:p>
      <w:pPr>
        <w:spacing w:line="360" w:lineRule="auto" w:after="120"/>
        <w:jc w:val="both"/>
      </w:pPr>
      <w:r>
        <w:rPr>
          <w:rFonts w:ascii="Arial" w:hAnsi="Arial"/>
          <w:color w:val="000000"/>
          <w:sz w:val="24"/>
        </w:rPr>
        <w:t>Each tool's entry in the Hub's TOOLS array includes a standards object with three keys: ccss (array of Common Core codes like "K.CC.4", "K.OA.2"), mn2007 (array of Minnesota 2007 codes), and mn2022 (array of Minnesota 2022 codes). The Hub UI currently displays MN 2007 tags by default. A dropdown toggle allows switching the display to show CC or MN 2022 codes. Teachers can filter the tool catalog by typing a standard code to find all tools aligned to that standard. STANDARDS-REFERENCE.md contains the complete three-way alignment map. The Standards for Mathematical Practice (MP1–MP8) are implicitly mapped to tool modes: MP1 (Make sense of problems) aligns to Explore mode, MP4 (Model with mathematics) aligns to Practice mode, MP6 (Attend to precision) aligns to Play mode.</w:t>
      </w:r>
    </w:p>
    <w:p>
      <w:r>
        <w:br w:type="page"/>
      </w:r>
    </w:p>
    <w:p>
      <w:pPr>
        <w:pStyle w:val="Heading1"/>
        <w:spacing w:before="240" w:after="120"/>
      </w:pPr>
      <w:r>
        <w:rPr>
          <w:rFonts w:ascii="Arial" w:hAnsi="Arial"/>
          <w:b/>
          <w:color w:val="2D3142"/>
          <w:sz w:val="32"/>
        </w:rPr>
        <w:t>3. Data Layer (vinculum-data.js)</w:t>
      </w:r>
    </w:p>
    <w:p>
      <w:pPr>
        <w:pStyle w:val="Heading2"/>
        <w:spacing w:before="200" w:after="100"/>
      </w:pPr>
      <w:r>
        <w:rPr>
          <w:rFonts w:ascii="Arial" w:hAnsi="Arial"/>
          <w:b/>
          <w:color w:val="2D3142"/>
          <w:sz w:val="28"/>
        </w:rPr>
        <w:t>3.1 Storage</w:t>
      </w:r>
    </w:p>
    <w:p>
      <w:pPr>
        <w:spacing w:line="360" w:lineRule="auto" w:after="120"/>
        <w:jc w:val="both"/>
      </w:pPr>
      <w:r>
        <w:rPr>
          <w:rFonts w:ascii="Arial" w:hAnsi="Arial"/>
          <w:color w:val="000000"/>
          <w:sz w:val="24"/>
        </w:rPr>
        <w:t>Data persistence is handled exclusively through localStorage with a graceful in-memory fallback. Each student is assigned an anonymous UUID on first use—no login, no email, no personal information required. All data is stored locally on the device and never transmitted to any external server. This design prioritizes privacy and works offline without any backend infrastructure.</w:t>
      </w:r>
    </w:p>
    <w:p>
      <w:pPr>
        <w:pStyle w:val="Heading2"/>
        <w:spacing w:before="200" w:after="100"/>
      </w:pPr>
      <w:r>
        <w:rPr>
          <w:rFonts w:ascii="Arial" w:hAnsi="Arial"/>
          <w:b/>
          <w:color w:val="2D3142"/>
          <w:sz w:val="28"/>
        </w:rPr>
        <w:t>3.2 Public API</w:t>
      </w:r>
    </w:p>
    <w:p>
      <w:pPr>
        <w:spacing w:line="360" w:lineRule="auto" w:after="120"/>
        <w:jc w:val="both"/>
      </w:pPr>
      <w:r>
        <w:rPr>
          <w:rFonts w:ascii="Arial" w:hAnsi="Arial"/>
          <w:color w:val="000000"/>
          <w:sz w:val="24"/>
        </w:rPr>
        <w:t>The VinculumData module exposes the following public functions:</w:t>
      </w:r>
    </w:p>
    <w:p>
      <w:pPr>
        <w:spacing w:line="360" w:lineRule="auto" w:after="120"/>
        <w:jc w:val="both"/>
      </w:pPr>
      <w:r>
        <w:rPr>
          <w:rFonts w:ascii="Arial" w:hAnsi="Arial"/>
          <w:color w:val="000000"/>
          <w:sz w:val="24"/>
        </w:rPr>
        <w:t>• getStudentId() returns the anonymous UUID for the current student</w:t>
      </w:r>
    </w:p>
    <w:p>
      <w:pPr>
        <w:spacing w:line="360" w:lineRule="auto" w:after="120"/>
        <w:jc w:val="both"/>
      </w:pPr>
      <w:r>
        <w:rPr>
          <w:rFonts w:ascii="Arial" w:hAnsi="Arial"/>
          <w:color w:val="000000"/>
          <w:sz w:val="24"/>
        </w:rPr>
        <w:t>• logSession(toolName, data) logs a completed session with outcome and timing</w:t>
      </w:r>
    </w:p>
    <w:p>
      <w:pPr>
        <w:spacing w:line="360" w:lineRule="auto" w:after="120"/>
        <w:jc w:val="both"/>
      </w:pPr>
      <w:r>
        <w:rPr>
          <w:rFonts w:ascii="Arial" w:hAnsi="Arial"/>
          <w:color w:val="000000"/>
          <w:sz w:val="24"/>
        </w:rPr>
        <w:t>• getDueReviews() returns tools currently due for spaced retrieval review</w:t>
      </w:r>
    </w:p>
    <w:p>
      <w:pPr>
        <w:spacing w:line="360" w:lineRule="auto" w:after="120"/>
        <w:jc w:val="both"/>
      </w:pPr>
      <w:r>
        <w:rPr>
          <w:rFonts w:ascii="Arial" w:hAnsi="Arial"/>
          <w:color w:val="000000"/>
          <w:sz w:val="24"/>
        </w:rPr>
        <w:t>• getReviewQueue() returns a prioritized list of review items</w:t>
      </w:r>
    </w:p>
    <w:p>
      <w:pPr>
        <w:spacing w:line="360" w:lineRule="auto" w:after="120"/>
        <w:jc w:val="both"/>
      </w:pPr>
      <w:r>
        <w:rPr>
          <w:rFonts w:ascii="Arial" w:hAnsi="Arial"/>
          <w:color w:val="000000"/>
          <w:sz w:val="24"/>
        </w:rPr>
        <w:t>• createAdaptiveEngine(toolName) returns an adaptive difficulty instance</w:t>
      </w:r>
    </w:p>
    <w:p>
      <w:pPr>
        <w:spacing w:line="360" w:lineRule="auto" w:after="120"/>
        <w:jc w:val="both"/>
      </w:pPr>
      <w:r>
        <w:rPr>
          <w:rFonts w:ascii="Arial" w:hAnsi="Arial"/>
          <w:color w:val="000000"/>
          <w:sz w:val="24"/>
        </w:rPr>
        <w:t>• logMisconception(toolName, misconceptionId, studentAnswer, correctAnswer) logs a misconception event</w:t>
      </w:r>
    </w:p>
    <w:p>
      <w:pPr>
        <w:spacing w:line="360" w:lineRule="auto" w:after="120"/>
        <w:jc w:val="both"/>
      </w:pPr>
      <w:r>
        <w:rPr>
          <w:rFonts w:ascii="Arial" w:hAnsi="Arial"/>
          <w:color w:val="000000"/>
          <w:sz w:val="24"/>
        </w:rPr>
        <w:t>• getMisconceptions(toolName) returns misconception history for a tool</w:t>
      </w:r>
    </w:p>
    <w:p>
      <w:pPr>
        <w:spacing w:line="360" w:lineRule="auto" w:after="120"/>
        <w:jc w:val="both"/>
      </w:pPr>
      <w:r>
        <w:rPr>
          <w:rFonts w:ascii="Arial" w:hAnsi="Arial"/>
          <w:color w:val="000000"/>
          <w:sz w:val="24"/>
        </w:rPr>
        <w:t>• createProcessLogger(toolName) returns a process capture instance</w:t>
      </w:r>
    </w:p>
    <w:p>
      <w:pPr>
        <w:spacing w:line="360" w:lineRule="auto" w:after="120"/>
        <w:jc w:val="both"/>
      </w:pPr>
      <w:r>
        <w:rPr>
          <w:rFonts w:ascii="Arial" w:hAnsi="Arial"/>
          <w:color w:val="000000"/>
          <w:sz w:val="24"/>
        </w:rPr>
        <w:t>• exportAll() returns all data as JSON</w:t>
      </w:r>
    </w:p>
    <w:p>
      <w:pPr>
        <w:spacing w:line="360" w:lineRule="auto" w:after="120"/>
        <w:jc w:val="both"/>
      </w:pPr>
      <w:r>
        <w:rPr>
          <w:rFonts w:ascii="Arial" w:hAnsi="Arial"/>
          <w:color w:val="000000"/>
          <w:sz w:val="24"/>
        </w:rPr>
        <w:t>• exportCSV() returns all data in CSV format for spreadsheet analysis</w:t>
      </w:r>
    </w:p>
    <w:p>
      <w:pPr>
        <w:spacing w:line="360" w:lineRule="auto" w:after="120"/>
        <w:jc w:val="both"/>
      </w:pPr>
      <w:r>
        <w:rPr>
          <w:rFonts w:ascii="Arial" w:hAnsi="Arial"/>
          <w:color w:val="000000"/>
          <w:sz w:val="24"/>
        </w:rPr>
        <w:t>• clearAll() permanently wipes all local data</w:t>
      </w:r>
    </w:p>
    <w:p>
      <w:pPr>
        <w:spacing w:line="360" w:lineRule="auto" w:after="120"/>
        <w:jc w:val="both"/>
      </w:pPr>
      <w:r>
        <w:rPr>
          <w:rFonts w:ascii="Arial" w:hAnsi="Arial"/>
          <w:color w:val="000000"/>
          <w:sz w:val="24"/>
        </w:rPr>
        <w:t>• getToolHistory(toolName) returns session history for one tool</w:t>
      </w:r>
    </w:p>
    <w:p>
      <w:pPr>
        <w:spacing w:line="360" w:lineRule="auto" w:after="120"/>
        <w:jc w:val="both"/>
      </w:pPr>
      <w:r>
        <w:rPr>
          <w:rFonts w:ascii="Arial" w:hAnsi="Arial"/>
          <w:color w:val="000000"/>
          <w:sz w:val="24"/>
        </w:rPr>
        <w:t>• getRecentActivity(days) returns activity summary for the past N days</w:t>
      </w:r>
    </w:p>
    <w:p>
      <w:pPr>
        <w:spacing w:line="360" w:lineRule="auto" w:after="120"/>
        <w:jc w:val="both"/>
      </w:pPr>
      <w:r>
        <w:rPr>
          <w:rFonts w:ascii="Arial" w:hAnsi="Arial"/>
          <w:color w:val="000000"/>
          <w:sz w:val="24"/>
        </w:rPr>
        <w:t>• isStorageAvailable() checks whether localStorage is accessible</w:t>
      </w:r>
    </w:p>
    <w:p>
      <w:pPr>
        <w:pStyle w:val="Heading2"/>
        <w:spacing w:before="200" w:after="100"/>
      </w:pPr>
      <w:r>
        <w:rPr>
          <w:rFonts w:ascii="Arial" w:hAnsi="Arial"/>
          <w:b/>
          <w:color w:val="2D3142"/>
          <w:sz w:val="28"/>
        </w:rPr>
        <w:t>3.3 Story Engine API (vinculum-stories.js)</w:t>
      </w:r>
    </w:p>
    <w:p>
      <w:pPr>
        <w:spacing w:line="360" w:lineRule="auto" w:after="120"/>
        <w:jc w:val="both"/>
      </w:pPr>
      <w:r>
        <w:rPr>
          <w:rFonts w:ascii="Arial" w:hAnsi="Arial"/>
          <w:color w:val="000000"/>
          <w:sz w:val="24"/>
        </w:rPr>
        <w:t>The VinculumStories module provides the following public functions:</w:t>
      </w:r>
    </w:p>
    <w:p>
      <w:pPr>
        <w:spacing w:line="360" w:lineRule="auto" w:after="120"/>
        <w:jc w:val="both"/>
      </w:pPr>
      <w:r>
        <w:rPr>
          <w:rFonts w:ascii="Arial" w:hAnsi="Arial"/>
          <w:color w:val="000000"/>
          <w:sz w:val="24"/>
        </w:rPr>
        <w:t>• getStory(toolName, params) returns an object { story, question } with interpolated template</w:t>
      </w:r>
    </w:p>
    <w:p>
      <w:pPr>
        <w:spacing w:line="360" w:lineRule="auto" w:after="120"/>
        <w:jc w:val="both"/>
      </w:pPr>
      <w:r>
        <w:rPr>
          <w:rFonts w:ascii="Arial" w:hAnsi="Arial"/>
          <w:color w:val="000000"/>
          <w:sz w:val="24"/>
        </w:rPr>
        <w:t>• getRandomStory(toolName) returns a random template object</w:t>
      </w:r>
    </w:p>
    <w:p>
      <w:pPr>
        <w:spacing w:line="360" w:lineRule="auto" w:after="120"/>
        <w:jc w:val="both"/>
      </w:pPr>
      <w:r>
        <w:rPr>
          <w:rFonts w:ascii="Arial" w:hAnsi="Arial"/>
          <w:color w:val="000000"/>
          <w:sz w:val="24"/>
        </w:rPr>
        <w:t>• getAllStories(toolName) returns all 12 templates for a tool</w:t>
      </w:r>
    </w:p>
    <w:p>
      <w:pPr>
        <w:spacing w:line="360" w:lineRule="auto" w:after="120"/>
        <w:jc w:val="both"/>
      </w:pPr>
      <w:r>
        <w:rPr>
          <w:rFonts w:ascii="Arial" w:hAnsi="Arial"/>
          <w:color w:val="000000"/>
          <w:sz w:val="24"/>
        </w:rPr>
        <w:t>• getAvailableTools() returns the list of all tool names with stories</w:t>
      </w:r>
    </w:p>
    <w:p>
      <w:pPr>
        <w:spacing w:line="360" w:lineRule="auto" w:after="120"/>
        <w:jc w:val="both"/>
      </w:pPr>
      <w:r>
        <w:rPr>
          <w:rFonts w:ascii="Arial" w:hAnsi="Arial"/>
          <w:color w:val="000000"/>
          <w:sz w:val="24"/>
        </w:rPr>
        <w:t>• readAloud(text, options) triggers text-to-speech with sentence-by-sentence reading</w:t>
      </w:r>
    </w:p>
    <w:p>
      <w:pPr>
        <w:spacing w:line="360" w:lineRule="auto" w:after="120"/>
        <w:jc w:val="both"/>
      </w:pPr>
      <w:r>
        <w:rPr>
          <w:rFonts w:ascii="Arial" w:hAnsi="Arial"/>
          <w:color w:val="000000"/>
          <w:sz w:val="24"/>
        </w:rPr>
        <w:t>• stopReading() cancels current speech synthesis</w:t>
      </w:r>
    </w:p>
    <w:p>
      <w:pPr>
        <w:spacing w:line="360" w:lineRule="auto" w:after="120"/>
        <w:jc w:val="both"/>
      </w:pPr>
      <w:r>
        <w:rPr>
          <w:rFonts w:ascii="Arial" w:hAnsi="Arial"/>
          <w:color w:val="000000"/>
          <w:sz w:val="24"/>
        </w:rPr>
        <w:t>• isReading() returns boolean indicating whether speech is active</w:t>
      </w:r>
    </w:p>
    <w:p>
      <w:pPr>
        <w:spacing w:line="360" w:lineRule="auto" w:after="120"/>
        <w:jc w:val="both"/>
      </w:pPr>
      <w:r>
        <w:rPr>
          <w:rFonts w:ascii="Arial" w:hAnsi="Arial"/>
          <w:color w:val="000000"/>
          <w:sz w:val="24"/>
        </w:rPr>
        <w:t>• setReadAloudRate(rate) sets speech speed (0.7 to 1.2)</w:t>
      </w:r>
    </w:p>
    <w:p>
      <w:pPr>
        <w:spacing w:line="360" w:lineRule="auto" w:after="120"/>
        <w:jc w:val="both"/>
      </w:pPr>
      <w:r>
        <w:rPr>
          <w:rFonts w:ascii="Arial" w:hAnsi="Arial"/>
          <w:color w:val="000000"/>
          <w:sz w:val="24"/>
        </w:rPr>
        <w:t>• setAutoRead(bool) toggles automatic reading on story load</w:t>
      </w:r>
    </w:p>
    <w:p>
      <w:pPr>
        <w:spacing w:line="360" w:lineRule="auto" w:after="120"/>
        <w:jc w:val="both"/>
      </w:pPr>
      <w:r>
        <w:rPr>
          <w:rFonts w:ascii="Arial" w:hAnsi="Arial"/>
          <w:color w:val="000000"/>
          <w:sz w:val="24"/>
        </w:rPr>
        <w:t>• createStoryBanner(toolName, params) returns injectable HTML string</w:t>
      </w:r>
    </w:p>
    <w:p>
      <w:r>
        <w:br w:type="page"/>
      </w:r>
    </w:p>
    <w:p>
      <w:pPr>
        <w:pStyle w:val="Heading1"/>
        <w:spacing w:before="240" w:after="120"/>
      </w:pPr>
      <w:r>
        <w:rPr>
          <w:rFonts w:ascii="Arial" w:hAnsi="Arial"/>
          <w:b/>
          <w:color w:val="2D3142"/>
          <w:sz w:val="32"/>
        </w:rPr>
        <w:t>4. Implementation Roadmap</w:t>
      </w:r>
    </w:p>
    <w:p>
      <w:pPr>
        <w:pStyle w:val="Heading2"/>
        <w:spacing w:before="200" w:after="100"/>
      </w:pPr>
      <w:r>
        <w:rPr>
          <w:rFonts w:ascii="Arial" w:hAnsi="Arial"/>
          <w:b/>
          <w:color w:val="2D3142"/>
          <w:sz w:val="28"/>
        </w:rPr>
        <w:t>4.1 Completed</w:t>
      </w:r>
    </w:p>
    <w:p>
      <w:pPr>
        <w:spacing w:line="360" w:lineRule="auto" w:after="120"/>
        <w:jc w:val="both"/>
      </w:pPr>
      <w:r>
        <w:rPr>
          <w:rFonts w:ascii="Arial" w:hAnsi="Arial"/>
          <w:color w:val="000000"/>
          <w:sz w:val="24"/>
        </w:rPr>
        <w:t>• Phase 1: 14-theme system added to vinculum-core.css and VINCULUM-Hub.html</w:t>
      </w:r>
    </w:p>
    <w:p>
      <w:pPr>
        <w:spacing w:line="360" w:lineRule="auto" w:after="120"/>
        <w:jc w:val="both"/>
      </w:pPr>
      <w:r>
        <w:rPr>
          <w:rFonts w:ascii="Arial" w:hAnsi="Arial"/>
          <w:color w:val="000000"/>
          <w:sz w:val="24"/>
        </w:rPr>
        <w:t>• Phase 2: Misconception architecture implemented for all 15 Kindergarten tools</w:t>
      </w:r>
    </w:p>
    <w:p>
      <w:pPr>
        <w:spacing w:line="360" w:lineRule="auto" w:after="120"/>
        <w:jc w:val="both"/>
      </w:pPr>
      <w:r>
        <w:rPr>
          <w:rFonts w:ascii="Arial" w:hAnsi="Arial"/>
          <w:color w:val="000000"/>
          <w:sz w:val="24"/>
        </w:rPr>
        <w:t>• Phase A: Story Engine (vinculum-stories.js) built with 180 templates and Read-Aloud system</w:t>
      </w:r>
    </w:p>
    <w:p>
      <w:pPr>
        <w:spacing w:line="360" w:lineRule="auto" w:after="120"/>
        <w:jc w:val="both"/>
      </w:pPr>
      <w:r>
        <w:rPr>
          <w:rFonts w:ascii="Arial" w:hAnsi="Arial"/>
          <w:color w:val="000000"/>
          <w:sz w:val="24"/>
        </w:rPr>
        <w:t>• vinculum-data.js created with adaptive engine, spaced retrieval, and process logger</w:t>
      </w:r>
    </w:p>
    <w:p>
      <w:pPr>
        <w:spacing w:line="360" w:lineRule="auto" w:after="120"/>
        <w:jc w:val="both"/>
      </w:pPr>
      <w:r>
        <w:rPr>
          <w:rFonts w:ascii="Arial" w:hAnsi="Arial"/>
          <w:color w:val="000000"/>
          <w:sz w:val="24"/>
        </w:rPr>
        <w:t>• Standards Reference document (STANDARDS-REFERENCE.md) compiled</w:t>
      </w:r>
    </w:p>
    <w:p>
      <w:pPr>
        <w:pStyle w:val="Heading2"/>
        <w:spacing w:before="200" w:after="100"/>
      </w:pPr>
      <w:r>
        <w:rPr>
          <w:rFonts w:ascii="Arial" w:hAnsi="Arial"/>
          <w:b/>
          <w:color w:val="2D3142"/>
          <w:sz w:val="28"/>
        </w:rPr>
        <w:t>4.2 Next Phases</w:t>
      </w:r>
    </w:p>
    <w:p>
      <w:pPr>
        <w:spacing w:line="360" w:lineRule="auto" w:after="120"/>
        <w:jc w:val="both"/>
      </w:pPr>
      <w:r>
        <w:rPr>
          <w:rFonts w:ascii="Arial" w:hAnsi="Arial"/>
          <w:color w:val="000000"/>
          <w:sz w:val="24"/>
        </w:rPr>
        <w:t>Phase B (1 week): Integrate story banners into all K tool Explore modes. Add speaker button. Wire read-aloud to existing Read-to-Me toggle. Validate grammar of all 180 story templates.</w:t>
      </w:r>
    </w:p>
    <w:p>
      <w:pPr>
        <w:spacing w:line="360" w:lineRule="auto" w:after="120"/>
        <w:jc w:val="both"/>
      </w:pPr>
      <w:r>
        <w:rPr>
          <w:rFonts w:ascii="Arial" w:hAnsi="Arial"/>
          <w:color w:val="000000"/>
          <w:sz w:val="24"/>
        </w:rPr>
        <w:t>Phase C (2 weeks): Implement 3-Reads progressive scaffolding in Explore mode. Build stage-reveal logic and pulse/highlight CSS for guiding next action. Test with K teachers.</w:t>
      </w:r>
    </w:p>
    <w:p>
      <w:pPr>
        <w:spacing w:line="360" w:lineRule="auto" w:after="120"/>
        <w:jc w:val="both"/>
      </w:pPr>
      <w:r>
        <w:rPr>
          <w:rFonts w:ascii="Arial" w:hAnsi="Arial"/>
          <w:color w:val="000000"/>
          <w:sz w:val="24"/>
        </w:rPr>
        <w:t>Phase D (2 weeks): Hook adaptive difficulty engine into all K tools. Wire VinculumData.createAdaptiveEngine() into problem generators. Display difficulty indicator in UI and track success metrics.</w:t>
      </w:r>
    </w:p>
    <w:p>
      <w:pPr>
        <w:spacing w:line="360" w:lineRule="auto" w:after="120"/>
        <w:jc w:val="both"/>
      </w:pPr>
      <w:r>
        <w:rPr>
          <w:rFonts w:ascii="Arial" w:hAnsi="Arial"/>
          <w:color w:val="000000"/>
          <w:sz w:val="24"/>
        </w:rPr>
        <w:t>Phase E (1 week): QA and polish. Cross-browser text-to-speech testing. Story grammar and diversity audit on characters and settings. Accessibility compliance review.</w:t>
      </w:r>
    </w:p>
    <w:p>
      <w:pPr>
        <w:spacing w:line="360" w:lineRule="auto" w:after="120"/>
        <w:jc w:val="both"/>
      </w:pPr>
      <w:r>
        <w:rPr>
          <w:rFonts w:ascii="Arial" w:hAnsi="Arial"/>
          <w:color w:val="000000"/>
          <w:sz w:val="24"/>
        </w:rPr>
        <w:t>Phase F (ongoing): Expand to Grade 1, Grade 2, and all remaining K–8 tools. Build teacher dashboard for data review. Add MN 2022 standard codes. Enable community story contributions.</w:t>
      </w:r>
    </w:p>
    <w:p>
      <w:pPr>
        <w:pStyle w:val="Heading2"/>
        <w:spacing w:before="200" w:after="100"/>
      </w:pPr>
      <w:r>
        <w:rPr>
          <w:rFonts w:ascii="Arial" w:hAnsi="Arial"/>
          <w:b/>
          <w:color w:val="2D3142"/>
          <w:sz w:val="28"/>
        </w:rPr>
        <w:t>4.3 Production Needs</w:t>
      </w:r>
    </w:p>
    <w:p>
      <w:pPr>
        <w:spacing w:line="360" w:lineRule="auto" w:after="120"/>
        <w:jc w:val="both"/>
      </w:pPr>
      <w:r>
        <w:rPr>
          <w:rFonts w:ascii="Arial" w:hAnsi="Arial"/>
          <w:color w:val="000000"/>
          <w:sz w:val="24"/>
        </w:rPr>
        <w:t>• 180 stories written (K tools complete); approximately 360 more needed for Grades 1–2</w:t>
      </w:r>
    </w:p>
    <w:p>
      <w:pPr>
        <w:spacing w:line="360" w:lineRule="auto" w:after="120"/>
        <w:jc w:val="both"/>
      </w:pPr>
      <w:r>
        <w:rPr>
          <w:rFonts w:ascii="Arial" w:hAnsi="Arial"/>
          <w:color w:val="000000"/>
          <w:sz w:val="24"/>
        </w:rPr>
        <w:t>• Zero server infrastructure required—everything runs client-side</w:t>
      </w:r>
    </w:p>
    <w:p>
      <w:pPr>
        <w:spacing w:line="360" w:lineRule="auto" w:after="120"/>
        <w:jc w:val="both"/>
      </w:pPr>
      <w:r>
        <w:rPr>
          <w:rFonts w:ascii="Arial" w:hAnsi="Arial"/>
          <w:color w:val="000000"/>
          <w:sz w:val="24"/>
        </w:rPr>
        <w:t>• No build step, no bundler, no package manager for deployment</w:t>
      </w:r>
    </w:p>
    <w:p>
      <w:pPr>
        <w:spacing w:line="360" w:lineRule="auto" w:after="120"/>
        <w:jc w:val="both"/>
      </w:pPr>
      <w:r>
        <w:rPr>
          <w:rFonts w:ascii="Arial" w:hAnsi="Arial"/>
          <w:color w:val="000000"/>
          <w:sz w:val="24"/>
        </w:rPr>
        <w:t>• GitHub Pages handles hosting and CDN</w:t>
      </w:r>
    </w:p>
    <w:p>
      <w:pPr>
        <w:spacing w:line="360" w:lineRule="auto" w:after="120"/>
        <w:jc w:val="both"/>
      </w:pPr>
      <w:r>
        <w:rPr>
          <w:rFonts w:ascii="Arial" w:hAnsi="Arial"/>
          <w:color w:val="000000"/>
          <w:sz w:val="24"/>
        </w:rPr>
        <w:t>• Web Speech API is free and native—no TTS service costs</w:t>
      </w:r>
    </w:p>
    <w:p>
      <w:pPr>
        <w:spacing w:line="360" w:lineRule="auto" w:after="120"/>
        <w:jc w:val="both"/>
      </w:pPr>
      <w:r>
        <w:rPr>
          <w:rFonts w:ascii="Arial" w:hAnsi="Arial"/>
          <w:color w:val="000000"/>
          <w:sz w:val="24"/>
        </w:rPr>
        <w:t>• localStorage provides persistence—no database needed</w:t>
      </w:r>
    </w:p>
    <w:p>
      <w:pPr>
        <w:spacing w:line="360" w:lineRule="auto" w:after="120"/>
        <w:jc w:val="both"/>
      </w:pPr>
      <w:r>
        <w:rPr>
          <w:rFonts w:ascii="Arial" w:hAnsi="Arial"/>
          <w:color w:val="000000"/>
          <w:sz w:val="24"/>
        </w:rPr>
        <w:t>• All resources are open-source or free—no licensed content costs</w:t>
      </w:r>
    </w:p>
    <w:p>
      <w:r>
        <w:br w:type="page"/>
      </w:r>
    </w:p>
    <w:p>
      <w:pPr>
        <w:pStyle w:val="Heading1"/>
        <w:spacing w:before="240" w:after="120"/>
      </w:pPr>
      <w:r>
        <w:rPr>
          <w:rFonts w:ascii="Arial" w:hAnsi="Arial"/>
          <w:b/>
          <w:color w:val="2D3142"/>
          <w:sz w:val="32"/>
        </w:rPr>
        <w:t>5. Research Bibliography</w:t>
      </w:r>
    </w:p>
    <w:p>
      <w:pPr>
        <w:spacing w:line="360" w:lineRule="auto" w:after="120"/>
        <w:jc w:val="both"/>
      </w:pPr>
      <w:r>
        <w:rPr>
          <w:rFonts w:ascii="Arial" w:hAnsi="Arial"/>
          <w:color w:val="000000"/>
          <w:sz w:val="24"/>
        </w:rPr>
        <w:t>Black, P., &amp; Wiliam, D. (1998). Inside the Black Box: Raising Standards Through Classroom Assessment. Phi Delta Kappan, 80(2), 139–148.</w:t>
      </w:r>
    </w:p>
    <w:p>
      <w:pPr>
        <w:spacing w:line="360" w:lineRule="auto" w:after="120"/>
        <w:jc w:val="both"/>
      </w:pPr>
      <w:r>
        <w:rPr>
          <w:rFonts w:ascii="Arial" w:hAnsi="Arial"/>
          <w:color w:val="000000"/>
          <w:sz w:val="24"/>
        </w:rPr>
        <w:t>Bratitsis, T., &amp; Mantellou, S. (2020). Digital storytelling and mathematics in early childhood education. Education Sciences, 10(9), 256.</w:t>
      </w:r>
    </w:p>
    <w:p>
      <w:pPr>
        <w:spacing w:line="360" w:lineRule="auto" w:after="120"/>
        <w:jc w:val="both"/>
      </w:pPr>
      <w:r>
        <w:rPr>
          <w:rFonts w:ascii="Arial" w:hAnsi="Arial"/>
          <w:color w:val="000000"/>
          <w:sz w:val="24"/>
        </w:rPr>
        <w:t>Bruner, J. S. (1966). Toward a Theory of Instruction. Harvard University Press.</w:t>
      </w:r>
    </w:p>
    <w:p>
      <w:pPr>
        <w:spacing w:line="360" w:lineRule="auto" w:after="120"/>
        <w:jc w:val="both"/>
      </w:pPr>
      <w:r>
        <w:rPr>
          <w:rFonts w:ascii="Arial" w:hAnsi="Arial"/>
          <w:color w:val="000000"/>
          <w:sz w:val="24"/>
        </w:rPr>
        <w:t>CAST (2024). Universal Design for Learning Guidelines. http://udlguidelines.cast.org</w:t>
      </w:r>
    </w:p>
    <w:p>
      <w:pPr>
        <w:spacing w:line="360" w:lineRule="auto" w:after="120"/>
        <w:jc w:val="both"/>
      </w:pPr>
      <w:r>
        <w:rPr>
          <w:rFonts w:ascii="Arial" w:hAnsi="Arial"/>
          <w:color w:val="000000"/>
          <w:sz w:val="24"/>
        </w:rPr>
        <w:t>Cepeda, N. J., Pashler, H., Vul, E., Wixted, J. T., &amp; Rohrer, D. (2006). Distributed practice in verbal recall tasks: A review and quantitative synthesis. Psychological Bulletin, 132(3), 354–380.</w:t>
      </w:r>
    </w:p>
    <w:p>
      <w:pPr>
        <w:spacing w:line="360" w:lineRule="auto" w:after="120"/>
        <w:jc w:val="both"/>
      </w:pPr>
      <w:r>
        <w:rPr>
          <w:rFonts w:ascii="Arial" w:hAnsi="Arial"/>
          <w:color w:val="000000"/>
          <w:sz w:val="24"/>
        </w:rPr>
        <w:t>Ebbinghaus, H. (1885). Memory: A Contribution to Experimental Psychology. Teachers College Press (1913 English translation).</w:t>
      </w:r>
    </w:p>
    <w:p>
      <w:pPr>
        <w:spacing w:line="360" w:lineRule="auto" w:after="120"/>
        <w:jc w:val="both"/>
      </w:pPr>
      <w:r>
        <w:rPr>
          <w:rFonts w:ascii="Arial" w:hAnsi="Arial"/>
          <w:color w:val="000000"/>
          <w:sz w:val="24"/>
        </w:rPr>
        <w:t>Flores, M. M. (2010). Using the Concrete-Representational-Abstract sequence to teach subtraction with regrouping to students with learning disabilities. Learning Disabilities Research &amp; Practice, 25(4), 202–212.</w:t>
      </w:r>
    </w:p>
    <w:p>
      <w:pPr>
        <w:spacing w:line="360" w:lineRule="auto" w:after="120"/>
        <w:jc w:val="both"/>
      </w:pPr>
      <w:r>
        <w:rPr>
          <w:rFonts w:ascii="Arial" w:hAnsi="Arial"/>
          <w:color w:val="000000"/>
          <w:sz w:val="24"/>
        </w:rPr>
        <w:t>Hattie, J., &amp; Timperley, H. (2007). The Power of Feedback. Review of Educational Research, 77(1), 81–112.</w:t>
      </w:r>
    </w:p>
    <w:p>
      <w:pPr>
        <w:spacing w:line="360" w:lineRule="auto" w:after="120"/>
        <w:jc w:val="both"/>
      </w:pPr>
      <w:r>
        <w:rPr>
          <w:rFonts w:ascii="Arial" w:hAnsi="Arial"/>
          <w:color w:val="000000"/>
          <w:sz w:val="24"/>
        </w:rPr>
        <w:t>Kulik, J. A., &amp; Fletcher, J. D. (2016). Effectiveness of Intelligent Tutoring Systems: A meta-analytic review. Journal of Educational Research, 109(2), 87–109.</w:t>
      </w:r>
    </w:p>
    <w:p>
      <w:pPr>
        <w:spacing w:line="360" w:lineRule="auto" w:after="120"/>
        <w:jc w:val="both"/>
      </w:pPr>
      <w:r>
        <w:rPr>
          <w:rFonts w:ascii="Arial" w:hAnsi="Arial"/>
          <w:color w:val="000000"/>
          <w:sz w:val="24"/>
        </w:rPr>
        <w:t>Mayer, R. E. (2009). Multimedia Learning (2nd ed.). Cambridge University Press.</w:t>
      </w:r>
    </w:p>
    <w:p>
      <w:pPr>
        <w:spacing w:line="360" w:lineRule="auto" w:after="120"/>
        <w:jc w:val="both"/>
      </w:pPr>
      <w:r>
        <w:rPr>
          <w:rFonts w:ascii="Arial" w:hAnsi="Arial"/>
          <w:color w:val="000000"/>
          <w:sz w:val="24"/>
        </w:rPr>
        <w:t>National Council of Teachers of Mathematics (2014). Principles to Actions: Ensuring Mathematical Success for All. NCTM.</w:t>
      </w:r>
    </w:p>
    <w:p>
      <w:pPr>
        <w:spacing w:line="360" w:lineRule="auto" w:after="120"/>
        <w:jc w:val="both"/>
      </w:pPr>
      <w:r>
        <w:rPr>
          <w:rFonts w:ascii="Arial" w:hAnsi="Arial"/>
          <w:color w:val="000000"/>
          <w:sz w:val="24"/>
        </w:rPr>
        <w:t>Paivio, A. (1986). Mental Representations: A Dual Coding Approach. Oxford University Press.</w:t>
      </w:r>
    </w:p>
    <w:p>
      <w:pPr>
        <w:spacing w:line="360" w:lineRule="auto" w:after="120"/>
        <w:jc w:val="both"/>
      </w:pPr>
      <w:r>
        <w:rPr>
          <w:rFonts w:ascii="Arial" w:hAnsi="Arial"/>
          <w:color w:val="000000"/>
          <w:sz w:val="24"/>
        </w:rPr>
        <w:t>Rohrer, D., &amp; Taylor, K. (2007). The shuffling of mathematics problems improves learning. Instructional Science, 35(6), 481–498.</w:t>
      </w:r>
    </w:p>
    <w:p>
      <w:pPr>
        <w:spacing w:line="360" w:lineRule="auto" w:after="120"/>
        <w:jc w:val="both"/>
      </w:pPr>
      <w:r>
        <w:rPr>
          <w:rFonts w:ascii="Arial" w:hAnsi="Arial"/>
          <w:color w:val="000000"/>
          <w:sz w:val="24"/>
        </w:rPr>
        <w:t>San Francisco Unified School District Mathematics Department. The Three Reads Protocol. https://sfusd.edu/supporting-english-learners-mathematics</w:t>
      </w:r>
    </w:p>
    <w:p>
      <w:pPr>
        <w:spacing w:line="360" w:lineRule="auto" w:after="120"/>
        <w:jc w:val="both"/>
      </w:pPr>
      <w:r>
        <w:rPr>
          <w:rFonts w:ascii="Arial" w:hAnsi="Arial"/>
          <w:color w:val="000000"/>
          <w:sz w:val="24"/>
        </w:rPr>
        <w:t>Springer, K. (2024). The role of digital storytelling in mathematics learning. Journal of Educational Computing Research, 52(1), 14–35.</w:t>
      </w:r>
    </w:p>
    <w:p>
      <w:pPr>
        <w:spacing w:line="360" w:lineRule="auto" w:after="120"/>
        <w:jc w:val="both"/>
      </w:pPr>
      <w:r>
        <w:rPr>
          <w:rFonts w:ascii="Arial" w:hAnsi="Arial"/>
          <w:color w:val="000000"/>
          <w:sz w:val="24"/>
        </w:rPr>
        <w:t>Vygotsky, L. S. (1978). Mind in Society: The Development of Higher Psychological Processes. Harvard University Press.</w:t>
      </w:r>
    </w:p>
    <w:p>
      <w:pPr>
        <w:spacing w:line="360" w:lineRule="auto" w:after="120"/>
        <w:jc w:val="both"/>
      </w:pPr>
      <w:r>
        <w:rPr>
          <w:rFonts w:ascii="Arial" w:hAnsi="Arial"/>
          <w:color w:val="000000"/>
          <w:sz w:val="24"/>
        </w:rPr>
        <w:t>Witzel, B. S., Mercer, C. D., &amp; Miller, M. D. (2003). Teaching algebra to students with learning difficulties: An investigation of an explicit instruction model. Learning Disabilities Research &amp; Practice, 18(2), 121–131.</w:t>
      </w:r>
    </w:p>
    <w:p>
      <w:pPr>
        <w:spacing w:line="360" w:lineRule="auto" w:after="120"/>
        <w:jc w:val="both"/>
      </w:pPr>
      <w:r>
        <w:rPr>
          <w:rFonts w:ascii="Arial" w:hAnsi="Arial"/>
          <w:color w:val="000000"/>
          <w:sz w:val="24"/>
        </w:rPr>
        <w:t>Minnesota Department of Education (2007). K–12 Academic Standards in Mathematics. State of Minnesota.</w:t>
      </w:r>
    </w:p>
    <w:p>
      <w:pPr>
        <w:spacing w:line="360" w:lineRule="auto" w:after="120"/>
        <w:jc w:val="both"/>
      </w:pPr>
      <w:r>
        <w:rPr>
          <w:rFonts w:ascii="Arial" w:hAnsi="Arial"/>
          <w:color w:val="000000"/>
          <w:sz w:val="24"/>
        </w:rPr>
        <w:t>Minnesota Department of Education (2022). K–12 Academic Standards in Mathematics, 2022 Version. State of Minnesota.</w:t>
      </w:r>
    </w:p>
    <w:p>
      <w:pPr>
        <w:spacing w:line="360" w:lineRule="auto" w:after="120"/>
        <w:jc w:val="both"/>
      </w:pPr>
      <w:r>
        <w:rPr>
          <w:rFonts w:ascii="Arial" w:hAnsi="Arial"/>
          <w:color w:val="000000"/>
          <w:sz w:val="24"/>
        </w:rPr>
        <w:t>Common Core State Standards Initiative (2010). Common Core State Standards for Mathematics. www.corestandards.org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