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19918">
      <w:pPr>
        <w:pStyle w:val="2"/>
      </w:pPr>
      <w:r>
        <w:t>《风芒可测——面向新能源消纳的多模型融合功率预测与交易优化系统》项目计划书</w:t>
      </w:r>
    </w:p>
    <w:p w14:paraId="750FBCF4">
      <w:pPr>
        <w:pStyle w:val="3"/>
        <w:numPr>
          <w:ilvl w:val="0"/>
          <w:numId w:val="1"/>
        </w:numPr>
      </w:pPr>
      <w:r>
        <w:t>项目背景</w:t>
      </w:r>
    </w:p>
    <w:p w14:paraId="5494A464">
      <w:pPr>
        <w:keepNext/>
        <w:keepLines/>
        <w:widowControl w:val="0"/>
        <w:spacing w:before="260" w:beforeLines="0" w:beforeAutospacing="0" w:after="260" w:afterLines="0" w:afterAutospacing="0" w:line="413" w:lineRule="auto"/>
        <w:jc w:val="both"/>
        <w:outlineLvl w:val="1"/>
        <w:rPr>
          <w:rFonts w:hint="eastAsia" w:ascii="Arial" w:hAnsi="Arial" w:eastAsia="黑体" w:cstheme="minorBidi"/>
          <w:b/>
          <w:kern w:val="2"/>
          <w:sz w:val="32"/>
          <w:szCs w:val="24"/>
          <w:lang w:val="en-US" w:eastAsia="zh-CN" w:bidi="ar-SA"/>
        </w:rPr>
      </w:pPr>
      <w:r>
        <w:rPr>
          <w:rFonts w:hint="eastAsia" w:ascii="Arial" w:hAnsi="Arial" w:eastAsia="黑体" w:cstheme="minorBidi"/>
          <w:b/>
          <w:kern w:val="2"/>
          <w:sz w:val="32"/>
          <w:szCs w:val="24"/>
          <w:lang w:val="en-US" w:eastAsia="zh-CN" w:bidi="ar-SA"/>
        </w:rPr>
        <w:t>1.1 “十五五”规划下的新型电力系统挑战</w:t>
      </w:r>
    </w:p>
    <w:p w14:paraId="6E3CC5D1">
      <w:pPr>
        <w:widowControl w:val="0"/>
        <w:numPr>
          <w:numId w:val="0"/>
        </w:numPr>
        <w:ind w:left="0" w:leftChars="0" w:firstLine="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十五五”时期（2026-2030年）是我国实现碳达峰的关键期，也是推动能源高质量发展的窗口期。国家“十五五”电力规划明确提出：到2030年，非化石能源消费比重达到25%左右，风电、太阳能发电总装机容量超过12亿千瓦。新能源的大规模并网对电力系统的安全稳定运行提出了前所未有的挑战——新能源的间歇性、波动性导致电网调峰压力剧增，弃风弃光现象时有发生。构建以新能源为主体的新型电力系统，亟需高精度的功率预测技术来支撑电网调度与市场交易。</w:t>
      </w:r>
    </w:p>
    <w:p w14:paraId="212DED25">
      <w:pPr>
        <w:keepNext/>
        <w:keepLines/>
        <w:widowControl w:val="0"/>
        <w:spacing w:before="260" w:beforeLines="0" w:beforeAutospacing="0" w:after="260" w:afterLines="0" w:afterAutospacing="0" w:line="413" w:lineRule="auto"/>
        <w:jc w:val="both"/>
        <w:outlineLvl w:val="1"/>
        <w:rPr>
          <w:rFonts w:hint="eastAsia" w:ascii="Arial" w:hAnsi="Arial" w:eastAsia="黑体" w:cstheme="minorBidi"/>
          <w:b/>
          <w:kern w:val="2"/>
          <w:sz w:val="32"/>
          <w:szCs w:val="24"/>
          <w:lang w:val="en-US" w:eastAsia="zh-CN" w:bidi="ar-SA"/>
        </w:rPr>
      </w:pPr>
      <w:r>
        <w:rPr>
          <w:rFonts w:hint="eastAsia" w:ascii="Arial" w:hAnsi="Arial" w:eastAsia="黑体" w:cstheme="minorBidi"/>
          <w:b/>
          <w:kern w:val="2"/>
          <w:sz w:val="32"/>
          <w:szCs w:val="24"/>
          <w:lang w:val="en-US" w:eastAsia="zh-CN" w:bidi="ar-SA"/>
        </w:rPr>
        <w:t xml:space="preserve">1.2 </w:t>
      </w:r>
      <w:r>
        <w:rPr>
          <w:rFonts w:hint="eastAsia" w:ascii="Arial" w:hAnsi="Arial" w:eastAsia="黑体" w:cstheme="minorBidi"/>
          <w:b/>
          <w:kern w:val="2"/>
          <w:sz w:val="32"/>
          <w:szCs w:val="24"/>
          <w:lang w:val="en-US" w:eastAsia="zh-CN" w:bidi="ar-SA"/>
        </w:rPr>
        <w:tab/>
        <w:t>AI时代的电力稀缺性</w:t>
      </w:r>
    </w:p>
    <w:p w14:paraId="0E3E0C18">
      <w:pPr>
        <w:widowControl w:val="0"/>
        <w:numPr>
          <w:numId w:val="0"/>
        </w:numPr>
        <w:ind w:left="0" w:leftChars="0" w:firstLine="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随着人工智能技术的爆发式增长，大模型（如OpenAI的GPT系列、DeepSeek等）的算力需求呈指数级上升。据国际能源署（IEA）预测，到2026年，数据中心的电力消耗将占全球总用电量的4%以上，AI训练和推理的用电量每年增长15%-20%。每一次API调用、每一次token生成背后都是实实在在的电力消耗。在“双碳”约束下，电力已成为一种稀缺资源——如何精准预测电力负荷、优化用能策略，不仅是发电侧的需求，更是全社会降本增效的关键。</w:t>
      </w:r>
    </w:p>
    <w:p w14:paraId="372BDCA3">
      <w:pPr>
        <w:keepNext/>
        <w:keepLines/>
        <w:widowControl w:val="0"/>
        <w:spacing w:before="260" w:beforeLines="0" w:beforeAutospacing="0" w:after="260" w:afterLines="0" w:afterAutospacing="0" w:line="413" w:lineRule="auto"/>
        <w:jc w:val="both"/>
        <w:outlineLvl w:val="1"/>
        <w:rPr>
          <w:rFonts w:hint="eastAsia" w:ascii="Arial" w:hAnsi="Arial" w:eastAsia="黑体" w:cstheme="minorBidi"/>
          <w:b/>
          <w:kern w:val="2"/>
          <w:sz w:val="32"/>
          <w:szCs w:val="24"/>
          <w:lang w:val="en-US" w:eastAsia="zh-CN" w:bidi="ar-SA"/>
        </w:rPr>
      </w:pPr>
      <w:r>
        <w:rPr>
          <w:rFonts w:hint="eastAsia" w:ascii="Arial" w:hAnsi="Arial" w:eastAsia="黑体" w:cstheme="minorBidi"/>
          <w:b/>
          <w:kern w:val="2"/>
          <w:sz w:val="32"/>
          <w:szCs w:val="24"/>
          <w:lang w:val="en-US" w:eastAsia="zh-CN" w:bidi="ar-SA"/>
        </w:rPr>
        <w:t>1.3 从“被动调度”到“主动交易”的转变</w:t>
      </w:r>
    </w:p>
    <w:p w14:paraId="7C68D194">
      <w:pPr>
        <w:widowControl w:val="0"/>
        <w:numPr>
          <w:numId w:val="0"/>
        </w:numPr>
        <w:ind w:left="0" w:leftChars="0" w:firstLine="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2025年发布的《关于深化新能源上网电价市场化改革促进新能源高质量发展的通知》明确，新能源项目需全面进入电力市场，通过市场化交易实现收益。准确的功率预测不仅关乎电网安全，更直接影响发电企业的交易收益——预测偏差将导致偏差考核、交易亏损等问题。因此，本项目聚焦新能源功率预测与交易优化的结合点，以工业工程的系统优化思维为指导，构建“预测-交易-优化”一体化平台，助力新型电力系统下的能源高效利用。</w:t>
      </w:r>
    </w:p>
    <w:p w14:paraId="6A9776AB">
      <w:pPr>
        <w:pStyle w:val="3"/>
      </w:pPr>
      <w:r>
        <w:t>二、作品名称</w:t>
      </w:r>
    </w:p>
    <w:p w14:paraId="528B110A">
      <w:r>
        <w:rPr>
          <w:b/>
        </w:rPr>
        <w:t>《风芒可测——面向新能源消纳的多模型融合功率预测与交易优化系统》</w:t>
      </w:r>
    </w:p>
    <w:p w14:paraId="4F12480A">
      <w:pPr>
        <w:pStyle w:val="3"/>
      </w:pPr>
      <w:r>
        <w:t>三、系统总体框架</w:t>
      </w:r>
    </w:p>
    <w:p w14:paraId="6C4E0C57">
      <w:pPr>
        <w:pStyle w:val="4"/>
      </w:pPr>
      <w:r>
        <w:t>3.1 三层架构</w:t>
      </w:r>
    </w:p>
    <w:p w14:paraId="7ECE50C3">
      <w:pPr>
        <w:pStyle w:val="6"/>
        <w:shd w:val="clear" w:color="auto" w:fill="FFFFFF"/>
        <w:spacing w:before="0" w:beforeAutospacing="0" w:after="0" w:afterAutospacing="0"/>
        <w:rPr>
          <w:rFonts w:ascii="Segoe UI" w:hAnsi="Segoe UI" w:cs="Segoe UI"/>
          <w:color w:val="0D0D0D"/>
        </w:rPr>
      </w:pPr>
      <w:r>
        <w:rPr>
          <w:rFonts w:ascii="Segoe UI" w:hAnsi="Segoe UI" w:cs="Segoe UI"/>
          <w:color w:val="0D0D0D"/>
        </w:rPr>
        <w:t>采用三层架构，分别为数据层、模型层和应用层，各层具体模块及功能如下：</w:t>
      </w:r>
    </w:p>
    <w:p w14:paraId="4BFD326A">
      <w:pPr>
        <w:pStyle w:val="5"/>
        <w:shd w:val="clear" w:color="auto" w:fill="FFFFFF"/>
        <w:spacing w:before="0" w:after="0" w:line="420" w:lineRule="atLeast"/>
        <w:rPr>
          <w:rFonts w:ascii="PingFangSC-Semibold" w:hAnsi="PingFangSC-Semibold" w:cs="宋体"/>
          <w:color w:val="0D0D0D"/>
          <w:sz w:val="24"/>
          <w:szCs w:val="24"/>
        </w:rPr>
      </w:pPr>
      <w:r>
        <w:rPr>
          <w:rFonts w:ascii="PingFangSC-Semibold" w:hAnsi="PingFangSC-Semibold"/>
          <w:color w:val="0D0D0D"/>
          <w:sz w:val="24"/>
          <w:szCs w:val="24"/>
        </w:rPr>
        <w:t>数据层</w:t>
      </w:r>
    </w:p>
    <w:p w14:paraId="4B83E3CD">
      <w:pPr>
        <w:pStyle w:val="6"/>
        <w:shd w:val="clear" w:color="auto" w:fill="FFFFFF"/>
        <w:spacing w:before="0" w:beforeAutospacing="0" w:after="0" w:afterAutospacing="0"/>
        <w:rPr>
          <w:rFonts w:ascii="Segoe UI" w:hAnsi="Segoe UI" w:cs="Segoe UI"/>
          <w:color w:val="0D0D0D"/>
        </w:rPr>
      </w:pPr>
      <w:r>
        <w:rPr>
          <w:rFonts w:ascii="Segoe UI" w:hAnsi="Segoe UI" w:cs="Segoe UI"/>
          <w:color w:val="0D0D0D"/>
        </w:rPr>
        <w:t>数据层是整个系统的基础，负责接入和处理多种来源的数据，为模型层提供全面的数据支持。具体包含以下数据模块：</w:t>
      </w:r>
    </w:p>
    <w:p w14:paraId="1DC6FA67">
      <w:pPr>
        <w:widowControl/>
        <w:shd w:val="clear" w:color="auto" w:fill="FFFFFF"/>
        <w:jc w:val="left"/>
        <w:rPr>
          <w:rFonts w:ascii="Segoe UI" w:hAnsi="Segoe UI" w:cs="Segoe UI"/>
          <w:color w:val="0D0D0D"/>
        </w:rPr>
      </w:pPr>
      <w:r>
        <w:rPr>
          <w:rStyle w:val="9"/>
          <w:rFonts w:hint="eastAsia" w:ascii="Segoe UI" w:hAnsi="Segoe UI" w:cs="Segoe UI"/>
          <w:color w:val="0D0D0D"/>
        </w:rPr>
        <w:t xml:space="preserve"> </w:t>
      </w:r>
      <w:r>
        <w:rPr>
          <w:rStyle w:val="9"/>
          <w:rFonts w:ascii="Segoe UI" w:hAnsi="Segoe UI" w:cs="Segoe UI"/>
          <w:color w:val="0D0D0D"/>
        </w:rPr>
        <w:t xml:space="preserve">   历史功率数据模块</w:t>
      </w:r>
      <w:r>
        <w:rPr>
          <w:rFonts w:ascii="Segoe UI" w:hAnsi="Segoe UI" w:cs="Segoe UI"/>
          <w:color w:val="0D0D0D"/>
        </w:rPr>
        <w:t>：收集和存储新能源（如风电、光伏）过去一段时间内的功率输出数据，这些数据反映了新能源发电的历史规律和波动情况。</w:t>
      </w:r>
    </w:p>
    <w:p w14:paraId="75810D78">
      <w:pPr>
        <w:widowControl/>
        <w:shd w:val="clear" w:color="auto" w:fill="FFFFFF"/>
        <w:jc w:val="left"/>
        <w:rPr>
          <w:rFonts w:ascii="Segoe UI" w:hAnsi="Segoe UI" w:cs="Segoe UI"/>
          <w:color w:val="0D0D0D"/>
        </w:rPr>
      </w:pPr>
      <w:r>
        <w:rPr>
          <w:rStyle w:val="9"/>
          <w:rFonts w:hint="eastAsia" w:ascii="Segoe UI" w:hAnsi="Segoe UI" w:cs="Segoe UI"/>
          <w:color w:val="0D0D0D"/>
        </w:rPr>
        <w:t xml:space="preserve"> </w:t>
      </w:r>
      <w:r>
        <w:rPr>
          <w:rStyle w:val="9"/>
          <w:rFonts w:ascii="Segoe UI" w:hAnsi="Segoe UI" w:cs="Segoe UI"/>
          <w:color w:val="0D0D0D"/>
        </w:rPr>
        <w:t xml:space="preserve">   气象数据模块</w:t>
      </w:r>
      <w:r>
        <w:rPr>
          <w:rFonts w:ascii="Segoe UI" w:hAnsi="Segoe UI" w:cs="Segoe UI"/>
          <w:color w:val="0D0D0D"/>
        </w:rPr>
        <w:t>：接入风速、辐照度等关键气象数据。气象条件对新能源发电功率有着直接影</w:t>
      </w:r>
      <w:r>
        <w:rPr>
          <w:rFonts w:hint="eastAsia" w:ascii="Segoe UI" w:hAnsi="Segoe UI" w:cs="Segoe UI"/>
          <w:color w:val="0D0D0D"/>
        </w:rPr>
        <w:t xml:space="preserve"> </w:t>
      </w:r>
      <w:r>
        <w:rPr>
          <w:rFonts w:ascii="Segoe UI" w:hAnsi="Segoe UI" w:cs="Segoe UI"/>
          <w:color w:val="0D0D0D"/>
        </w:rPr>
        <w:t>响，例如风速影响风电功率，辐照度影响光伏功率。</w:t>
      </w:r>
    </w:p>
    <w:p w14:paraId="72EE9C71">
      <w:pPr>
        <w:widowControl/>
        <w:shd w:val="clear" w:color="auto" w:fill="FFFFFF"/>
        <w:jc w:val="left"/>
        <w:rPr>
          <w:rFonts w:ascii="Segoe UI" w:hAnsi="Segoe UI" w:cs="Segoe UI"/>
          <w:color w:val="0D0D0D"/>
        </w:rPr>
      </w:pPr>
      <w:r>
        <w:rPr>
          <w:rStyle w:val="9"/>
          <w:rFonts w:hint="eastAsia" w:ascii="Segoe UI" w:hAnsi="Segoe UI" w:cs="Segoe UI"/>
          <w:color w:val="0D0D0D"/>
        </w:rPr>
        <w:t xml:space="preserve"> </w:t>
      </w:r>
      <w:r>
        <w:rPr>
          <w:rStyle w:val="9"/>
          <w:rFonts w:ascii="Segoe UI" w:hAnsi="Segoe UI" w:cs="Segoe UI"/>
          <w:color w:val="0D0D0D"/>
        </w:rPr>
        <w:t xml:space="preserve">   日历特征模块</w:t>
      </w:r>
      <w:r>
        <w:rPr>
          <w:rFonts w:ascii="Segoe UI" w:hAnsi="Segoe UI" w:cs="Segoe UI"/>
          <w:color w:val="0D0D0D"/>
        </w:rPr>
        <w:t>：包含日期、星期、节假日等日历信息。这些特征可以帮助模型捕捉到不同时间段的发电模式差异，例如工作日和周末的用电需求和发电情况可能不同。</w:t>
      </w:r>
    </w:p>
    <w:p w14:paraId="46F491F6">
      <w:pPr>
        <w:widowControl/>
        <w:shd w:val="clear" w:color="auto" w:fill="FFFFFF"/>
        <w:jc w:val="left"/>
        <w:rPr>
          <w:rFonts w:ascii="Segoe UI" w:hAnsi="Segoe UI" w:cs="Segoe UI"/>
          <w:color w:val="0D0D0D"/>
        </w:rPr>
      </w:pPr>
      <w:r>
        <w:rPr>
          <w:rStyle w:val="9"/>
          <w:rFonts w:hint="eastAsia" w:ascii="Segoe UI" w:hAnsi="Segoe UI" w:cs="Segoe UI"/>
          <w:color w:val="0D0D0D"/>
        </w:rPr>
        <w:t xml:space="preserve"> </w:t>
      </w:r>
      <w:r>
        <w:rPr>
          <w:rStyle w:val="9"/>
          <w:rFonts w:ascii="Segoe UI" w:hAnsi="Segoe UI" w:cs="Segoe UI"/>
          <w:color w:val="0D0D0D"/>
        </w:rPr>
        <w:t xml:space="preserve">   电价数据模块</w:t>
      </w:r>
      <w:r>
        <w:rPr>
          <w:rFonts w:ascii="Segoe UI" w:hAnsi="Segoe UI" w:cs="Segoe UI"/>
          <w:color w:val="0D0D0D"/>
        </w:rPr>
        <w:t>：提供实时电价和预测电价信息。电价数据对于交易优化模块至关重要，它影响着新能源发电企业的买卖电决策和盈亏分析。</w:t>
      </w:r>
    </w:p>
    <w:p w14:paraId="2F906E66">
      <w:pPr>
        <w:pStyle w:val="5"/>
        <w:shd w:val="clear" w:color="auto" w:fill="FFFFFF"/>
        <w:spacing w:before="0" w:after="0" w:line="420" w:lineRule="atLeast"/>
        <w:rPr>
          <w:rFonts w:ascii="PingFangSC-Semibold" w:hAnsi="PingFangSC-Semibold" w:cs="宋体"/>
          <w:color w:val="0D0D0D"/>
          <w:sz w:val="24"/>
          <w:szCs w:val="24"/>
        </w:rPr>
      </w:pPr>
      <w:r>
        <w:rPr>
          <w:rFonts w:ascii="PingFangSC-Semibold" w:hAnsi="PingFangSC-Semibold"/>
          <w:color w:val="0D0D0D"/>
          <w:sz w:val="24"/>
          <w:szCs w:val="24"/>
        </w:rPr>
        <w:t>模型层</w:t>
      </w:r>
    </w:p>
    <w:p w14:paraId="52E80556">
      <w:pPr>
        <w:pStyle w:val="6"/>
        <w:shd w:val="clear" w:color="auto" w:fill="FFFFFF"/>
        <w:spacing w:before="0" w:beforeAutospacing="0" w:after="0" w:afterAutospacing="0"/>
        <w:rPr>
          <w:rFonts w:ascii="Segoe UI" w:hAnsi="Segoe UI" w:cs="Segoe UI"/>
          <w:color w:val="0D0D0D"/>
        </w:rPr>
      </w:pPr>
      <w:r>
        <w:rPr>
          <w:rFonts w:ascii="Segoe UI" w:hAnsi="Segoe UI" w:cs="Segoe UI"/>
          <w:color w:val="0D0D0D"/>
        </w:rPr>
        <w:t>模型层是系统的核心，通过多模型融合的方式提高功率预测的准确性。具体包含以下模块：</w:t>
      </w:r>
    </w:p>
    <w:p w14:paraId="2A219C9E">
      <w:pPr>
        <w:widowControl/>
        <w:shd w:val="clear" w:color="auto" w:fill="FFFFFF"/>
        <w:ind w:firstLine="422" w:firstLineChars="200"/>
        <w:jc w:val="left"/>
        <w:rPr>
          <w:rFonts w:ascii="Segoe UI" w:hAnsi="Segoe UI" w:cs="Segoe UI"/>
          <w:color w:val="0D0D0D"/>
        </w:rPr>
      </w:pPr>
      <w:r>
        <w:rPr>
          <w:rStyle w:val="9"/>
          <w:rFonts w:ascii="Segoe UI" w:hAnsi="Segoe UI" w:cs="Segoe UI"/>
          <w:color w:val="0D0D0D"/>
        </w:rPr>
        <w:t>基础预测模型模块</w:t>
      </w:r>
      <w:r>
        <w:rPr>
          <w:rFonts w:ascii="Segoe UI" w:hAnsi="Segoe UI" w:cs="Segoe UI"/>
          <w:color w:val="0D0D0D"/>
        </w:rPr>
        <w:t>：并行运行多个不同的预测模型，包括LSTM（长短期记忆网络）、XGBoost（极端梯度提升）、GRU（门控循环单元）等。这些模型各有优势，例如LSTM和GRU适合处理时间序列数据，能够捕捉数据中的长期依赖关系；XGBoost则擅长处理结构化数据，具有较高的预测精度和鲁棒性。</w:t>
      </w:r>
    </w:p>
    <w:p w14:paraId="66823436">
      <w:pPr>
        <w:widowControl/>
        <w:shd w:val="clear" w:color="auto" w:fill="FFFFFF"/>
        <w:ind w:firstLine="422" w:firstLineChars="200"/>
        <w:jc w:val="left"/>
        <w:rPr>
          <w:rFonts w:ascii="Segoe UI" w:hAnsi="Segoe UI" w:cs="Segoe UI"/>
          <w:color w:val="0D0D0D"/>
        </w:rPr>
      </w:pPr>
      <w:r>
        <w:rPr>
          <w:rStyle w:val="9"/>
          <w:rFonts w:ascii="Segoe UI" w:hAnsi="Segoe UI" w:cs="Segoe UI"/>
          <w:color w:val="0D0D0D"/>
        </w:rPr>
        <w:t>模型融合层</w:t>
      </w:r>
      <w:r>
        <w:rPr>
          <w:rFonts w:ascii="Segoe UI" w:hAnsi="Segoe UI" w:cs="Segoe UI"/>
          <w:color w:val="0D0D0D"/>
        </w:rPr>
        <w:t>：采用Stacking或加权平均等方法对多个基础预测模型的输出进行融合。Stacking方法通过构建一个元模型来综合各个基础模型的结果，而加权平均则是根据各个模型的性能赋予不同的权重，然后将加权后的结果进行平均。通过模型融合，可以充分发挥不同模型的优势，提高整体预测的准确性。</w:t>
      </w:r>
    </w:p>
    <w:p w14:paraId="2C19DB27">
      <w:pPr>
        <w:pStyle w:val="5"/>
        <w:shd w:val="clear" w:color="auto" w:fill="FFFFFF"/>
        <w:spacing w:before="0" w:after="0" w:line="420" w:lineRule="atLeast"/>
        <w:rPr>
          <w:rFonts w:ascii="PingFangSC-Semibold" w:hAnsi="PingFangSC-Semibold" w:cs="宋体"/>
          <w:color w:val="0D0D0D"/>
          <w:sz w:val="24"/>
          <w:szCs w:val="24"/>
        </w:rPr>
      </w:pPr>
      <w:r>
        <w:rPr>
          <w:rFonts w:ascii="PingFangSC-Semibold" w:hAnsi="PingFangSC-Semibold"/>
          <w:color w:val="0D0D0D"/>
          <w:sz w:val="24"/>
          <w:szCs w:val="24"/>
        </w:rPr>
        <w:t>应用层</w:t>
      </w:r>
    </w:p>
    <w:p w14:paraId="76F93158">
      <w:pPr>
        <w:pStyle w:val="6"/>
        <w:shd w:val="clear" w:color="auto" w:fill="FFFFFF"/>
        <w:spacing w:before="0" w:beforeAutospacing="0" w:after="0" w:afterAutospacing="0"/>
        <w:rPr>
          <w:rFonts w:ascii="Segoe UI" w:hAnsi="Segoe UI" w:cs="Segoe UI"/>
          <w:color w:val="0D0D0D"/>
        </w:rPr>
      </w:pPr>
      <w:r>
        <w:rPr>
          <w:rFonts w:ascii="Segoe UI" w:hAnsi="Segoe UI" w:cs="Segoe UI"/>
          <w:color w:val="0D0D0D"/>
        </w:rPr>
        <w:t>应用层将模型层的预测结果应用于实际业务场景，为新能源发电企业提供决策支持和可视化展示。具体包含以下模块：</w:t>
      </w:r>
    </w:p>
    <w:p w14:paraId="50E6F66D">
      <w:pPr>
        <w:widowControl/>
        <w:shd w:val="clear" w:color="auto" w:fill="FFFFFF"/>
        <w:ind w:firstLine="422" w:firstLineChars="200"/>
        <w:jc w:val="left"/>
        <w:rPr>
          <w:rFonts w:ascii="Segoe UI" w:hAnsi="Segoe UI" w:cs="Segoe UI"/>
          <w:color w:val="0D0D0D"/>
        </w:rPr>
      </w:pPr>
      <w:r>
        <w:rPr>
          <w:rStyle w:val="9"/>
          <w:rFonts w:ascii="Segoe UI" w:hAnsi="Segoe UI" w:cs="Segoe UI"/>
          <w:color w:val="0D0D0D"/>
        </w:rPr>
        <w:t>交易优化模块</w:t>
      </w:r>
      <w:r>
        <w:rPr>
          <w:rFonts w:ascii="Segoe UI" w:hAnsi="Segoe UI" w:cs="Segoe UI"/>
          <w:color w:val="0D0D0D"/>
        </w:rPr>
        <w:t>：根据功率预测结果和电价数据，为发电企业提供买卖电建议。通过分析不同时间段的电价和预测发电功率，帮助企业制定最优的交易策略，实现盈亏最大化。同时，该模块还提供需量控制功能，帮助企业合理安排发电计划，避免因发电功率超出需求而造成的浪费。</w:t>
      </w:r>
    </w:p>
    <w:p w14:paraId="72D62333">
      <w:r>
        <w:rPr>
          <w:rStyle w:val="9"/>
          <w:rFonts w:ascii="Segoe UI" w:hAnsi="Segoe UI" w:cs="Segoe UI"/>
          <w:color w:val="0D0D0D"/>
        </w:rPr>
        <w:t>三时段预测展示模块</w:t>
      </w:r>
      <w:r>
        <w:rPr>
          <w:rFonts w:ascii="Segoe UI" w:hAnsi="Segoe UI" w:cs="Segoe UI"/>
          <w:color w:val="0D0D0D"/>
        </w:rPr>
        <w:t>：以直观的方式展示下一天、下周和下月的功率预测结果。通过图表、曲线等形式，让用户清晰地了解未来不同时间段的发电功率趋势，为企业的生产计划和交易决策提供参考</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768"/>
        <w:gridCol w:w="2768"/>
        <w:gridCol w:w="2768"/>
      </w:tblGrid>
      <w:tr w14:paraId="20901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1ADECEA">
            <w:pPr>
              <w:jc w:val="center"/>
              <w:rPr>
                <w:b/>
              </w:rPr>
            </w:pPr>
            <w:r>
              <w:rPr>
                <w:b/>
              </w:rPr>
              <w:t>层级</w:t>
            </w:r>
          </w:p>
        </w:tc>
        <w:tc>
          <w:tcPr>
            <w:tcW w:w="0" w:type="auto"/>
            <w:tcMar>
              <w:left w:w="108" w:type="dxa"/>
              <w:right w:w="108" w:type="dxa"/>
            </w:tcMar>
            <w:vAlign w:val="center"/>
          </w:tcPr>
          <w:p w14:paraId="3E47547C">
            <w:pPr>
              <w:jc w:val="center"/>
              <w:rPr>
                <w:b/>
              </w:rPr>
            </w:pPr>
            <w:r>
              <w:rPr>
                <w:b/>
              </w:rPr>
              <w:t>模块</w:t>
            </w:r>
          </w:p>
        </w:tc>
        <w:tc>
          <w:tcPr>
            <w:tcW w:w="0" w:type="auto"/>
            <w:tcMar>
              <w:left w:w="108" w:type="dxa"/>
              <w:right w:w="108" w:type="dxa"/>
            </w:tcMar>
            <w:vAlign w:val="center"/>
          </w:tcPr>
          <w:p w14:paraId="2777559C">
            <w:pPr>
              <w:jc w:val="center"/>
              <w:rPr>
                <w:b/>
              </w:rPr>
            </w:pPr>
            <w:r>
              <w:rPr>
                <w:b/>
              </w:rPr>
              <w:t>核心功能</w:t>
            </w:r>
          </w:p>
        </w:tc>
      </w:tr>
      <w:tr w14:paraId="1E799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E0643FB">
            <w:r>
              <w:rPr>
                <w:b/>
              </w:rPr>
              <w:t>数据层</w:t>
            </w:r>
          </w:p>
        </w:tc>
        <w:tc>
          <w:tcPr>
            <w:tcW w:w="0" w:type="auto"/>
            <w:tcMar>
              <w:left w:w="108" w:type="dxa"/>
              <w:right w:w="108" w:type="dxa"/>
            </w:tcMar>
            <w:vAlign w:val="center"/>
          </w:tcPr>
          <w:p w14:paraId="2AEA3FDE">
            <w:r>
              <w:t>多源数据融合</w:t>
            </w:r>
          </w:p>
        </w:tc>
        <w:tc>
          <w:tcPr>
            <w:tcW w:w="0" w:type="auto"/>
            <w:tcMar>
              <w:left w:w="108" w:type="dxa"/>
              <w:right w:w="108" w:type="dxa"/>
            </w:tcMar>
            <w:vAlign w:val="center"/>
          </w:tcPr>
          <w:p w14:paraId="34514798">
            <w:r>
              <w:t>接入历史功率数据、气象数据（风速/辐照度）、日历特征、电价数据</w:t>
            </w:r>
          </w:p>
        </w:tc>
      </w:tr>
      <w:tr w14:paraId="70CF0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BCA7415">
            <w:r>
              <w:rPr>
                <w:b/>
              </w:rPr>
              <w:t>模型层</w:t>
            </w:r>
          </w:p>
        </w:tc>
        <w:tc>
          <w:tcPr>
            <w:tcW w:w="0" w:type="auto"/>
            <w:tcMar>
              <w:left w:w="108" w:type="dxa"/>
              <w:right w:w="108" w:type="dxa"/>
            </w:tcMar>
            <w:vAlign w:val="center"/>
          </w:tcPr>
          <w:p w14:paraId="3A3B2CFA">
            <w:r>
              <w:t>多模型融合预测</w:t>
            </w:r>
          </w:p>
        </w:tc>
        <w:tc>
          <w:tcPr>
            <w:tcW w:w="0" w:type="auto"/>
            <w:tcMar>
              <w:left w:w="108" w:type="dxa"/>
              <w:right w:w="108" w:type="dxa"/>
            </w:tcMar>
            <w:vAlign w:val="center"/>
          </w:tcPr>
          <w:p w14:paraId="7E5AEF4C">
            <w:r>
              <w:t>并行运行多个模型，通过Stacking/加权平均进行融合输出</w:t>
            </w:r>
          </w:p>
        </w:tc>
      </w:tr>
      <w:tr w14:paraId="0BD0A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2BF675A">
            <w:r>
              <w:rPr>
                <w:b/>
              </w:rPr>
              <w:t>应用层</w:t>
            </w:r>
          </w:p>
        </w:tc>
        <w:tc>
          <w:tcPr>
            <w:tcW w:w="0" w:type="auto"/>
            <w:tcMar>
              <w:left w:w="108" w:type="dxa"/>
              <w:right w:w="108" w:type="dxa"/>
            </w:tcMar>
            <w:vAlign w:val="center"/>
          </w:tcPr>
          <w:p w14:paraId="3F3EE6DB">
            <w:r>
              <w:t>交易优化与可视化</w:t>
            </w:r>
          </w:p>
        </w:tc>
        <w:tc>
          <w:tcPr>
            <w:tcW w:w="0" w:type="auto"/>
            <w:tcMar>
              <w:left w:w="108" w:type="dxa"/>
              <w:right w:w="108" w:type="dxa"/>
            </w:tcMar>
            <w:vAlign w:val="center"/>
          </w:tcPr>
          <w:p w14:paraId="196AA6CB">
            <w:r>
              <w:t>买/卖电建议、盈亏分析、需量控制、三时段预测展示</w:t>
            </w:r>
          </w:p>
        </w:tc>
      </w:tr>
    </w:tbl>
    <w:p w14:paraId="159308E6">
      <w:pPr>
        <w:pStyle w:val="4"/>
      </w:pPr>
      <w:r>
        <w:t>3.2 技术路线图</w:t>
      </w:r>
    </w:p>
    <w:p w14:paraId="7AAAFBB1">
      <w:r>
        <w:drawing>
          <wp:inline distT="0" distB="0" distL="114300" distR="114300">
            <wp:extent cx="5267325" cy="3940810"/>
            <wp:effectExtent l="0" t="0" r="317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325" cy="3940810"/>
                    </a:xfrm>
                    <a:prstGeom prst="rect">
                      <a:avLst/>
                    </a:prstGeom>
                    <a:noFill/>
                    <a:ln>
                      <a:noFill/>
                    </a:ln>
                  </pic:spPr>
                </pic:pic>
              </a:graphicData>
            </a:graphic>
          </wp:inline>
        </w:drawing>
      </w:r>
    </w:p>
    <w:p w14:paraId="6B4B8BE6">
      <w:pPr>
        <w:pStyle w:val="3"/>
      </w:pPr>
      <w:r>
        <w:t>四、技术创新点</w:t>
      </w:r>
    </w:p>
    <w:p w14:paraId="3C3A6455">
      <w:pPr>
        <w:pStyle w:val="4"/>
      </w:pPr>
      <w:r>
        <w:t>4.1 模型融合策略</w:t>
      </w:r>
    </w:p>
    <w:p w14:paraId="189F82B3">
      <w:r>
        <w:t>参考山东农业大学在挑战杯项目中的经验，融合模型较单一算法</w:t>
      </w:r>
      <w:r>
        <w:rPr>
          <w:b/>
        </w:rPr>
        <w:t>预测误差可降低15.7%</w:t>
      </w:r>
      <w:r>
        <w:t>，对可再生能源接入场景的适应性提升23.5%。我们将实现：</w:t>
      </w:r>
    </w:p>
    <w:p w14:paraId="52E70CBF">
      <w:pPr>
        <w:numPr>
          <w:ilvl w:val="0"/>
          <w:numId w:val="2"/>
        </w:numPr>
        <w:spacing w:before="0" w:after="0"/>
        <w:ind w:left="720" w:hanging="360"/>
      </w:pPr>
      <w:r>
        <w:rPr>
          <w:b/>
        </w:rPr>
        <w:t>基学习器</w:t>
      </w:r>
      <w:r>
        <w:t>：LSTM（长短期记忆网络）、XGBoost（梯度提升树）、</w:t>
      </w:r>
      <w:r>
        <w:rPr>
          <w:rFonts w:hint="eastAsia"/>
          <w:lang w:val="en-US" w:eastAsia="zh-CN"/>
        </w:rPr>
        <w:t>Moirai（时间序列预测大模型）</w:t>
      </w:r>
      <w:r>
        <w:rPr>
          <w:b/>
        </w:rPr>
        <w:t>融合策略</w:t>
      </w:r>
      <w:r>
        <w:t>：Stacking集成 + 动态权重调整（根据天气类型动态分配模型权重）</w:t>
      </w:r>
    </w:p>
    <w:p w14:paraId="4FB71C08">
      <w:pPr>
        <w:numPr>
          <w:ilvl w:val="0"/>
          <w:numId w:val="2"/>
        </w:numPr>
        <w:spacing w:before="0" w:after="0"/>
        <w:ind w:left="720" w:hanging="360"/>
      </w:pPr>
      <w:r>
        <w:rPr>
          <w:b/>
        </w:rPr>
        <w:t>特征工程</w:t>
      </w:r>
      <w:r>
        <w:t>：融合气象因子、</w:t>
      </w:r>
      <w:r>
        <w:rPr>
          <w:rFonts w:hint="eastAsia"/>
          <w:lang w:val="en-US" w:eastAsia="zh-CN"/>
        </w:rPr>
        <w:t>风力、新能源</w:t>
      </w:r>
      <w:r>
        <w:t>指标</w:t>
      </w:r>
    </w:p>
    <w:p w14:paraId="6316407E">
      <w:r>
        <w:t>IEEE最新研究也表明，</w:t>
      </w:r>
      <w:r>
        <w:rPr>
          <w:b/>
          <w:bCs/>
        </w:rPr>
        <w:t>CNN-GRU等融合模型</w:t>
      </w:r>
      <w:r>
        <w:t>在负荷预测中表现优于单一模型，可显著提升MAE、RMSE等指标。</w:t>
      </w:r>
    </w:p>
    <w:p w14:paraId="731D7E3B">
      <w:pPr>
        <w:pStyle w:val="4"/>
      </w:pPr>
      <w:r>
        <w:t>4.2 多时间尺度预测</w:t>
      </w:r>
    </w:p>
    <w:p w14:paraId="6A683214">
      <w:r>
        <w:t>参考XGB-Informer模型的研究思路，实现三个时间尺度的预测：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768"/>
        <w:gridCol w:w="2768"/>
        <w:gridCol w:w="2768"/>
      </w:tblGrid>
      <w:tr w14:paraId="0D912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531D1AA">
            <w:pPr>
              <w:jc w:val="center"/>
              <w:rPr>
                <w:b/>
              </w:rPr>
            </w:pPr>
            <w:r>
              <w:rPr>
                <w:b/>
              </w:rPr>
              <w:t>预测尺度</w:t>
            </w:r>
          </w:p>
        </w:tc>
        <w:tc>
          <w:tcPr>
            <w:tcW w:w="0" w:type="auto"/>
            <w:tcMar>
              <w:left w:w="108" w:type="dxa"/>
              <w:right w:w="108" w:type="dxa"/>
            </w:tcMar>
            <w:vAlign w:val="center"/>
          </w:tcPr>
          <w:p w14:paraId="2187902A">
            <w:pPr>
              <w:jc w:val="center"/>
              <w:rPr>
                <w:b/>
              </w:rPr>
            </w:pPr>
            <w:r>
              <w:rPr>
                <w:b/>
              </w:rPr>
              <w:t>时间范围</w:t>
            </w:r>
          </w:p>
        </w:tc>
        <w:tc>
          <w:tcPr>
            <w:tcW w:w="0" w:type="auto"/>
            <w:tcMar>
              <w:left w:w="108" w:type="dxa"/>
              <w:right w:w="108" w:type="dxa"/>
            </w:tcMar>
            <w:vAlign w:val="center"/>
          </w:tcPr>
          <w:p w14:paraId="14CBAE2C">
            <w:pPr>
              <w:jc w:val="center"/>
              <w:rPr>
                <w:b/>
              </w:rPr>
            </w:pPr>
            <w:r>
              <w:rPr>
                <w:b/>
              </w:rPr>
              <w:t>应用场景</w:t>
            </w:r>
          </w:p>
        </w:tc>
      </w:tr>
      <w:tr w14:paraId="43E77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153C33B">
            <w:r>
              <w:rPr>
                <w:b/>
              </w:rPr>
              <w:t>短期预测</w:t>
            </w:r>
          </w:p>
        </w:tc>
        <w:tc>
          <w:tcPr>
            <w:tcW w:w="0" w:type="auto"/>
            <w:tcMar>
              <w:left w:w="108" w:type="dxa"/>
              <w:right w:w="108" w:type="dxa"/>
            </w:tcMar>
            <w:vAlign w:val="center"/>
          </w:tcPr>
          <w:p w14:paraId="73BCB66B">
            <w:r>
              <w:t>下一天（96点/15分钟粒度）</w:t>
            </w:r>
          </w:p>
        </w:tc>
        <w:tc>
          <w:tcPr>
            <w:tcW w:w="0" w:type="auto"/>
            <w:tcMar>
              <w:left w:w="108" w:type="dxa"/>
              <w:right w:w="108" w:type="dxa"/>
            </w:tcMar>
            <w:vAlign w:val="center"/>
          </w:tcPr>
          <w:p w14:paraId="18EFC66C">
            <w:r>
              <w:t>日前交易决策</w:t>
            </w:r>
          </w:p>
        </w:tc>
      </w:tr>
      <w:tr w14:paraId="1D21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EF1DAF6">
            <w:r>
              <w:rPr>
                <w:b/>
              </w:rPr>
              <w:t>中期预测</w:t>
            </w:r>
          </w:p>
        </w:tc>
        <w:tc>
          <w:tcPr>
            <w:tcW w:w="0" w:type="auto"/>
            <w:tcMar>
              <w:left w:w="108" w:type="dxa"/>
              <w:right w:w="108" w:type="dxa"/>
            </w:tcMar>
            <w:vAlign w:val="center"/>
          </w:tcPr>
          <w:p w14:paraId="2D8519B4">
            <w:r>
              <w:t>下一周（168点/小时粒度）</w:t>
            </w:r>
          </w:p>
        </w:tc>
        <w:tc>
          <w:tcPr>
            <w:tcW w:w="0" w:type="auto"/>
            <w:tcMar>
              <w:left w:w="108" w:type="dxa"/>
              <w:right w:w="108" w:type="dxa"/>
            </w:tcMar>
            <w:vAlign w:val="center"/>
          </w:tcPr>
          <w:p w14:paraId="3BA8418F">
            <w:r>
              <w:t>周内调度计划</w:t>
            </w:r>
          </w:p>
        </w:tc>
      </w:tr>
      <w:tr w14:paraId="18E54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5AE7D93">
            <w:r>
              <w:rPr>
                <w:b/>
              </w:rPr>
              <w:t>长期预测</w:t>
            </w:r>
          </w:p>
        </w:tc>
        <w:tc>
          <w:tcPr>
            <w:tcW w:w="0" w:type="auto"/>
            <w:tcMar>
              <w:left w:w="108" w:type="dxa"/>
              <w:right w:w="108" w:type="dxa"/>
            </w:tcMar>
            <w:vAlign w:val="center"/>
          </w:tcPr>
          <w:p w14:paraId="4C089109">
            <w:r>
              <w:t>下一月（720点/小时粒度）</w:t>
            </w:r>
          </w:p>
        </w:tc>
        <w:tc>
          <w:tcPr>
            <w:tcW w:w="0" w:type="auto"/>
            <w:tcMar>
              <w:left w:w="108" w:type="dxa"/>
              <w:right w:w="108" w:type="dxa"/>
            </w:tcMar>
            <w:vAlign w:val="center"/>
          </w:tcPr>
          <w:p w14:paraId="7A4C3C6F">
            <w:r>
              <w:t>月度交易策略</w:t>
            </w:r>
          </w:p>
        </w:tc>
      </w:tr>
    </w:tbl>
    <w:p w14:paraId="67D3EBC3">
      <w:pPr>
        <w:pStyle w:val="4"/>
      </w:pPr>
      <w:r>
        <w:t>4.3 可解释性输出</w:t>
      </w:r>
    </w:p>
    <w:p w14:paraId="74DF9B27">
      <w:r>
        <w:t>引入SHAP值分析，解释每个特征对预测结果的贡献度，让“黑箱”变透明，增加模型说服力。</w:t>
      </w:r>
    </w:p>
    <w:p w14:paraId="62F9BCBE">
      <w:pPr>
        <w:pStyle w:val="3"/>
      </w:pPr>
      <w:r>
        <w:t>五、核心功能模块详解</w:t>
      </w:r>
    </w:p>
    <w:p w14:paraId="17EAFF1C">
      <w:pPr>
        <w:pStyle w:val="4"/>
      </w:pPr>
      <w:r>
        <w:t>5.1 交易优化模块（核心创新）</w:t>
      </w:r>
    </w:p>
    <w:p w14:paraId="57CC0167">
      <w:r>
        <w:rPr>
          <w:b/>
        </w:rPr>
        <w:t>（1）买电/卖电时段建议</w:t>
      </w:r>
    </w:p>
    <w:p w14:paraId="5E076F69">
      <w:r>
        <w:t>基于预测结果和分时电价机制，为用户提供“建议买电时段”和“建议卖电时段”。参考贵州需求响应交易经验，通过市场化机制引导用户主动参与电力调节。</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768"/>
        <w:gridCol w:w="2768"/>
        <w:gridCol w:w="2768"/>
      </w:tblGrid>
      <w:tr w14:paraId="4C05E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906EFF4">
            <w:pPr>
              <w:jc w:val="center"/>
              <w:rPr>
                <w:b/>
              </w:rPr>
            </w:pPr>
            <w:r>
              <w:rPr>
                <w:b/>
              </w:rPr>
              <w:t>时段类型</w:t>
            </w:r>
          </w:p>
        </w:tc>
        <w:tc>
          <w:tcPr>
            <w:tcW w:w="0" w:type="auto"/>
            <w:tcMar>
              <w:left w:w="108" w:type="dxa"/>
              <w:right w:w="108" w:type="dxa"/>
            </w:tcMar>
            <w:vAlign w:val="center"/>
          </w:tcPr>
          <w:p w14:paraId="7B128F2C">
            <w:pPr>
              <w:jc w:val="center"/>
              <w:rPr>
                <w:b/>
              </w:rPr>
            </w:pPr>
            <w:r>
              <w:rPr>
                <w:b/>
              </w:rPr>
              <w:t>电价水平</w:t>
            </w:r>
          </w:p>
        </w:tc>
        <w:tc>
          <w:tcPr>
            <w:tcW w:w="0" w:type="auto"/>
            <w:tcMar>
              <w:left w:w="108" w:type="dxa"/>
              <w:right w:w="108" w:type="dxa"/>
            </w:tcMar>
            <w:vAlign w:val="center"/>
          </w:tcPr>
          <w:p w14:paraId="04B5B2E4">
            <w:pPr>
              <w:jc w:val="center"/>
              <w:rPr>
                <w:b/>
              </w:rPr>
            </w:pPr>
            <w:r>
              <w:rPr>
                <w:b/>
              </w:rPr>
              <w:t>系统建议</w:t>
            </w:r>
          </w:p>
        </w:tc>
      </w:tr>
      <w:tr w14:paraId="3654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834AE39">
            <w:r>
              <w:t>低谷时段（23:00-7:00）</w:t>
            </w:r>
          </w:p>
        </w:tc>
        <w:tc>
          <w:tcPr>
            <w:tcW w:w="0" w:type="auto"/>
            <w:tcMar>
              <w:left w:w="108" w:type="dxa"/>
              <w:right w:w="108" w:type="dxa"/>
            </w:tcMar>
            <w:vAlign w:val="center"/>
          </w:tcPr>
          <w:p w14:paraId="68BEB52F">
            <w:r>
              <w:t>0.504元/千瓦时</w:t>
            </w:r>
          </w:p>
        </w:tc>
        <w:tc>
          <w:tcPr>
            <w:tcW w:w="0" w:type="auto"/>
            <w:tcMar>
              <w:left w:w="108" w:type="dxa"/>
              <w:right w:w="108" w:type="dxa"/>
            </w:tcMar>
            <w:vAlign w:val="center"/>
          </w:tcPr>
          <w:p w14:paraId="5A73B9D9">
            <w:r>
              <w:rPr>
                <w:b/>
              </w:rPr>
              <w:t>建议买电</w:t>
            </w:r>
            <w:r>
              <w:t>（充电/储能）</w:t>
            </w:r>
          </w:p>
        </w:tc>
      </w:tr>
      <w:tr w14:paraId="52AC2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8FBA615">
            <w:r>
              <w:t>高峰时段（11:00-14:00, 18:00-23:00）</w:t>
            </w:r>
          </w:p>
        </w:tc>
        <w:tc>
          <w:tcPr>
            <w:tcW w:w="0" w:type="auto"/>
            <w:tcMar>
              <w:left w:w="108" w:type="dxa"/>
              <w:right w:w="108" w:type="dxa"/>
            </w:tcMar>
            <w:vAlign w:val="center"/>
          </w:tcPr>
          <w:p w14:paraId="5246BD30">
            <w:r>
              <w:t>0.704元/千瓦时</w:t>
            </w:r>
          </w:p>
        </w:tc>
        <w:tc>
          <w:tcPr>
            <w:tcW w:w="0" w:type="auto"/>
            <w:tcMar>
              <w:left w:w="108" w:type="dxa"/>
              <w:right w:w="108" w:type="dxa"/>
            </w:tcMar>
            <w:vAlign w:val="center"/>
          </w:tcPr>
          <w:p w14:paraId="459C78DE">
            <w:r>
              <w:rPr>
                <w:b/>
              </w:rPr>
              <w:t>建议卖电</w:t>
            </w:r>
            <w:r>
              <w:t>（放电/自用）</w:t>
            </w:r>
          </w:p>
        </w:tc>
      </w:tr>
      <w:tr w14:paraId="08B42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6A5AF56">
            <w:r>
              <w:t>平段（其他时段）</w:t>
            </w:r>
          </w:p>
        </w:tc>
        <w:tc>
          <w:tcPr>
            <w:tcW w:w="0" w:type="auto"/>
            <w:tcMar>
              <w:left w:w="108" w:type="dxa"/>
              <w:right w:w="108" w:type="dxa"/>
            </w:tcMar>
            <w:vAlign w:val="center"/>
          </w:tcPr>
          <w:p w14:paraId="1F9A8305">
            <w:r>
              <w:t>0.604元/千瓦时</w:t>
            </w:r>
          </w:p>
        </w:tc>
        <w:tc>
          <w:tcPr>
            <w:tcW w:w="0" w:type="auto"/>
            <w:tcMar>
              <w:left w:w="108" w:type="dxa"/>
              <w:right w:w="108" w:type="dxa"/>
            </w:tcMar>
            <w:vAlign w:val="center"/>
          </w:tcPr>
          <w:p w14:paraId="486BED8D">
            <w:r>
              <w:t>正常调度</w:t>
            </w:r>
          </w:p>
        </w:tc>
      </w:tr>
    </w:tbl>
    <w:p w14:paraId="7EADC606">
      <w:r>
        <w:t>参考祁东高新区的实践经验，通过“谷时充电、峰时放电”的峰谷套利模式，企业可实现</w:t>
      </w:r>
      <w:r>
        <w:rPr>
          <w:b/>
        </w:rPr>
        <w:t>年节约电费15%-20%</w:t>
      </w:r>
      <w:r>
        <w:t>的实效。</w:t>
      </w:r>
    </w:p>
    <w:p w14:paraId="31B5E1F8">
      <w:r>
        <w:rPr>
          <w:b/>
        </w:rPr>
        <w:t>（2）削峰填谷效果与交易盈亏分析</w:t>
      </w:r>
    </w:p>
    <w:p w14:paraId="3B3E39B4">
      <w:r>
        <w:t>展示优化前后的交易营收对比：</w:t>
      </w:r>
    </w:p>
    <w:p w14:paraId="32FC5F6A">
      <w:r>
        <w:t>┌─────────────────────────────────────┐</w:t>
      </w:r>
    </w:p>
    <w:p w14:paraId="3A52DC93">
      <w:r>
        <w:t>│ 交易盈亏分析看板 │</w:t>
      </w:r>
    </w:p>
    <w:p w14:paraId="437E9300">
      <w:r>
        <w:t>├─────────────────────────────────────┤</w:t>
      </w:r>
    </w:p>
    <w:p w14:paraId="124336F4">
      <w:r>
        <w:t>│ 优化前预期营收：¥XX,XXX │</w:t>
      </w:r>
    </w:p>
    <w:p w14:paraId="54E9B0CB">
      <w:r>
        <w:t>│ 优化后实际营收：¥XX,XXX │</w:t>
      </w:r>
    </w:p>
    <w:p w14:paraId="00879758">
      <w:r>
        <w:t>│ 增收金额：¥X,XXX（+XX%） │</w:t>
      </w:r>
    </w:p>
    <w:p w14:paraId="1BA7EC07">
      <w:r>
        <w:t>├─────────────────────────────────────┤</w:t>
      </w:r>
    </w:p>
    <w:p w14:paraId="66407CBA">
      <w:r>
        <w:t>│ 削峰电量：XXX kWh │</w:t>
      </w:r>
    </w:p>
    <w:p w14:paraId="10F24CB9">
      <w:r>
        <w:t>│ 填谷电量：XXX kWh │</w:t>
      </w:r>
    </w:p>
    <w:p w14:paraId="5B82A9BF">
      <w:r>
        <w:t>│ 对应增收：¥XXX │</w:t>
      </w:r>
    </w:p>
    <w:p w14:paraId="31EED132">
      <w:r>
        <w:t>└─────────────────────────────────────┘</w:t>
      </w:r>
    </w:p>
    <w:p w14:paraId="056C4FBC">
      <w:r>
        <w:rPr>
          <w:b/>
        </w:rPr>
        <w:t>（3）需量控制与电费优化</w:t>
      </w:r>
    </w:p>
    <w:p w14:paraId="2416FBEA">
      <w:r>
        <w:t>展示最大需量降低情况及经济效益。祁东高新区实践表明，通过储能调度可使</w:t>
      </w:r>
      <w:r>
        <w:rPr>
          <w:b/>
        </w:rPr>
        <w:t>最大用电负荷同比下降8%</w:t>
      </w:r>
      <w:r>
        <w:t>，电网运行效率提升15%。</w:t>
      </w:r>
    </w:p>
    <w:p w14:paraId="765BA057">
      <w:pPr>
        <w:pStyle w:val="4"/>
      </w:pPr>
      <w:r>
        <w:t>5.2 三时段预测展示模块</w:t>
      </w:r>
    </w:p>
    <w:p w14:paraId="6CD929CE">
      <w:r>
        <w:rPr>
          <w:b/>
        </w:rPr>
        <w:t>（1）下一天预测（96点）</w:t>
      </w:r>
    </w:p>
    <w:p w14:paraId="72911FFE">
      <w:r>
        <w:t>以15分钟为粒度展示未来24小时功率曲线，包含：</w:t>
      </w:r>
    </w:p>
    <w:p w14:paraId="4BFF6C87">
      <w:pPr>
        <w:numPr>
          <w:ilvl w:val="0"/>
          <w:numId w:val="3"/>
        </w:numPr>
        <w:spacing w:before="0" w:after="0"/>
        <w:ind w:left="720" w:hanging="360"/>
      </w:pPr>
      <w:r>
        <w:t>预测曲线（带置信区间阴影）</w:t>
      </w:r>
    </w:p>
    <w:p w14:paraId="3413F6D0">
      <w:pPr>
        <w:numPr>
          <w:ilvl w:val="0"/>
          <w:numId w:val="3"/>
        </w:numPr>
        <w:spacing w:before="0" w:after="0"/>
        <w:ind w:left="720" w:hanging="360"/>
      </w:pPr>
      <w:r>
        <w:t>实际值（滚动更新）</w:t>
      </w:r>
    </w:p>
    <w:p w14:paraId="2DEC19C0">
      <w:pPr>
        <w:numPr>
          <w:ilvl w:val="0"/>
          <w:numId w:val="3"/>
        </w:numPr>
        <w:spacing w:before="0" w:after="0"/>
        <w:ind w:left="720" w:hanging="360"/>
      </w:pPr>
      <w:r>
        <w:t>误差区间标注</w:t>
      </w:r>
    </w:p>
    <w:p w14:paraId="5F3FFA92">
      <w:r>
        <w:rPr>
          <w:b/>
        </w:rPr>
        <w:t>（2）下周预测（168点）</w:t>
      </w:r>
    </w:p>
    <w:p w14:paraId="59733407">
      <w:r>
        <w:t>以小时为粒度展示未来7天功率趋势，用于周内调度计划。</w:t>
      </w:r>
    </w:p>
    <w:p w14:paraId="5B13BE7E">
      <w:r>
        <w:rPr>
          <w:b/>
        </w:rPr>
        <w:t>（3）下月预测（720点）</w:t>
      </w:r>
    </w:p>
    <w:p w14:paraId="290C03A7">
      <w:r>
        <w:t>以小时为粒度展示未来30天功率趋势，用于月度交易策略和燃料采购计划。</w:t>
      </w:r>
    </w:p>
    <w:p w14:paraId="578ABF5F">
      <w:pPr>
        <w:pStyle w:val="4"/>
      </w:pPr>
      <w:r>
        <w:t>5.3 指标数据展示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768"/>
        <w:gridCol w:w="2768"/>
        <w:gridCol w:w="2768"/>
      </w:tblGrid>
      <w:tr w14:paraId="6550D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B4C4166">
            <w:pPr>
              <w:jc w:val="center"/>
              <w:rPr>
                <w:b/>
              </w:rPr>
            </w:pPr>
            <w:r>
              <w:rPr>
                <w:b/>
              </w:rPr>
              <w:t>指标</w:t>
            </w:r>
          </w:p>
        </w:tc>
        <w:tc>
          <w:tcPr>
            <w:tcW w:w="0" w:type="auto"/>
            <w:tcMar>
              <w:left w:w="108" w:type="dxa"/>
              <w:right w:w="108" w:type="dxa"/>
            </w:tcMar>
            <w:vAlign w:val="center"/>
          </w:tcPr>
          <w:p w14:paraId="27AFE7AC">
            <w:pPr>
              <w:jc w:val="center"/>
              <w:rPr>
                <w:b/>
              </w:rPr>
            </w:pPr>
            <w:r>
              <w:rPr>
                <w:b/>
              </w:rPr>
              <w:t>计算公式</w:t>
            </w:r>
          </w:p>
        </w:tc>
        <w:tc>
          <w:tcPr>
            <w:tcW w:w="0" w:type="auto"/>
            <w:tcMar>
              <w:left w:w="108" w:type="dxa"/>
              <w:right w:w="108" w:type="dxa"/>
            </w:tcMar>
            <w:vAlign w:val="center"/>
          </w:tcPr>
          <w:p w14:paraId="077556F0">
            <w:pPr>
              <w:jc w:val="center"/>
              <w:rPr>
                <w:b/>
              </w:rPr>
            </w:pPr>
            <w:r>
              <w:rPr>
                <w:b/>
              </w:rPr>
              <w:t>展示方式</w:t>
            </w:r>
          </w:p>
        </w:tc>
      </w:tr>
      <w:tr w14:paraId="5D503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FEB20FD">
            <w:r>
              <w:rPr>
                <w:b/>
              </w:rPr>
              <w:t>SMAPE</w:t>
            </w:r>
            <w:r>
              <w:t>（对称平均绝对百分比误差）</w:t>
            </w:r>
          </w:p>
        </w:tc>
        <w:tc>
          <w:tcPr>
            <w:tcW w:w="0" w:type="auto"/>
            <w:tcMar>
              <w:left w:w="108" w:type="dxa"/>
              <w:right w:w="108" w:type="dxa"/>
            </w:tcMar>
            <w:vAlign w:val="center"/>
          </w:tcPr>
          <w:p w14:paraId="7B2D6B74">
            <w:r>
              <w:t>(\frac{1}{n}\sum\frac{</w:t>
            </w:r>
          </w:p>
        </w:tc>
        <w:tc>
          <w:tcPr>
            <w:tcW w:w="0" w:type="auto"/>
            <w:tcMar>
              <w:left w:w="108" w:type="dxa"/>
              <w:right w:w="108" w:type="dxa"/>
            </w:tcMar>
            <w:vAlign w:val="center"/>
          </w:tcPr>
          <w:p w14:paraId="44E0DA8D">
            <w:r>
              <w:t>y-\hat{y}</w:t>
            </w:r>
          </w:p>
        </w:tc>
      </w:tr>
      <w:tr w14:paraId="3C80C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E0C4EFF">
            <w:r>
              <w:rPr>
                <w:b/>
              </w:rPr>
              <w:t>MAE</w:t>
            </w:r>
            <w:r>
              <w:t>（平均绝对误差）</w:t>
            </w:r>
          </w:p>
        </w:tc>
        <w:tc>
          <w:tcPr>
            <w:tcW w:w="0" w:type="auto"/>
            <w:tcMar>
              <w:left w:w="108" w:type="dxa"/>
              <w:right w:w="108" w:type="dxa"/>
            </w:tcMar>
            <w:vAlign w:val="center"/>
          </w:tcPr>
          <w:p w14:paraId="054961D9">
            <w:r>
              <w:t>(\frac{1}{n}\sum</w:t>
            </w:r>
          </w:p>
        </w:tc>
        <w:tc>
          <w:tcPr>
            <w:tcW w:w="0" w:type="auto"/>
            <w:tcMar>
              <w:left w:w="108" w:type="dxa"/>
              <w:right w:w="108" w:type="dxa"/>
            </w:tcMar>
            <w:vAlign w:val="center"/>
          </w:tcPr>
          <w:p w14:paraId="655B977B">
            <w:r>
              <w:t>y-\hat{y}</w:t>
            </w:r>
          </w:p>
        </w:tc>
      </w:tr>
      <w:tr w14:paraId="79EDE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CAF96E8">
            <w:r>
              <w:rPr>
                <w:b/>
              </w:rPr>
              <w:t>RMSE</w:t>
            </w:r>
            <w:r>
              <w:t>（均方根误差）</w:t>
            </w:r>
          </w:p>
        </w:tc>
        <w:tc>
          <w:tcPr>
            <w:tcW w:w="0" w:type="auto"/>
            <w:tcMar>
              <w:left w:w="108" w:type="dxa"/>
              <w:right w:w="108" w:type="dxa"/>
            </w:tcMar>
            <w:vAlign w:val="center"/>
          </w:tcPr>
          <w:p w14:paraId="0A849F27">
            <w:r>
              <w:t>(\sqrt{\frac{1}{n}\sum(y-\hat{y})^2})</w:t>
            </w:r>
          </w:p>
        </w:tc>
        <w:tc>
          <w:tcPr>
            <w:tcW w:w="0" w:type="auto"/>
            <w:tcMar>
              <w:left w:w="108" w:type="dxa"/>
              <w:right w:w="108" w:type="dxa"/>
            </w:tcMar>
            <w:vAlign w:val="center"/>
          </w:tcPr>
          <w:p w14:paraId="49AF3587">
            <w:r>
              <w:t>数值+对比柱状图</w:t>
            </w:r>
          </w:p>
        </w:tc>
      </w:tr>
      <w:tr w14:paraId="370D9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FBAA3AB">
            <w:r>
              <w:rPr>
                <w:b/>
              </w:rPr>
              <w:t>R²</w:t>
            </w:r>
            <w:r>
              <w:t>（决定系数）</w:t>
            </w:r>
          </w:p>
        </w:tc>
        <w:tc>
          <w:tcPr>
            <w:tcW w:w="0" w:type="auto"/>
            <w:tcMar>
              <w:left w:w="108" w:type="dxa"/>
              <w:right w:w="108" w:type="dxa"/>
            </w:tcMar>
            <w:vAlign w:val="center"/>
          </w:tcPr>
          <w:p w14:paraId="621DB14C">
            <w:r>
              <w:t>(1-\frac{\sum(y-\hat{y})^2}{\sum(y-\bar{y})^2})</w:t>
            </w:r>
          </w:p>
        </w:tc>
        <w:tc>
          <w:tcPr>
            <w:tcW w:w="0" w:type="auto"/>
            <w:tcMar>
              <w:left w:w="108" w:type="dxa"/>
              <w:right w:w="108" w:type="dxa"/>
            </w:tcMar>
            <w:vAlign w:val="center"/>
          </w:tcPr>
          <w:p w14:paraId="7199F0FA">
            <w:r>
              <w:t>仪表盘</w:t>
            </w:r>
          </w:p>
        </w:tc>
      </w:tr>
    </w:tbl>
    <w:p w14:paraId="506E3C0B">
      <w:pPr>
        <w:pStyle w:val="3"/>
        <w:numPr>
          <w:ilvl w:val="0"/>
          <w:numId w:val="4"/>
        </w:numPr>
        <w:rPr>
          <w:rFonts w:hint="eastAsia"/>
          <w:lang w:val="en-US" w:eastAsia="zh-CN"/>
        </w:rPr>
      </w:pPr>
      <w:r>
        <w:rPr>
          <w:rFonts w:hint="eastAsia"/>
          <w:lang w:val="en-US" w:eastAsia="zh-CN"/>
        </w:rPr>
        <w:t>完整技术栈</w:t>
      </w:r>
    </w:p>
    <w:p w14:paraId="21747FA9">
      <w:pPr>
        <w:pStyle w:val="2"/>
      </w:pPr>
      <w:r>
        <w:t>《风芒可测》完整技术栈表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661"/>
        <w:gridCol w:w="1661"/>
        <w:gridCol w:w="1661"/>
        <w:gridCol w:w="1661"/>
        <w:gridCol w:w="1661"/>
      </w:tblGrid>
      <w:tr w14:paraId="62ED2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0698549">
            <w:pPr>
              <w:jc w:val="center"/>
              <w:rPr>
                <w:b/>
              </w:rPr>
            </w:pPr>
            <w:r>
              <w:rPr>
                <w:b/>
              </w:rPr>
              <w:t>层次</w:t>
            </w:r>
          </w:p>
        </w:tc>
        <w:tc>
          <w:tcPr>
            <w:tcW w:w="0" w:type="auto"/>
            <w:tcMar>
              <w:left w:w="108" w:type="dxa"/>
              <w:right w:w="108" w:type="dxa"/>
            </w:tcMar>
            <w:vAlign w:val="center"/>
          </w:tcPr>
          <w:p w14:paraId="5A7F94FE">
            <w:pPr>
              <w:jc w:val="center"/>
              <w:rPr>
                <w:b/>
              </w:rPr>
            </w:pPr>
            <w:r>
              <w:rPr>
                <w:b/>
              </w:rPr>
              <w:t>技术组件</w:t>
            </w:r>
          </w:p>
        </w:tc>
        <w:tc>
          <w:tcPr>
            <w:tcW w:w="0" w:type="auto"/>
            <w:tcMar>
              <w:left w:w="108" w:type="dxa"/>
              <w:right w:w="108" w:type="dxa"/>
            </w:tcMar>
            <w:vAlign w:val="center"/>
          </w:tcPr>
          <w:p w14:paraId="5490807B">
            <w:pPr>
              <w:jc w:val="center"/>
              <w:rPr>
                <w:b/>
              </w:rPr>
            </w:pPr>
            <w:r>
              <w:rPr>
                <w:b/>
              </w:rPr>
              <w:t>版本/方案</w:t>
            </w:r>
          </w:p>
        </w:tc>
        <w:tc>
          <w:tcPr>
            <w:tcW w:w="0" w:type="auto"/>
            <w:tcMar>
              <w:left w:w="108" w:type="dxa"/>
              <w:right w:w="108" w:type="dxa"/>
            </w:tcMar>
            <w:vAlign w:val="center"/>
          </w:tcPr>
          <w:p w14:paraId="251EA2D3">
            <w:pPr>
              <w:jc w:val="center"/>
              <w:rPr>
                <w:b/>
              </w:rPr>
            </w:pPr>
            <w:r>
              <w:rPr>
                <w:b/>
              </w:rPr>
              <w:t>详细说明</w:t>
            </w:r>
          </w:p>
        </w:tc>
        <w:tc>
          <w:tcPr>
            <w:tcW w:w="0" w:type="auto"/>
            <w:tcMar>
              <w:left w:w="108" w:type="dxa"/>
              <w:right w:w="108" w:type="dxa"/>
            </w:tcMar>
            <w:vAlign w:val="center"/>
          </w:tcPr>
          <w:p w14:paraId="48B4A28F">
            <w:pPr>
              <w:jc w:val="center"/>
              <w:rPr>
                <w:b/>
              </w:rPr>
            </w:pPr>
            <w:r>
              <w:rPr>
                <w:b/>
              </w:rPr>
              <w:t>参考来源</w:t>
            </w:r>
          </w:p>
        </w:tc>
      </w:tr>
      <w:tr w14:paraId="031B6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209EFF3">
            <w:r>
              <w:rPr>
                <w:b/>
              </w:rPr>
              <w:t>模型层</w:t>
            </w:r>
          </w:p>
        </w:tc>
        <w:tc>
          <w:tcPr>
            <w:tcW w:w="0" w:type="auto"/>
            <w:tcMar>
              <w:left w:w="108" w:type="dxa"/>
              <w:right w:w="108" w:type="dxa"/>
            </w:tcMar>
            <w:vAlign w:val="center"/>
          </w:tcPr>
          <w:p w14:paraId="583DC3D4">
            <w:r>
              <w:t>深度学习框架</w:t>
            </w:r>
          </w:p>
        </w:tc>
        <w:tc>
          <w:tcPr>
            <w:tcW w:w="0" w:type="auto"/>
            <w:tcMar>
              <w:left w:w="108" w:type="dxa"/>
              <w:right w:w="108" w:type="dxa"/>
            </w:tcMar>
            <w:vAlign w:val="center"/>
          </w:tcPr>
          <w:p w14:paraId="1D6349E2">
            <w:r>
              <w:t>PyTorch 2.0+</w:t>
            </w:r>
          </w:p>
        </w:tc>
        <w:tc>
          <w:tcPr>
            <w:tcW w:w="0" w:type="auto"/>
            <w:tcMar>
              <w:left w:w="108" w:type="dxa"/>
              <w:right w:w="108" w:type="dxa"/>
            </w:tcMar>
            <w:vAlign w:val="center"/>
          </w:tcPr>
          <w:p w14:paraId="6CA1308E">
            <w:r>
              <w:t>用于实现LSTM、GRU等时序模型，支持动态计算图和自动微分</w:t>
            </w:r>
          </w:p>
        </w:tc>
        <w:tc>
          <w:tcPr>
            <w:tcW w:w="0" w:type="auto"/>
            <w:tcMar>
              <w:left w:w="108" w:type="dxa"/>
              <w:right w:w="108" w:type="dxa"/>
            </w:tcMar>
            <w:vAlign w:val="center"/>
          </w:tcPr>
          <w:p w14:paraId="05CD9924">
            <w:r>
              <w:t>国赛作品[1][3]</w:t>
            </w:r>
          </w:p>
        </w:tc>
      </w:tr>
      <w:tr w14:paraId="11CB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26215FD"/>
        </w:tc>
        <w:tc>
          <w:tcPr>
            <w:tcW w:w="0" w:type="auto"/>
            <w:tcMar>
              <w:left w:w="108" w:type="dxa"/>
              <w:right w:w="108" w:type="dxa"/>
            </w:tcMar>
            <w:vAlign w:val="center"/>
          </w:tcPr>
          <w:p w14:paraId="0107B9F3">
            <w:r>
              <w:t>具体模型</w:t>
            </w:r>
          </w:p>
        </w:tc>
        <w:tc>
          <w:tcPr>
            <w:tcW w:w="0" w:type="auto"/>
            <w:tcMar>
              <w:left w:w="108" w:type="dxa"/>
              <w:right w:w="108" w:type="dxa"/>
            </w:tcMar>
            <w:vAlign w:val="center"/>
          </w:tcPr>
          <w:p w14:paraId="3843BB59">
            <w:r>
              <w:t>LSTM</w:t>
            </w:r>
          </w:p>
        </w:tc>
        <w:tc>
          <w:tcPr>
            <w:tcW w:w="0" w:type="auto"/>
            <w:tcMar>
              <w:left w:w="108" w:type="dxa"/>
              <w:right w:w="108" w:type="dxa"/>
            </w:tcMar>
            <w:vAlign w:val="center"/>
          </w:tcPr>
          <w:p w14:paraId="4872FF8B">
            <w:r>
              <w:t>长短期记忆网络，捕捉时间序列长期依赖</w:t>
            </w:r>
          </w:p>
        </w:tc>
        <w:tc>
          <w:tcPr>
            <w:tcW w:w="0" w:type="auto"/>
            <w:tcMar>
              <w:left w:w="108" w:type="dxa"/>
              <w:right w:w="108" w:type="dxa"/>
            </w:tcMar>
            <w:vAlign w:val="center"/>
          </w:tcPr>
          <w:p w14:paraId="175B039A">
            <w:r>
              <w:t>山东农大[3]、东北大学[9]</w:t>
            </w:r>
          </w:p>
        </w:tc>
      </w:tr>
      <w:tr w14:paraId="1C73E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82472D4"/>
        </w:tc>
        <w:tc>
          <w:tcPr>
            <w:tcW w:w="0" w:type="auto"/>
            <w:tcMar>
              <w:left w:w="108" w:type="dxa"/>
              <w:right w:w="108" w:type="dxa"/>
            </w:tcMar>
            <w:vAlign w:val="center"/>
          </w:tcPr>
          <w:p w14:paraId="557A78A3"/>
        </w:tc>
        <w:tc>
          <w:tcPr>
            <w:tcW w:w="0" w:type="auto"/>
            <w:tcMar>
              <w:left w:w="108" w:type="dxa"/>
              <w:right w:w="108" w:type="dxa"/>
            </w:tcMar>
            <w:vAlign w:val="center"/>
          </w:tcPr>
          <w:p w14:paraId="17A704F0">
            <w:r>
              <w:t>GRU</w:t>
            </w:r>
          </w:p>
        </w:tc>
        <w:tc>
          <w:tcPr>
            <w:tcW w:w="0" w:type="auto"/>
            <w:tcMar>
              <w:left w:w="108" w:type="dxa"/>
              <w:right w:w="108" w:type="dxa"/>
            </w:tcMar>
            <w:vAlign w:val="center"/>
          </w:tcPr>
          <w:p w14:paraId="65E778BD">
            <w:r>
              <w:t>门控循环单元，LSTM的轻量变体</w:t>
            </w:r>
          </w:p>
        </w:tc>
        <w:tc>
          <w:tcPr>
            <w:tcW w:w="0" w:type="auto"/>
            <w:tcMar>
              <w:left w:w="108" w:type="dxa"/>
              <w:right w:w="108" w:type="dxa"/>
            </w:tcMar>
            <w:vAlign w:val="center"/>
          </w:tcPr>
          <w:p w14:paraId="6D36C342">
            <w:r>
              <w:t>推荐备用</w:t>
            </w:r>
          </w:p>
        </w:tc>
      </w:tr>
      <w:tr w14:paraId="79DB1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427B4A8"/>
        </w:tc>
        <w:tc>
          <w:tcPr>
            <w:tcW w:w="0" w:type="auto"/>
            <w:tcMar>
              <w:left w:w="108" w:type="dxa"/>
              <w:right w:w="108" w:type="dxa"/>
            </w:tcMar>
            <w:vAlign w:val="center"/>
          </w:tcPr>
          <w:p w14:paraId="5C1ACE27"/>
        </w:tc>
        <w:tc>
          <w:tcPr>
            <w:tcW w:w="0" w:type="auto"/>
            <w:tcMar>
              <w:left w:w="108" w:type="dxa"/>
              <w:right w:w="108" w:type="dxa"/>
            </w:tcMar>
            <w:vAlign w:val="center"/>
          </w:tcPr>
          <w:p w14:paraId="07D714B4">
            <w:r>
              <w:t>XGBoost</w:t>
            </w:r>
          </w:p>
        </w:tc>
        <w:tc>
          <w:tcPr>
            <w:tcW w:w="0" w:type="auto"/>
            <w:tcMar>
              <w:left w:w="108" w:type="dxa"/>
              <w:right w:w="108" w:type="dxa"/>
            </w:tcMar>
            <w:vAlign w:val="center"/>
          </w:tcPr>
          <w:p w14:paraId="71EFD2E7">
            <w:r>
              <w:t>梯度提升树，处理非线性特征</w:t>
            </w:r>
          </w:p>
        </w:tc>
        <w:tc>
          <w:tcPr>
            <w:tcW w:w="0" w:type="auto"/>
            <w:tcMar>
              <w:left w:w="108" w:type="dxa"/>
              <w:right w:w="108" w:type="dxa"/>
            </w:tcMar>
            <w:vAlign w:val="center"/>
          </w:tcPr>
          <w:p w14:paraId="4F536A1F">
            <w:r>
              <w:t>山东农大[3]、东北大学[9]</w:t>
            </w:r>
          </w:p>
        </w:tc>
      </w:tr>
      <w:tr w14:paraId="74348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AEB868A"/>
        </w:tc>
        <w:tc>
          <w:tcPr>
            <w:tcW w:w="0" w:type="auto"/>
            <w:tcMar>
              <w:left w:w="108" w:type="dxa"/>
              <w:right w:w="108" w:type="dxa"/>
            </w:tcMar>
            <w:vAlign w:val="center"/>
          </w:tcPr>
          <w:p w14:paraId="628BE3E2"/>
        </w:tc>
        <w:tc>
          <w:tcPr>
            <w:tcW w:w="0" w:type="auto"/>
            <w:tcMar>
              <w:left w:w="108" w:type="dxa"/>
              <w:right w:w="108" w:type="dxa"/>
            </w:tcMar>
            <w:vAlign w:val="center"/>
          </w:tcPr>
          <w:p w14:paraId="35CB64E2">
            <w:r>
              <w:t>Moirai</w:t>
            </w:r>
          </w:p>
        </w:tc>
        <w:tc>
          <w:tcPr>
            <w:tcW w:w="0" w:type="auto"/>
            <w:tcMar>
              <w:left w:w="108" w:type="dxa"/>
              <w:right w:w="108" w:type="dxa"/>
            </w:tcMar>
            <w:vAlign w:val="center"/>
          </w:tcPr>
          <w:p w14:paraId="73976287">
            <w:r>
              <w:t>统一时序预测模型（可选），需从GitHub安装</w:t>
            </w:r>
          </w:p>
        </w:tc>
        <w:tc>
          <w:tcPr>
            <w:tcW w:w="0" w:type="auto"/>
            <w:tcMar>
              <w:left w:w="108" w:type="dxa"/>
              <w:right w:w="108" w:type="dxa"/>
            </w:tcMar>
            <w:vAlign w:val="center"/>
          </w:tcPr>
          <w:p w14:paraId="6B13374F">
            <w:r>
              <w:t>探索性前沿</w:t>
            </w:r>
          </w:p>
        </w:tc>
      </w:tr>
      <w:tr w14:paraId="6A39E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C3A4A8E"/>
        </w:tc>
        <w:tc>
          <w:tcPr>
            <w:tcW w:w="0" w:type="auto"/>
            <w:tcMar>
              <w:left w:w="108" w:type="dxa"/>
              <w:right w:w="108" w:type="dxa"/>
            </w:tcMar>
            <w:vAlign w:val="center"/>
          </w:tcPr>
          <w:p w14:paraId="218F7DBA">
            <w:r>
              <w:t>融合策略</w:t>
            </w:r>
          </w:p>
        </w:tc>
        <w:tc>
          <w:tcPr>
            <w:tcW w:w="0" w:type="auto"/>
            <w:tcMar>
              <w:left w:w="108" w:type="dxa"/>
              <w:right w:w="108" w:type="dxa"/>
            </w:tcMar>
            <w:vAlign w:val="center"/>
          </w:tcPr>
          <w:p w14:paraId="742C7BBD">
            <w:r>
              <w:t>Stacking集成</w:t>
            </w:r>
          </w:p>
        </w:tc>
        <w:tc>
          <w:tcPr>
            <w:tcW w:w="0" w:type="auto"/>
            <w:tcMar>
              <w:left w:w="108" w:type="dxa"/>
              <w:right w:w="108" w:type="dxa"/>
            </w:tcMar>
            <w:vAlign w:val="center"/>
          </w:tcPr>
          <w:p w14:paraId="4995BD59">
            <w:r>
              <w:t>基模型：LSTM、GRU、XGBoost；元学习器：线性回归；5折交叉验证防止过拟合</w:t>
            </w:r>
          </w:p>
        </w:tc>
        <w:tc>
          <w:tcPr>
            <w:tcW w:w="0" w:type="auto"/>
            <w:tcMar>
              <w:left w:w="108" w:type="dxa"/>
              <w:right w:w="108" w:type="dxa"/>
            </w:tcMar>
            <w:vAlign w:val="center"/>
          </w:tcPr>
          <w:p w14:paraId="49A432DB">
            <w:r>
              <w:t>山东农大[3]（误差降低15.7%）</w:t>
            </w:r>
          </w:p>
        </w:tc>
      </w:tr>
      <w:tr w14:paraId="26BA7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E8752A9"/>
        </w:tc>
        <w:tc>
          <w:tcPr>
            <w:tcW w:w="0" w:type="auto"/>
            <w:tcMar>
              <w:left w:w="108" w:type="dxa"/>
              <w:right w:w="108" w:type="dxa"/>
            </w:tcMar>
            <w:vAlign w:val="center"/>
          </w:tcPr>
          <w:p w14:paraId="2F058DE9"/>
        </w:tc>
        <w:tc>
          <w:tcPr>
            <w:tcW w:w="0" w:type="auto"/>
            <w:tcMar>
              <w:left w:w="108" w:type="dxa"/>
              <w:right w:w="108" w:type="dxa"/>
            </w:tcMar>
            <w:vAlign w:val="center"/>
          </w:tcPr>
          <w:p w14:paraId="278DCAA4">
            <w:r>
              <w:t>加权平均</w:t>
            </w:r>
          </w:p>
        </w:tc>
        <w:tc>
          <w:tcPr>
            <w:tcW w:w="0" w:type="auto"/>
            <w:tcMar>
              <w:left w:w="108" w:type="dxa"/>
              <w:right w:w="108" w:type="dxa"/>
            </w:tcMar>
            <w:vAlign w:val="center"/>
          </w:tcPr>
          <w:p w14:paraId="2B5CEED2">
            <w:r>
              <w:t>动态权重（根据天气类型调整）</w:t>
            </w:r>
          </w:p>
        </w:tc>
        <w:tc>
          <w:tcPr>
            <w:tcW w:w="0" w:type="auto"/>
            <w:tcMar>
              <w:left w:w="108" w:type="dxa"/>
              <w:right w:w="108" w:type="dxa"/>
            </w:tcMar>
            <w:vAlign w:val="center"/>
          </w:tcPr>
          <w:p w14:paraId="11E75DBA">
            <w:r>
              <w:t>东北大学[9]（分场景优化）</w:t>
            </w:r>
          </w:p>
        </w:tc>
      </w:tr>
      <w:tr w14:paraId="73E88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52C9551"/>
        </w:tc>
        <w:tc>
          <w:tcPr>
            <w:tcW w:w="0" w:type="auto"/>
            <w:tcMar>
              <w:left w:w="108" w:type="dxa"/>
              <w:right w:w="108" w:type="dxa"/>
            </w:tcMar>
            <w:vAlign w:val="center"/>
          </w:tcPr>
          <w:p w14:paraId="29EA91B1">
            <w:r>
              <w:t>特征工程</w:t>
            </w:r>
          </w:p>
        </w:tc>
        <w:tc>
          <w:tcPr>
            <w:tcW w:w="0" w:type="auto"/>
            <w:tcMar>
              <w:left w:w="108" w:type="dxa"/>
              <w:right w:w="108" w:type="dxa"/>
            </w:tcMar>
            <w:vAlign w:val="center"/>
          </w:tcPr>
          <w:p w14:paraId="03C4C116">
            <w:r>
              <w:t>Pandas/NumPy</w:t>
            </w:r>
          </w:p>
        </w:tc>
        <w:tc>
          <w:tcPr>
            <w:tcW w:w="0" w:type="auto"/>
            <w:tcMar>
              <w:left w:w="108" w:type="dxa"/>
              <w:right w:w="108" w:type="dxa"/>
            </w:tcMar>
            <w:vAlign w:val="center"/>
          </w:tcPr>
          <w:p w14:paraId="3C7459E6">
            <w:r>
              <w:t>数据清洗、滑动窗口构造、天气特征融合</w:t>
            </w:r>
          </w:p>
        </w:tc>
        <w:tc>
          <w:tcPr>
            <w:tcW w:w="0" w:type="auto"/>
            <w:tcMar>
              <w:left w:w="108" w:type="dxa"/>
              <w:right w:w="108" w:type="dxa"/>
            </w:tcMar>
            <w:vAlign w:val="center"/>
          </w:tcPr>
          <w:p w14:paraId="4B09C725">
            <w:r>
              <w:t>所有案例</w:t>
            </w:r>
          </w:p>
        </w:tc>
      </w:tr>
      <w:tr w14:paraId="278BB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21F6BC0"/>
        </w:tc>
        <w:tc>
          <w:tcPr>
            <w:tcW w:w="0" w:type="auto"/>
            <w:tcMar>
              <w:left w:w="108" w:type="dxa"/>
              <w:right w:w="108" w:type="dxa"/>
            </w:tcMar>
            <w:vAlign w:val="center"/>
          </w:tcPr>
          <w:p w14:paraId="75F14988">
            <w:r>
              <w:t>模型评估</w:t>
            </w:r>
          </w:p>
        </w:tc>
        <w:tc>
          <w:tcPr>
            <w:tcW w:w="0" w:type="auto"/>
            <w:tcMar>
              <w:left w:w="108" w:type="dxa"/>
              <w:right w:w="108" w:type="dxa"/>
            </w:tcMar>
            <w:vAlign w:val="center"/>
          </w:tcPr>
          <w:p w14:paraId="5A5B5FAD">
            <w:r>
              <w:t>Scikit-learn</w:t>
            </w:r>
          </w:p>
        </w:tc>
        <w:tc>
          <w:tcPr>
            <w:tcW w:w="0" w:type="auto"/>
            <w:tcMar>
              <w:left w:w="108" w:type="dxa"/>
              <w:right w:w="108" w:type="dxa"/>
            </w:tcMar>
            <w:vAlign w:val="center"/>
          </w:tcPr>
          <w:p w14:paraId="509FB249">
            <w:r>
              <w:t>计算SMAPE、MAE、RMSE、R²</w:t>
            </w:r>
          </w:p>
        </w:tc>
        <w:tc>
          <w:tcPr>
            <w:tcW w:w="0" w:type="auto"/>
            <w:tcMar>
              <w:left w:w="108" w:type="dxa"/>
              <w:right w:w="108" w:type="dxa"/>
            </w:tcMar>
            <w:vAlign w:val="center"/>
          </w:tcPr>
          <w:p w14:paraId="1F2DE10F">
            <w:r>
              <w:t>标准实践</w:t>
            </w:r>
          </w:p>
        </w:tc>
      </w:tr>
      <w:tr w14:paraId="21750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4B41609">
            <w:r>
              <w:rPr>
                <w:b/>
              </w:rPr>
              <w:t>数据库层</w:t>
            </w:r>
          </w:p>
        </w:tc>
        <w:tc>
          <w:tcPr>
            <w:tcW w:w="0" w:type="auto"/>
            <w:tcMar>
              <w:left w:w="108" w:type="dxa"/>
              <w:right w:w="108" w:type="dxa"/>
            </w:tcMar>
            <w:vAlign w:val="center"/>
          </w:tcPr>
          <w:p w14:paraId="5ACA47E8">
            <w:r>
              <w:t>数据库系统</w:t>
            </w:r>
          </w:p>
        </w:tc>
        <w:tc>
          <w:tcPr>
            <w:tcW w:w="0" w:type="auto"/>
            <w:tcMar>
              <w:left w:w="108" w:type="dxa"/>
              <w:right w:w="108" w:type="dxa"/>
            </w:tcMar>
            <w:vAlign w:val="center"/>
          </w:tcPr>
          <w:p w14:paraId="632340D3">
            <w:r>
              <w:t>MySQL 8.0</w:t>
            </w:r>
          </w:p>
        </w:tc>
        <w:tc>
          <w:tcPr>
            <w:tcW w:w="0" w:type="auto"/>
            <w:tcMar>
              <w:left w:w="108" w:type="dxa"/>
              <w:right w:w="108" w:type="dxa"/>
            </w:tcMar>
            <w:vAlign w:val="center"/>
          </w:tcPr>
          <w:p w14:paraId="19DD1AA5">
            <w:r>
              <w:t>存储历史负荷、气象数据、预测结果、交易记录</w:t>
            </w:r>
          </w:p>
        </w:tc>
        <w:tc>
          <w:tcPr>
            <w:tcW w:w="0" w:type="auto"/>
            <w:tcMar>
              <w:left w:w="108" w:type="dxa"/>
              <w:right w:w="108" w:type="dxa"/>
            </w:tcMar>
            <w:vAlign w:val="center"/>
          </w:tcPr>
          <w:p w14:paraId="6057423F">
            <w:r>
              <w:t>推荐（AI训练数据充足）</w:t>
            </w:r>
          </w:p>
        </w:tc>
      </w:tr>
      <w:tr w14:paraId="54CB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A61AFA8"/>
        </w:tc>
        <w:tc>
          <w:tcPr>
            <w:tcW w:w="0" w:type="auto"/>
            <w:tcMar>
              <w:left w:w="108" w:type="dxa"/>
              <w:right w:w="108" w:type="dxa"/>
            </w:tcMar>
            <w:vAlign w:val="center"/>
          </w:tcPr>
          <w:p w14:paraId="1ADFEB82">
            <w:r>
              <w:t>ORM框架</w:t>
            </w:r>
          </w:p>
        </w:tc>
        <w:tc>
          <w:tcPr>
            <w:tcW w:w="0" w:type="auto"/>
            <w:tcMar>
              <w:left w:w="108" w:type="dxa"/>
              <w:right w:w="108" w:type="dxa"/>
            </w:tcMar>
            <w:vAlign w:val="center"/>
          </w:tcPr>
          <w:p w14:paraId="3F38D561">
            <w:r>
              <w:t>SQLAlchemy 2.0</w:t>
            </w:r>
          </w:p>
        </w:tc>
        <w:tc>
          <w:tcPr>
            <w:tcW w:w="0" w:type="auto"/>
            <w:tcMar>
              <w:left w:w="108" w:type="dxa"/>
              <w:right w:w="108" w:type="dxa"/>
            </w:tcMar>
            <w:vAlign w:val="center"/>
          </w:tcPr>
          <w:p w14:paraId="7E741DE8">
            <w:r>
              <w:t>统一数据库操作接口，支持连接池、迁移</w:t>
            </w:r>
          </w:p>
        </w:tc>
        <w:tc>
          <w:tcPr>
            <w:tcW w:w="0" w:type="auto"/>
            <w:tcMar>
              <w:left w:w="108" w:type="dxa"/>
              <w:right w:w="108" w:type="dxa"/>
            </w:tcMar>
            <w:vAlign w:val="center"/>
          </w:tcPr>
          <w:p w14:paraId="6A686797">
            <w:r>
              <w:t>鲁尔工大[1]类似</w:t>
            </w:r>
          </w:p>
        </w:tc>
      </w:tr>
      <w:tr w14:paraId="34F16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C6076EE"/>
        </w:tc>
        <w:tc>
          <w:tcPr>
            <w:tcW w:w="0" w:type="auto"/>
            <w:tcMar>
              <w:left w:w="108" w:type="dxa"/>
              <w:right w:w="108" w:type="dxa"/>
            </w:tcMar>
            <w:vAlign w:val="center"/>
          </w:tcPr>
          <w:p w14:paraId="1FAA5380">
            <w:r>
              <w:t>驱动</w:t>
            </w:r>
          </w:p>
        </w:tc>
        <w:tc>
          <w:tcPr>
            <w:tcW w:w="0" w:type="auto"/>
            <w:tcMar>
              <w:left w:w="108" w:type="dxa"/>
              <w:right w:w="108" w:type="dxa"/>
            </w:tcMar>
            <w:vAlign w:val="center"/>
          </w:tcPr>
          <w:p w14:paraId="0CD061ED">
            <w:r>
              <w:t>PyMySQL</w:t>
            </w:r>
          </w:p>
        </w:tc>
        <w:tc>
          <w:tcPr>
            <w:tcW w:w="0" w:type="auto"/>
            <w:tcMar>
              <w:left w:w="108" w:type="dxa"/>
              <w:right w:w="108" w:type="dxa"/>
            </w:tcMar>
            <w:vAlign w:val="center"/>
          </w:tcPr>
          <w:p w14:paraId="4BABD8F4">
            <w:r>
              <w:t>Python连接MySQL，符合PEP 249规范</w:t>
            </w:r>
          </w:p>
        </w:tc>
        <w:tc>
          <w:tcPr>
            <w:tcW w:w="0" w:type="auto"/>
            <w:tcMar>
              <w:left w:w="108" w:type="dxa"/>
              <w:right w:w="108" w:type="dxa"/>
            </w:tcMar>
            <w:vAlign w:val="center"/>
          </w:tcPr>
          <w:p w14:paraId="3FB87FA6">
            <w:r>
              <w:t>通用</w:t>
            </w:r>
          </w:p>
        </w:tc>
      </w:tr>
      <w:tr w14:paraId="59F49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6737001"/>
        </w:tc>
        <w:tc>
          <w:tcPr>
            <w:tcW w:w="0" w:type="auto"/>
            <w:tcMar>
              <w:left w:w="108" w:type="dxa"/>
              <w:right w:w="108" w:type="dxa"/>
            </w:tcMar>
            <w:vAlign w:val="center"/>
          </w:tcPr>
          <w:p w14:paraId="7FF58057">
            <w:r>
              <w:t>连接管理</w:t>
            </w:r>
          </w:p>
        </w:tc>
        <w:tc>
          <w:tcPr>
            <w:tcW w:w="0" w:type="auto"/>
            <w:tcMar>
              <w:left w:w="108" w:type="dxa"/>
              <w:right w:w="108" w:type="dxa"/>
            </w:tcMar>
            <w:vAlign w:val="center"/>
          </w:tcPr>
          <w:p w14:paraId="7388D3E3">
            <w:r>
              <w:t>SQLAlchemy内置</w:t>
            </w:r>
          </w:p>
        </w:tc>
        <w:tc>
          <w:tcPr>
            <w:tcW w:w="0" w:type="auto"/>
            <w:tcMar>
              <w:left w:w="108" w:type="dxa"/>
              <w:right w:w="108" w:type="dxa"/>
            </w:tcMar>
            <w:vAlign w:val="center"/>
          </w:tcPr>
          <w:p w14:paraId="6A0C3362">
            <w:r>
              <w:t>避免频繁连接断开，提高性能</w:t>
            </w:r>
          </w:p>
        </w:tc>
        <w:tc>
          <w:tcPr>
            <w:tcW w:w="0" w:type="auto"/>
            <w:tcMar>
              <w:left w:w="108" w:type="dxa"/>
              <w:right w:w="108" w:type="dxa"/>
            </w:tcMar>
            <w:vAlign w:val="center"/>
          </w:tcPr>
          <w:p w14:paraId="419E8F35">
            <w:r>
              <w:t>-</w:t>
            </w:r>
          </w:p>
        </w:tc>
      </w:tr>
      <w:tr w14:paraId="5F88C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C2DC3E5">
            <w:r>
              <w:rPr>
                <w:b/>
              </w:rPr>
              <w:t>后端层</w:t>
            </w:r>
          </w:p>
        </w:tc>
        <w:tc>
          <w:tcPr>
            <w:tcW w:w="0" w:type="auto"/>
            <w:tcMar>
              <w:left w:w="108" w:type="dxa"/>
              <w:right w:w="108" w:type="dxa"/>
            </w:tcMar>
            <w:vAlign w:val="center"/>
          </w:tcPr>
          <w:p w14:paraId="322F7724">
            <w:r>
              <w:t>Web框架</w:t>
            </w:r>
          </w:p>
        </w:tc>
        <w:tc>
          <w:tcPr>
            <w:tcW w:w="0" w:type="auto"/>
            <w:tcMar>
              <w:left w:w="108" w:type="dxa"/>
              <w:right w:w="108" w:type="dxa"/>
            </w:tcMar>
            <w:vAlign w:val="center"/>
          </w:tcPr>
          <w:p w14:paraId="4C5A79B2">
            <w:r>
              <w:t>Flask 2.3+</w:t>
            </w:r>
          </w:p>
        </w:tc>
        <w:tc>
          <w:tcPr>
            <w:tcW w:w="0" w:type="auto"/>
            <w:tcMar>
              <w:left w:w="108" w:type="dxa"/>
              <w:right w:w="108" w:type="dxa"/>
            </w:tcMar>
            <w:vAlign w:val="center"/>
          </w:tcPr>
          <w:p w14:paraId="5429C055">
            <w:r>
              <w:t>轻量级RESTful API服务，与模型层无缝集成</w:t>
            </w:r>
          </w:p>
        </w:tc>
        <w:tc>
          <w:tcPr>
            <w:tcW w:w="0" w:type="auto"/>
            <w:tcMar>
              <w:left w:w="108" w:type="dxa"/>
              <w:right w:w="108" w:type="dxa"/>
            </w:tcMar>
            <w:vAlign w:val="center"/>
          </w:tcPr>
          <w:p w14:paraId="5FDE096A">
            <w:r>
              <w:t>东北大学[9]使用Flask</w:t>
            </w:r>
          </w:p>
        </w:tc>
      </w:tr>
      <w:tr w14:paraId="374C9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09894F3"/>
        </w:tc>
        <w:tc>
          <w:tcPr>
            <w:tcW w:w="0" w:type="auto"/>
            <w:tcMar>
              <w:left w:w="108" w:type="dxa"/>
              <w:right w:w="108" w:type="dxa"/>
            </w:tcMar>
            <w:vAlign w:val="center"/>
          </w:tcPr>
          <w:p w14:paraId="51E24504">
            <w:r>
              <w:t>API扩展</w:t>
            </w:r>
          </w:p>
        </w:tc>
        <w:tc>
          <w:tcPr>
            <w:tcW w:w="0" w:type="auto"/>
            <w:tcMar>
              <w:left w:w="108" w:type="dxa"/>
              <w:right w:w="108" w:type="dxa"/>
            </w:tcMar>
            <w:vAlign w:val="center"/>
          </w:tcPr>
          <w:p w14:paraId="4270C1B8">
            <w:r>
              <w:t>Flask-RESTX（可选）</w:t>
            </w:r>
          </w:p>
        </w:tc>
        <w:tc>
          <w:tcPr>
            <w:tcW w:w="0" w:type="auto"/>
            <w:tcMar>
              <w:left w:w="108" w:type="dxa"/>
              <w:right w:w="108" w:type="dxa"/>
            </w:tcMar>
            <w:vAlign w:val="center"/>
          </w:tcPr>
          <w:p w14:paraId="7538974B">
            <w:r>
              <w:t>自动生成Swagger文档，方便调试</w:t>
            </w:r>
          </w:p>
        </w:tc>
        <w:tc>
          <w:tcPr>
            <w:tcW w:w="0" w:type="auto"/>
            <w:tcMar>
              <w:left w:w="108" w:type="dxa"/>
              <w:right w:w="108" w:type="dxa"/>
            </w:tcMar>
            <w:vAlign w:val="center"/>
          </w:tcPr>
          <w:p w14:paraId="4D48DDDE">
            <w:r>
              <w:t>-</w:t>
            </w:r>
          </w:p>
        </w:tc>
      </w:tr>
      <w:tr w14:paraId="17F5A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2E08533"/>
        </w:tc>
        <w:tc>
          <w:tcPr>
            <w:tcW w:w="0" w:type="auto"/>
            <w:tcMar>
              <w:left w:w="108" w:type="dxa"/>
              <w:right w:w="108" w:type="dxa"/>
            </w:tcMar>
            <w:vAlign w:val="center"/>
          </w:tcPr>
          <w:p w14:paraId="52ED7E7B">
            <w:r>
              <w:t>跨域支持</w:t>
            </w:r>
          </w:p>
        </w:tc>
        <w:tc>
          <w:tcPr>
            <w:tcW w:w="0" w:type="auto"/>
            <w:tcMar>
              <w:left w:w="108" w:type="dxa"/>
              <w:right w:w="108" w:type="dxa"/>
            </w:tcMar>
            <w:vAlign w:val="center"/>
          </w:tcPr>
          <w:p w14:paraId="0850E61B">
            <w:r>
              <w:t>Flask-CORS</w:t>
            </w:r>
          </w:p>
        </w:tc>
        <w:tc>
          <w:tcPr>
            <w:tcW w:w="0" w:type="auto"/>
            <w:tcMar>
              <w:left w:w="108" w:type="dxa"/>
              <w:right w:w="108" w:type="dxa"/>
            </w:tcMar>
            <w:vAlign w:val="center"/>
          </w:tcPr>
          <w:p w14:paraId="41738C1D">
            <w:r>
              <w:t>解决前端（Streamlit）跨域请求问题</w:t>
            </w:r>
          </w:p>
        </w:tc>
        <w:tc>
          <w:tcPr>
            <w:tcW w:w="0" w:type="auto"/>
            <w:tcMar>
              <w:left w:w="108" w:type="dxa"/>
              <w:right w:w="108" w:type="dxa"/>
            </w:tcMar>
            <w:vAlign w:val="center"/>
          </w:tcPr>
          <w:p w14:paraId="487B3380">
            <w:r>
              <w:t>鲁尔工大[1]需处理</w:t>
            </w:r>
          </w:p>
        </w:tc>
      </w:tr>
      <w:tr w14:paraId="2D71F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0F98365"/>
        </w:tc>
        <w:tc>
          <w:tcPr>
            <w:tcW w:w="0" w:type="auto"/>
            <w:tcMar>
              <w:left w:w="108" w:type="dxa"/>
              <w:right w:w="108" w:type="dxa"/>
            </w:tcMar>
            <w:vAlign w:val="center"/>
          </w:tcPr>
          <w:p w14:paraId="704D25E4">
            <w:r>
              <w:t>任务调度</w:t>
            </w:r>
          </w:p>
        </w:tc>
        <w:tc>
          <w:tcPr>
            <w:tcW w:w="0" w:type="auto"/>
            <w:tcMar>
              <w:left w:w="108" w:type="dxa"/>
              <w:right w:w="108" w:type="dxa"/>
            </w:tcMar>
            <w:vAlign w:val="center"/>
          </w:tcPr>
          <w:p w14:paraId="6FF1AA86">
            <w:r>
              <w:t>APScheduler（可选）</w:t>
            </w:r>
          </w:p>
        </w:tc>
        <w:tc>
          <w:tcPr>
            <w:tcW w:w="0" w:type="auto"/>
            <w:tcMar>
              <w:left w:w="108" w:type="dxa"/>
              <w:right w:w="108" w:type="dxa"/>
            </w:tcMar>
            <w:vAlign w:val="center"/>
          </w:tcPr>
          <w:p w14:paraId="44808D0F">
            <w:r>
              <w:t>如需定时训练或更新模型</w:t>
            </w:r>
          </w:p>
        </w:tc>
        <w:tc>
          <w:tcPr>
            <w:tcW w:w="0" w:type="auto"/>
            <w:tcMar>
              <w:left w:w="108" w:type="dxa"/>
              <w:right w:w="108" w:type="dxa"/>
            </w:tcMar>
            <w:vAlign w:val="center"/>
          </w:tcPr>
          <w:p w14:paraId="24745960">
            <w:r>
              <w:t>-</w:t>
            </w:r>
          </w:p>
        </w:tc>
      </w:tr>
      <w:tr w14:paraId="4F06D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CB7FAC1">
            <w:r>
              <w:rPr>
                <w:b/>
              </w:rPr>
              <w:t>前端层</w:t>
            </w:r>
          </w:p>
        </w:tc>
        <w:tc>
          <w:tcPr>
            <w:tcW w:w="0" w:type="auto"/>
            <w:tcMar>
              <w:left w:w="108" w:type="dxa"/>
              <w:right w:w="108" w:type="dxa"/>
            </w:tcMar>
            <w:vAlign w:val="center"/>
          </w:tcPr>
          <w:p w14:paraId="562150D8">
            <w:r>
              <w:t>前端框架</w:t>
            </w:r>
          </w:p>
        </w:tc>
        <w:tc>
          <w:tcPr>
            <w:tcW w:w="0" w:type="auto"/>
            <w:tcMar>
              <w:left w:w="108" w:type="dxa"/>
              <w:right w:w="108" w:type="dxa"/>
            </w:tcMar>
            <w:vAlign w:val="center"/>
          </w:tcPr>
          <w:p w14:paraId="3900120D">
            <w:r>
              <w:t>Streamlit 1.28+</w:t>
            </w:r>
          </w:p>
        </w:tc>
        <w:tc>
          <w:tcPr>
            <w:tcW w:w="0" w:type="auto"/>
            <w:tcMar>
              <w:left w:w="108" w:type="dxa"/>
              <w:right w:w="108" w:type="dxa"/>
            </w:tcMar>
            <w:vAlign w:val="center"/>
          </w:tcPr>
          <w:p w14:paraId="2D647828">
            <w:r>
              <w:t>纯Python构建交互式数据看板，无需HTML/CSS</w:t>
            </w:r>
          </w:p>
        </w:tc>
        <w:tc>
          <w:tcPr>
            <w:tcW w:w="0" w:type="auto"/>
            <w:tcMar>
              <w:left w:w="108" w:type="dxa"/>
              <w:right w:w="108" w:type="dxa"/>
            </w:tcMar>
            <w:vAlign w:val="center"/>
          </w:tcPr>
          <w:p w14:paraId="67525AA5">
            <w:r>
              <w:t>鲁尔工大[1]类似（微信小程序）但Streamlit更快</w:t>
            </w:r>
          </w:p>
        </w:tc>
      </w:tr>
      <w:tr w14:paraId="0FEE8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7CDACC1"/>
        </w:tc>
        <w:tc>
          <w:tcPr>
            <w:tcW w:w="0" w:type="auto"/>
            <w:tcMar>
              <w:left w:w="108" w:type="dxa"/>
              <w:right w:w="108" w:type="dxa"/>
            </w:tcMar>
            <w:vAlign w:val="center"/>
          </w:tcPr>
          <w:p w14:paraId="26D66CAA">
            <w:r>
              <w:t>可视化库</w:t>
            </w:r>
          </w:p>
        </w:tc>
        <w:tc>
          <w:tcPr>
            <w:tcW w:w="0" w:type="auto"/>
            <w:tcMar>
              <w:left w:w="108" w:type="dxa"/>
              <w:right w:w="108" w:type="dxa"/>
            </w:tcMar>
            <w:vAlign w:val="center"/>
          </w:tcPr>
          <w:p w14:paraId="35D64FA8">
            <w:r>
              <w:t>Pyecharts 2.0+</w:t>
            </w:r>
          </w:p>
        </w:tc>
        <w:tc>
          <w:tcPr>
            <w:tcW w:w="0" w:type="auto"/>
            <w:tcMar>
              <w:left w:w="108" w:type="dxa"/>
              <w:right w:w="108" w:type="dxa"/>
            </w:tcMar>
            <w:vAlign w:val="center"/>
          </w:tcPr>
          <w:p w14:paraId="04130720">
            <w:r>
              <w:t>Python生成ECharts图表，支持折线图、柱状图、桑基图等</w:t>
            </w:r>
          </w:p>
        </w:tc>
        <w:tc>
          <w:tcPr>
            <w:tcW w:w="0" w:type="auto"/>
            <w:tcMar>
              <w:left w:w="108" w:type="dxa"/>
              <w:right w:w="108" w:type="dxa"/>
            </w:tcMar>
            <w:vAlign w:val="center"/>
          </w:tcPr>
          <w:p w14:paraId="1C9FDF72">
            <w:r>
              <w:t>参考[15]完整示例</w:t>
            </w:r>
          </w:p>
        </w:tc>
      </w:tr>
      <w:tr w14:paraId="6DC45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5599685"/>
        </w:tc>
        <w:tc>
          <w:tcPr>
            <w:tcW w:w="0" w:type="auto"/>
            <w:tcMar>
              <w:left w:w="108" w:type="dxa"/>
              <w:right w:w="108" w:type="dxa"/>
            </w:tcMar>
            <w:vAlign w:val="center"/>
          </w:tcPr>
          <w:p w14:paraId="0D9B83F6">
            <w:r>
              <w:t>布局组件</w:t>
            </w:r>
          </w:p>
        </w:tc>
        <w:tc>
          <w:tcPr>
            <w:tcW w:w="0" w:type="auto"/>
            <w:tcMar>
              <w:left w:w="108" w:type="dxa"/>
              <w:right w:w="108" w:type="dxa"/>
            </w:tcMar>
            <w:vAlign w:val="center"/>
          </w:tcPr>
          <w:p w14:paraId="41AEAB43">
            <w:r>
              <w:t>Streamlit原生</w:t>
            </w:r>
          </w:p>
        </w:tc>
        <w:tc>
          <w:tcPr>
            <w:tcW w:w="0" w:type="auto"/>
            <w:tcMar>
              <w:left w:w="108" w:type="dxa"/>
              <w:right w:w="108" w:type="dxa"/>
            </w:tcMar>
            <w:vAlign w:val="center"/>
          </w:tcPr>
          <w:p w14:paraId="2ED424A5">
            <w:r>
              <w:t>columns、expander、metric等快速构建专业看板</w:t>
            </w:r>
          </w:p>
        </w:tc>
        <w:tc>
          <w:tcPr>
            <w:tcW w:w="0" w:type="auto"/>
            <w:tcMar>
              <w:left w:w="108" w:type="dxa"/>
              <w:right w:w="108" w:type="dxa"/>
            </w:tcMar>
            <w:vAlign w:val="center"/>
          </w:tcPr>
          <w:p w14:paraId="4EF40CB4">
            <w:r>
              <w:t>-</w:t>
            </w:r>
          </w:p>
        </w:tc>
      </w:tr>
      <w:tr w14:paraId="7C7FA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7C7A62C"/>
        </w:tc>
        <w:tc>
          <w:tcPr>
            <w:tcW w:w="0" w:type="auto"/>
            <w:tcMar>
              <w:left w:w="108" w:type="dxa"/>
              <w:right w:w="108" w:type="dxa"/>
            </w:tcMar>
            <w:vAlign w:val="center"/>
          </w:tcPr>
          <w:p w14:paraId="1DB40B0F">
            <w:r>
              <w:t>状态管理</w:t>
            </w:r>
          </w:p>
        </w:tc>
        <w:tc>
          <w:tcPr>
            <w:tcW w:w="0" w:type="auto"/>
            <w:tcMar>
              <w:left w:w="108" w:type="dxa"/>
              <w:right w:w="108" w:type="dxa"/>
            </w:tcMar>
            <w:vAlign w:val="center"/>
          </w:tcPr>
          <w:p w14:paraId="61D3A3F9">
            <w:r>
              <w:t>st.session_state</w:t>
            </w:r>
          </w:p>
        </w:tc>
        <w:tc>
          <w:tcPr>
            <w:tcW w:w="0" w:type="auto"/>
            <w:tcMar>
              <w:left w:w="108" w:type="dxa"/>
              <w:right w:w="108" w:type="dxa"/>
            </w:tcMar>
            <w:vAlign w:val="center"/>
          </w:tcPr>
          <w:p w14:paraId="01DC6D05">
            <w:r>
              <w:t>跨页面/组件共享数据</w:t>
            </w:r>
          </w:p>
        </w:tc>
        <w:tc>
          <w:tcPr>
            <w:tcW w:w="0" w:type="auto"/>
            <w:tcMar>
              <w:left w:w="108" w:type="dxa"/>
              <w:right w:w="108" w:type="dxa"/>
            </w:tcMar>
            <w:vAlign w:val="center"/>
          </w:tcPr>
          <w:p w14:paraId="25D3F107">
            <w:r>
              <w:t>-</w:t>
            </w:r>
          </w:p>
        </w:tc>
      </w:tr>
      <w:tr w14:paraId="4BCDC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FDD14F7"/>
        </w:tc>
        <w:tc>
          <w:tcPr>
            <w:tcW w:w="0" w:type="auto"/>
            <w:tcMar>
              <w:left w:w="108" w:type="dxa"/>
              <w:right w:w="108" w:type="dxa"/>
            </w:tcMar>
            <w:vAlign w:val="center"/>
          </w:tcPr>
          <w:p w14:paraId="320BDFFA">
            <w:r>
              <w:t>图表集成</w:t>
            </w:r>
          </w:p>
        </w:tc>
        <w:tc>
          <w:tcPr>
            <w:tcW w:w="0" w:type="auto"/>
            <w:tcMar>
              <w:left w:w="108" w:type="dxa"/>
              <w:right w:w="108" w:type="dxa"/>
            </w:tcMar>
            <w:vAlign w:val="center"/>
          </w:tcPr>
          <w:p w14:paraId="4A2AB75E">
            <w:r>
              <w:t>streamlit-echarts</w:t>
            </w:r>
          </w:p>
        </w:tc>
        <w:tc>
          <w:tcPr>
            <w:tcW w:w="0" w:type="auto"/>
            <w:tcMar>
              <w:left w:w="108" w:type="dxa"/>
              <w:right w:w="108" w:type="dxa"/>
            </w:tcMar>
            <w:vAlign w:val="center"/>
          </w:tcPr>
          <w:p w14:paraId="34143263">
            <w:r>
              <w:t>Pyecharts与Streamlit的桥梁</w:t>
            </w:r>
          </w:p>
        </w:tc>
        <w:tc>
          <w:tcPr>
            <w:tcW w:w="0" w:type="auto"/>
            <w:tcMar>
              <w:left w:w="108" w:type="dxa"/>
              <w:right w:w="108" w:type="dxa"/>
            </w:tcMar>
            <w:vAlign w:val="center"/>
          </w:tcPr>
          <w:p w14:paraId="20CC1299">
            <w:r>
              <w:t>社区组件</w:t>
            </w:r>
          </w:p>
        </w:tc>
      </w:tr>
    </w:tbl>
    <w:p w14:paraId="0FD2D2AB">
      <w:r>
        <w:rPr>
          <w:b/>
        </w:rPr>
        <w:t>架构说明</w:t>
      </w:r>
      <w:r>
        <w:t>：</w:t>
      </w:r>
    </w:p>
    <w:p w14:paraId="3220E00B">
      <w:pPr>
        <w:numPr>
          <w:ilvl w:val="0"/>
          <w:numId w:val="5"/>
        </w:numPr>
        <w:spacing w:before="0" w:after="0"/>
        <w:ind w:left="720" w:hanging="360"/>
      </w:pPr>
      <w:r>
        <w:rPr>
          <w:b/>
        </w:rPr>
        <w:t>模型层</w:t>
      </w:r>
      <w:r>
        <w:t>：使用PyTorch实现LSTM/GRU，XGBoost通过sklearn API封装，在Stacking框架下融合。</w:t>
      </w:r>
    </w:p>
    <w:p w14:paraId="40711846">
      <w:pPr>
        <w:numPr>
          <w:ilvl w:val="0"/>
          <w:numId w:val="5"/>
        </w:numPr>
        <w:spacing w:before="0" w:after="0"/>
        <w:ind w:left="720" w:hanging="360"/>
      </w:pPr>
      <w:r>
        <w:rPr>
          <w:b/>
        </w:rPr>
        <w:t>数据层</w:t>
      </w:r>
      <w:r>
        <w:t>：采用MySQL存储，SQLAlchemy提供ORM抽象，便于切换数据库（可保留现有SQL Server但推荐MySQL）。</w:t>
      </w:r>
    </w:p>
    <w:p w14:paraId="34261395">
      <w:pPr>
        <w:numPr>
          <w:ilvl w:val="0"/>
          <w:numId w:val="5"/>
        </w:numPr>
        <w:spacing w:before="0" w:after="0"/>
        <w:ind w:left="720" w:hanging="360"/>
      </w:pPr>
      <w:r>
        <w:rPr>
          <w:b/>
        </w:rPr>
        <w:t>后端层</w:t>
      </w:r>
      <w:r>
        <w:t>：Flask提供/predict、/trade、/history等API，模型加载为单例避免重复初始化。</w:t>
      </w:r>
    </w:p>
    <w:p w14:paraId="3013C3C2">
      <w:pPr>
        <w:numPr>
          <w:ilvl w:val="0"/>
          <w:numId w:val="5"/>
        </w:numPr>
        <w:spacing w:before="0" w:after="0"/>
        <w:ind w:left="720" w:hanging="360"/>
      </w:pPr>
      <w:r>
        <w:rPr>
          <w:b/>
        </w:rPr>
        <w:t>前端层</w:t>
      </w:r>
      <w:r>
        <w:t>：Streamlit快速搭建，通过requests调用后端API，Pyecharts生成ECharts图表嵌入。</w:t>
      </w:r>
    </w:p>
    <w:p w14:paraId="0E905D56">
      <w:pPr>
        <w:numPr>
          <w:ilvl w:val="0"/>
          <w:numId w:val="0"/>
        </w:numPr>
      </w:pPr>
      <w:r>
        <w:rPr>
          <w:b/>
        </w:rPr>
        <w:t>优势</w:t>
      </w:r>
      <w:r>
        <w:t>：该技术栈兼顾了</w:t>
      </w:r>
      <w:r>
        <w:rPr>
          <w:b/>
        </w:rPr>
        <w:t>开发效率</w:t>
      </w:r>
      <w:r>
        <w:t>（Streamlit+Pyecharts）、</w:t>
      </w:r>
      <w:r>
        <w:rPr>
          <w:b/>
        </w:rPr>
        <w:t>模型创新</w:t>
      </w:r>
      <w:r>
        <w:t>（Stacking融合）、</w:t>
      </w:r>
      <w:r>
        <w:rPr>
          <w:b/>
        </w:rPr>
        <w:t>数据管理</w:t>
      </w:r>
      <w:r>
        <w:t>（MySQL+SQLAlchemy），完全符合冲刺需求</w:t>
      </w:r>
    </w:p>
    <w:p w14:paraId="0DC7B41E">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PingFangSC-Semibold">
    <w:altName w:val="Times New Roman"/>
    <w:panose1 w:val="00000000000000000000"/>
    <w:charset w:val="00"/>
    <w:family w:val="roman"/>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819534"/>
    <w:multiLevelType w:val="singleLevel"/>
    <w:tmpl w:val="94819534"/>
    <w:lvl w:ilvl="0" w:tentative="0">
      <w:start w:val="1"/>
      <w:numFmt w:val="decimal"/>
      <w:lvlText w:val="%1."/>
      <w:lvlJc w:val="left"/>
      <w:pPr>
        <w:ind w:left="720" w:hanging="360"/>
      </w:pPr>
      <w:rPr>
        <w:sz w:val="24"/>
      </w:rPr>
    </w:lvl>
  </w:abstractNum>
  <w:abstractNum w:abstractNumId="1">
    <w:nsid w:val="D7EEE5C4"/>
    <w:multiLevelType w:val="singleLevel"/>
    <w:tmpl w:val="D7EEE5C4"/>
    <w:lvl w:ilvl="0" w:tentative="0">
      <w:start w:val="1"/>
      <w:numFmt w:val="bullet"/>
      <w:lvlText w:val=""/>
      <w:lvlJc w:val="left"/>
      <w:pPr>
        <w:ind w:left="720" w:hanging="360"/>
      </w:pPr>
      <w:rPr>
        <w:rFonts w:hint="default" w:ascii="Symbol" w:hAnsi="Symbol" w:cs="Symbol"/>
        <w:sz w:val="20"/>
      </w:rPr>
    </w:lvl>
  </w:abstractNum>
  <w:abstractNum w:abstractNumId="2">
    <w:nsid w:val="E77E166B"/>
    <w:multiLevelType w:val="singleLevel"/>
    <w:tmpl w:val="E77E166B"/>
    <w:lvl w:ilvl="0" w:tentative="0">
      <w:start w:val="1"/>
      <w:numFmt w:val="bullet"/>
      <w:lvlText w:val=""/>
      <w:lvlJc w:val="left"/>
      <w:pPr>
        <w:ind w:left="720" w:hanging="360"/>
      </w:pPr>
      <w:rPr>
        <w:rFonts w:hint="default" w:ascii="Symbol" w:hAnsi="Symbol" w:cs="Symbol"/>
        <w:sz w:val="20"/>
      </w:rPr>
    </w:lvl>
  </w:abstractNum>
  <w:abstractNum w:abstractNumId="3">
    <w:nsid w:val="3178AB1F"/>
    <w:multiLevelType w:val="singleLevel"/>
    <w:tmpl w:val="3178AB1F"/>
    <w:lvl w:ilvl="0" w:tentative="0">
      <w:start w:val="6"/>
      <w:numFmt w:val="chineseCounting"/>
      <w:suff w:val="nothing"/>
      <w:lvlText w:val="%1、"/>
      <w:lvlJc w:val="left"/>
      <w:rPr>
        <w:rFonts w:hint="eastAsia"/>
      </w:rPr>
    </w:lvl>
  </w:abstractNum>
  <w:abstractNum w:abstractNumId="4">
    <w:nsid w:val="493F57EC"/>
    <w:multiLevelType w:val="singleLevel"/>
    <w:tmpl w:val="493F57EC"/>
    <w:lvl w:ilvl="0" w:tentative="0">
      <w:start w:val="1"/>
      <w:numFmt w:val="chineseCounting"/>
      <w:suff w:val="nothing"/>
      <w:lvlText w:val="%1、"/>
      <w:lvlJc w:val="left"/>
      <w:rPr>
        <w:rFonts w:hint="eastAsia"/>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E71EC1"/>
    <w:rsid w:val="20F37C9C"/>
    <w:rsid w:val="38E71EC1"/>
    <w:rsid w:val="56101606"/>
    <w:rsid w:val="6DEC6F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5"/>
    <w:basedOn w:val="1"/>
    <w:next w:val="1"/>
    <w:semiHidden/>
    <w:unhideWhenUsed/>
    <w:qFormat/>
    <w:uiPriority w:val="0"/>
    <w:pPr>
      <w:keepNext/>
      <w:keepLines/>
      <w:spacing w:before="280" w:after="290" w:line="376" w:lineRule="auto"/>
      <w:outlineLvl w:val="4"/>
    </w:pPr>
    <w:rPr>
      <w:b/>
      <w:bCs/>
      <w:sz w:val="28"/>
      <w:szCs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character" w:styleId="9">
    <w:name w:val="Strong"/>
    <w:basedOn w:val="8"/>
    <w:qFormat/>
    <w:uiPriority w:val="22"/>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3300</Words>
  <Characters>5097</Characters>
  <Lines>0</Lines>
  <Paragraphs>0</Paragraphs>
  <TotalTime>0</TotalTime>
  <ScaleCrop>false</ScaleCrop>
  <LinksUpToDate>false</LinksUpToDate>
  <CharactersWithSpaces>5237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2026-03-10T13:51:00Z</dcterms:created>
  <dc:creator>WPS_1725681081</dc:creator>
  <cp:lastModifiedBy>WPS_1725681081</cp:lastModifiedBy>
  <dcterms:modified xsi:type="dcterms:W3CDTF">2026-03-12T14:03:12Z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4884F20DF61D409590D55EC19973E750_13</vt:lpwstr>
  </property>
  <property fmtid="{D5CDD505-2E9C-101B-9397-08002B2CF9AE}" pid="4" name="KSOTemplateDocerSaveRecord">
    <vt:lpwstr>eyJoZGlkIjoiMDEzYTFmYzgyOTBhZjQ0ODAyY2EyMTFkYjE1YTkxYjAiLCJ1c2VySWQiOiIxNjMyNDA0NTk1In0=</vt:lpwstr>
  </property>
</Properties>
</file>