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5FD5C">
      <w:pPr>
        <w:jc w:val="center"/>
        <w:rPr>
          <w:sz w:val="24"/>
          <w:szCs w:val="24"/>
        </w:rPr>
      </w:pPr>
      <w:r>
        <w:rPr>
          <w:b/>
          <w:sz w:val="24"/>
          <w:szCs w:val="24"/>
        </w:rPr>
        <w:t>《EcoLife——基于多模型融合的个人生活碳足迹审计与管理系统》项目计划书</w:t>
      </w:r>
    </w:p>
    <w:sdt>
      <w:sdtPr>
        <w:rPr>
          <w:rFonts w:ascii="宋体" w:hAnsi="宋体" w:eastAsia="宋体" w:cstheme="minorBidi"/>
          <w:kern w:val="2"/>
          <w:sz w:val="21"/>
          <w:szCs w:val="24"/>
          <w:lang w:val="en-US" w:eastAsia="zh-CN" w:bidi="ar-SA"/>
        </w:rPr>
        <w:id w:val="147458711"/>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14:paraId="18C3D95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3F9BA74">
          <w:pPr>
            <w:pStyle w:val="6"/>
            <w:tabs>
              <w:tab w:val="right" w:leader="dot" w:pos="8306"/>
            </w:tabs>
          </w:pPr>
          <w:r>
            <w:rPr>
              <w:rFonts w:asciiTheme="minorHAnsi" w:hAnsiTheme="minorHAnsi" w:eastAsiaTheme="minorEastAsia" w:cstheme="minorBidi"/>
              <w:kern w:val="2"/>
              <w:sz w:val="21"/>
              <w:szCs w:val="24"/>
              <w:lang w:val="en-US" w:eastAsia="zh-CN" w:bidi="ar-SA"/>
            </w:rPr>
            <w:fldChar w:fldCharType="begin"/>
          </w:r>
          <w:r>
            <w:rPr>
              <w:rFonts w:asciiTheme="minorHAnsi" w:hAnsiTheme="minorHAnsi" w:eastAsiaTheme="minorEastAsia" w:cstheme="minorBidi"/>
              <w:kern w:val="2"/>
              <w:sz w:val="21"/>
              <w:szCs w:val="24"/>
              <w:lang w:val="en-US" w:eastAsia="zh-CN" w:bidi="ar-SA"/>
            </w:rPr>
            <w:instrText xml:space="preserve">TOC \o "1-9" \h \u </w:instrText>
          </w:r>
          <w:r>
            <w:rPr>
              <w:rFonts w:asciiTheme="minorHAnsi" w:hAnsiTheme="minorHAnsi" w:eastAsiaTheme="minorEastAsia" w:cstheme="minorBidi"/>
              <w:kern w:val="2"/>
              <w:sz w:val="21"/>
              <w:szCs w:val="24"/>
              <w:lang w:val="en-US" w:eastAsia="zh-CN" w:bidi="ar-SA"/>
            </w:rPr>
            <w:fldChar w:fldCharType="separate"/>
          </w: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_Toc14151 </w:instrText>
          </w:r>
          <w:r>
            <w:rPr>
              <w:rFonts w:asciiTheme="minorHAnsi" w:hAnsiTheme="minorHAnsi" w:eastAsiaTheme="minorEastAsia" w:cstheme="minorBidi"/>
              <w:kern w:val="2"/>
              <w:szCs w:val="24"/>
              <w:lang w:val="en-US" w:eastAsia="zh-CN" w:bidi="ar-SA"/>
            </w:rPr>
            <w:fldChar w:fldCharType="separate"/>
          </w:r>
          <w:r>
            <w:t>一、 项目背景</w:t>
          </w:r>
          <w:r>
            <w:tab/>
          </w:r>
          <w:r>
            <w:fldChar w:fldCharType="begin"/>
          </w:r>
          <w:r>
            <w:instrText xml:space="preserve"> PAGEREF _Toc14151 \h </w:instrText>
          </w:r>
          <w:r>
            <w:fldChar w:fldCharType="separate"/>
          </w:r>
          <w:r>
            <w:t>1</w:t>
          </w:r>
          <w:r>
            <w:fldChar w:fldCharType="end"/>
          </w:r>
          <w:r>
            <w:rPr>
              <w:rFonts w:asciiTheme="minorHAnsi" w:hAnsiTheme="minorHAnsi" w:eastAsiaTheme="minorEastAsia" w:cstheme="minorBidi"/>
              <w:kern w:val="2"/>
              <w:szCs w:val="24"/>
              <w:lang w:val="en-US" w:eastAsia="zh-CN" w:bidi="ar-SA"/>
            </w:rPr>
            <w:fldChar w:fldCharType="end"/>
          </w:r>
        </w:p>
        <w:p w14:paraId="57A5F6BB">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_Toc27801 </w:instrText>
          </w:r>
          <w:r>
            <w:rPr>
              <w:rFonts w:asciiTheme="minorHAnsi" w:hAnsiTheme="minorHAnsi" w:eastAsiaTheme="minorEastAsia" w:cstheme="minorBidi"/>
              <w:kern w:val="2"/>
              <w:szCs w:val="24"/>
              <w:lang w:val="en-US" w:eastAsia="zh-CN" w:bidi="ar-SA"/>
            </w:rPr>
            <w:fldChar w:fldCharType="separate"/>
          </w:r>
          <w:r>
            <w:t>1.1 “双碳”目标向生活端的延伸</w:t>
          </w:r>
          <w:r>
            <w:tab/>
          </w:r>
          <w:r>
            <w:fldChar w:fldCharType="begin"/>
          </w:r>
          <w:r>
            <w:instrText xml:space="preserve"> PAGEREF _Toc27801 \h </w:instrText>
          </w:r>
          <w:r>
            <w:fldChar w:fldCharType="separate"/>
          </w:r>
          <w:r>
            <w:t>1</w:t>
          </w:r>
          <w:r>
            <w:fldChar w:fldCharType="end"/>
          </w:r>
          <w:r>
            <w:rPr>
              <w:rFonts w:asciiTheme="minorHAnsi" w:hAnsiTheme="minorHAnsi" w:eastAsiaTheme="minorEastAsia" w:cstheme="minorBidi"/>
              <w:kern w:val="2"/>
              <w:szCs w:val="24"/>
              <w:lang w:val="en-US" w:eastAsia="zh-CN" w:bidi="ar-SA"/>
            </w:rPr>
            <w:fldChar w:fldCharType="end"/>
          </w:r>
        </w:p>
        <w:p w14:paraId="1E5DAD43">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_Toc22944 </w:instrText>
          </w:r>
          <w:r>
            <w:rPr>
              <w:rFonts w:asciiTheme="minorHAnsi" w:hAnsiTheme="minorHAnsi" w:eastAsiaTheme="minorEastAsia" w:cstheme="minorBidi"/>
              <w:kern w:val="2"/>
              <w:szCs w:val="24"/>
              <w:lang w:val="en-US" w:eastAsia="zh-CN" w:bidi="ar-SA"/>
            </w:rPr>
            <w:fldChar w:fldCharType="separate"/>
          </w:r>
          <w:r>
            <w:t>1.2 个人碳账户：从理念到实践的紧迫性</w:t>
          </w:r>
          <w:r>
            <w:tab/>
          </w:r>
          <w:r>
            <w:fldChar w:fldCharType="begin"/>
          </w:r>
          <w:r>
            <w:instrText xml:space="preserve"> PAGEREF _Toc22944 \h </w:instrText>
          </w:r>
          <w:r>
            <w:fldChar w:fldCharType="separate"/>
          </w:r>
          <w:r>
            <w:t>1</w:t>
          </w:r>
          <w:r>
            <w:fldChar w:fldCharType="end"/>
          </w:r>
          <w:r>
            <w:rPr>
              <w:rFonts w:asciiTheme="minorHAnsi" w:hAnsiTheme="minorHAnsi" w:eastAsiaTheme="minorEastAsia" w:cstheme="minorBidi"/>
              <w:kern w:val="2"/>
              <w:szCs w:val="24"/>
              <w:lang w:val="en-US" w:eastAsia="zh-CN" w:bidi="ar-SA"/>
            </w:rPr>
            <w:fldChar w:fldCharType="end"/>
          </w:r>
        </w:p>
        <w:p w14:paraId="5EE2944A">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_Toc14085 </w:instrText>
          </w:r>
          <w:r>
            <w:rPr>
              <w:rFonts w:asciiTheme="minorHAnsi" w:hAnsiTheme="minorHAnsi" w:eastAsiaTheme="minorEastAsia" w:cstheme="minorBidi"/>
              <w:kern w:val="2"/>
              <w:szCs w:val="24"/>
              <w:lang w:val="en-US" w:eastAsia="zh-CN" w:bidi="ar-SA"/>
            </w:rPr>
            <w:fldChar w:fldCharType="separate"/>
          </w:r>
          <w:r>
            <w:t>1.3 从“企业级排放”到“个人微观碳审计”的范式转变</w:t>
          </w:r>
          <w:r>
            <w:tab/>
          </w:r>
          <w:r>
            <w:fldChar w:fldCharType="begin"/>
          </w:r>
          <w:r>
            <w:instrText xml:space="preserve"> PAGEREF _Toc14085 \h </w:instrText>
          </w:r>
          <w:r>
            <w:fldChar w:fldCharType="separate"/>
          </w:r>
          <w:r>
            <w:t>2</w:t>
          </w:r>
          <w:r>
            <w:fldChar w:fldCharType="end"/>
          </w:r>
          <w:r>
            <w:rPr>
              <w:rFonts w:asciiTheme="minorHAnsi" w:hAnsiTheme="minorHAnsi" w:eastAsiaTheme="minorEastAsia" w:cstheme="minorBidi"/>
              <w:kern w:val="2"/>
              <w:szCs w:val="24"/>
              <w:lang w:val="en-US" w:eastAsia="zh-CN" w:bidi="ar-SA"/>
            </w:rPr>
            <w:fldChar w:fldCharType="end"/>
          </w:r>
        </w:p>
        <w:p w14:paraId="497E084A">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_Toc3860 </w:instrText>
          </w:r>
          <w:r>
            <w:rPr>
              <w:rFonts w:asciiTheme="minorHAnsi" w:hAnsiTheme="minorHAnsi" w:eastAsiaTheme="minorEastAsia" w:cstheme="minorBidi"/>
              <w:kern w:val="2"/>
              <w:szCs w:val="24"/>
              <w:lang w:val="en-US" w:eastAsia="zh-CN" w:bidi="ar-SA"/>
            </w:rPr>
            <w:fldChar w:fldCharType="separate"/>
          </w:r>
          <w:r>
            <w:t>二、作品名称</w:t>
          </w:r>
          <w:r>
            <w:tab/>
          </w:r>
          <w:r>
            <w:fldChar w:fldCharType="begin"/>
          </w:r>
          <w:r>
            <w:instrText xml:space="preserve"> PAGEREF _Toc3860 \h </w:instrText>
          </w:r>
          <w:r>
            <w:fldChar w:fldCharType="separate"/>
          </w:r>
          <w:r>
            <w:t>2</w:t>
          </w:r>
          <w:r>
            <w:fldChar w:fldCharType="end"/>
          </w:r>
          <w:r>
            <w:rPr>
              <w:rFonts w:asciiTheme="minorHAnsi" w:hAnsiTheme="minorHAnsi" w:eastAsiaTheme="minorEastAsia" w:cstheme="minorBidi"/>
              <w:kern w:val="2"/>
              <w:szCs w:val="24"/>
              <w:lang w:val="en-US" w:eastAsia="zh-CN" w:bidi="ar-SA"/>
            </w:rPr>
            <w:fldChar w:fldCharType="end"/>
          </w:r>
        </w:p>
        <w:p w14:paraId="090FA792">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_Toc23840 </w:instrText>
          </w:r>
          <w:r>
            <w:rPr>
              <w:rFonts w:asciiTheme="minorHAnsi" w:hAnsiTheme="minorHAnsi" w:eastAsiaTheme="minorEastAsia" w:cstheme="minorBidi"/>
              <w:kern w:val="2"/>
              <w:szCs w:val="24"/>
              <w:lang w:val="en-US" w:eastAsia="zh-CN" w:bidi="ar-SA"/>
            </w:rPr>
            <w:fldChar w:fldCharType="separate"/>
          </w:r>
          <w:r>
            <w:t>三、系统总体架构</w:t>
          </w:r>
          <w:r>
            <w:tab/>
          </w:r>
          <w:r>
            <w:fldChar w:fldCharType="begin"/>
          </w:r>
          <w:r>
            <w:instrText xml:space="preserve"> PAGEREF _Toc23840 \h </w:instrText>
          </w:r>
          <w:r>
            <w:fldChar w:fldCharType="separate"/>
          </w:r>
          <w:r>
            <w:t>2</w:t>
          </w:r>
          <w:r>
            <w:fldChar w:fldCharType="end"/>
          </w:r>
          <w:r>
            <w:rPr>
              <w:rFonts w:asciiTheme="minorHAnsi" w:hAnsiTheme="minorHAnsi" w:eastAsiaTheme="minorEastAsia" w:cstheme="minorBidi"/>
              <w:kern w:val="2"/>
              <w:szCs w:val="24"/>
              <w:lang w:val="en-US" w:eastAsia="zh-CN" w:bidi="ar-SA"/>
            </w:rPr>
            <w:fldChar w:fldCharType="end"/>
          </w:r>
        </w:p>
        <w:p w14:paraId="3A076E16">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_Toc15235 </w:instrText>
          </w:r>
          <w:r>
            <w:rPr>
              <w:rFonts w:asciiTheme="minorHAnsi" w:hAnsiTheme="minorHAnsi" w:eastAsiaTheme="minorEastAsia" w:cstheme="minorBidi"/>
              <w:kern w:val="2"/>
              <w:szCs w:val="24"/>
              <w:lang w:val="en-US" w:eastAsia="zh-CN" w:bidi="ar-SA"/>
            </w:rPr>
            <w:fldChar w:fldCharType="separate"/>
          </w:r>
          <w:r>
            <w:t>3.1 三层架构体系</w:t>
          </w:r>
          <w:r>
            <w:tab/>
          </w:r>
          <w:r>
            <w:fldChar w:fldCharType="begin"/>
          </w:r>
          <w:r>
            <w:instrText xml:space="preserve"> PAGEREF _Toc15235 \h </w:instrText>
          </w:r>
          <w:r>
            <w:fldChar w:fldCharType="separate"/>
          </w:r>
          <w:r>
            <w:t>2</w:t>
          </w:r>
          <w:r>
            <w:fldChar w:fldCharType="end"/>
          </w:r>
          <w:r>
            <w:rPr>
              <w:rFonts w:asciiTheme="minorHAnsi" w:hAnsiTheme="minorHAnsi" w:eastAsiaTheme="minorEastAsia" w:cstheme="minorBidi"/>
              <w:kern w:val="2"/>
              <w:szCs w:val="24"/>
              <w:lang w:val="en-US" w:eastAsia="zh-CN" w:bidi="ar-SA"/>
            </w:rPr>
            <w:fldChar w:fldCharType="end"/>
          </w:r>
        </w:p>
        <w:p w14:paraId="5B975FB5">
          <w:pPr>
            <w:pStyle w:val="5"/>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_Toc9531 </w:instrText>
          </w:r>
          <w:r>
            <w:rPr>
              <w:rFonts w:asciiTheme="minorHAnsi" w:hAnsiTheme="minorHAnsi" w:eastAsiaTheme="minorEastAsia" w:cstheme="minorBidi"/>
              <w:kern w:val="2"/>
              <w:szCs w:val="24"/>
              <w:lang w:val="en-US" w:eastAsia="zh-CN" w:bidi="ar-SA"/>
            </w:rPr>
            <w:fldChar w:fldCharType="separate"/>
          </w:r>
          <w:r>
            <w:t>A． 数据层</w:t>
          </w:r>
          <w:r>
            <w:tab/>
          </w:r>
          <w:r>
            <w:fldChar w:fldCharType="begin"/>
          </w:r>
          <w:r>
            <w:instrText xml:space="preserve"> PAGEREF _Toc9531 \h </w:instrText>
          </w:r>
          <w:r>
            <w:fldChar w:fldCharType="separate"/>
          </w:r>
          <w:r>
            <w:t>2</w:t>
          </w:r>
          <w:r>
            <w:fldChar w:fldCharType="end"/>
          </w:r>
          <w:r>
            <w:rPr>
              <w:rFonts w:asciiTheme="minorHAnsi" w:hAnsiTheme="minorHAnsi" w:eastAsiaTheme="minorEastAsia" w:cstheme="minorBidi"/>
              <w:kern w:val="2"/>
              <w:szCs w:val="24"/>
              <w:lang w:val="en-US" w:eastAsia="zh-CN" w:bidi="ar-SA"/>
            </w:rPr>
            <w:fldChar w:fldCharType="end"/>
          </w:r>
        </w:p>
        <w:p w14:paraId="154B7789">
          <w:pPr>
            <w:pStyle w:val="5"/>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_Toc32286 </w:instrText>
          </w:r>
          <w:r>
            <w:rPr>
              <w:rFonts w:asciiTheme="minorHAnsi" w:hAnsiTheme="minorHAnsi" w:eastAsiaTheme="minorEastAsia" w:cstheme="minorBidi"/>
              <w:kern w:val="2"/>
              <w:szCs w:val="24"/>
              <w:lang w:val="en-US" w:eastAsia="zh-CN" w:bidi="ar-SA"/>
            </w:rPr>
            <w:fldChar w:fldCharType="separate"/>
          </w:r>
          <w:r>
            <w:t>B． 模型层</w:t>
          </w:r>
          <w:r>
            <w:tab/>
          </w:r>
          <w:r>
            <w:fldChar w:fldCharType="begin"/>
          </w:r>
          <w:r>
            <w:instrText xml:space="preserve"> PAGEREF _Toc32286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5A53B768">
          <w:pPr>
            <w:pStyle w:val="5"/>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_Toc834 </w:instrText>
          </w:r>
          <w:r>
            <w:rPr>
              <w:rFonts w:asciiTheme="minorHAnsi" w:hAnsiTheme="minorHAnsi" w:eastAsiaTheme="minorEastAsia" w:cstheme="minorBidi"/>
              <w:kern w:val="2"/>
              <w:szCs w:val="24"/>
              <w:lang w:val="en-US" w:eastAsia="zh-CN" w:bidi="ar-SA"/>
            </w:rPr>
            <w:fldChar w:fldCharType="separate"/>
          </w:r>
          <w:r>
            <w:t>C． 应用层</w:t>
          </w:r>
          <w:r>
            <w:tab/>
          </w:r>
          <w:r>
            <w:fldChar w:fldCharType="begin"/>
          </w:r>
          <w:r>
            <w:instrText xml:space="preserve"> PAGEREF _Toc834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6D495A08">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_Toc3744 </w:instrText>
          </w:r>
          <w:r>
            <w:rPr>
              <w:rFonts w:asciiTheme="minorHAnsi" w:hAnsiTheme="minorHAnsi" w:eastAsiaTheme="minorEastAsia" w:cstheme="minorBidi"/>
              <w:kern w:val="2"/>
              <w:szCs w:val="24"/>
              <w:lang w:val="en-US" w:eastAsia="zh-CN" w:bidi="ar-SA"/>
            </w:rPr>
            <w:fldChar w:fldCharType="separate"/>
          </w:r>
          <w:r>
            <w:t>3.2 系统技术路线图</w:t>
          </w:r>
          <w:r>
            <w:tab/>
          </w:r>
          <w:r>
            <w:fldChar w:fldCharType="begin"/>
          </w:r>
          <w:r>
            <w:instrText xml:space="preserve"> PAGEREF _Toc3744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2C61AAD2">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_Toc32151 </w:instrText>
          </w:r>
          <w:r>
            <w:rPr>
              <w:rFonts w:asciiTheme="minorHAnsi" w:hAnsiTheme="minorHAnsi" w:eastAsiaTheme="minorEastAsia" w:cstheme="minorBidi"/>
              <w:kern w:val="2"/>
              <w:szCs w:val="24"/>
              <w:lang w:val="en-US" w:eastAsia="zh-CN" w:bidi="ar-SA"/>
            </w:rPr>
            <w:fldChar w:fldCharType="separate"/>
          </w:r>
          <w:r>
            <w:t>四、核心技术创新点</w:t>
          </w:r>
          <w:r>
            <w:tab/>
          </w:r>
          <w:r>
            <w:fldChar w:fldCharType="begin"/>
          </w:r>
          <w:r>
            <w:instrText xml:space="preserve"> PAGEREF _Toc32151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666EB9DC">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_Toc6442 </w:instrText>
          </w:r>
          <w:r>
            <w:rPr>
              <w:rFonts w:asciiTheme="minorHAnsi" w:hAnsiTheme="minorHAnsi" w:eastAsiaTheme="minorEastAsia" w:cstheme="minorBidi"/>
              <w:kern w:val="2"/>
              <w:szCs w:val="24"/>
              <w:lang w:val="en-US" w:eastAsia="zh-CN" w:bidi="ar-SA"/>
            </w:rPr>
            <w:fldChar w:fldCharType="separate"/>
          </w:r>
          <w:r>
            <w:t>4.1 异构模型深度融合机制（Stacking Ensemble for High‑Volatility Lifestyles）</w:t>
          </w:r>
          <w:r>
            <w:tab/>
          </w:r>
          <w:r>
            <w:fldChar w:fldCharType="begin"/>
          </w:r>
          <w:r>
            <w:instrText xml:space="preserve"> PAGEREF _Toc6442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70835C9C">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_Toc31228 </w:instrText>
          </w:r>
          <w:r>
            <w:rPr>
              <w:rFonts w:asciiTheme="minorHAnsi" w:hAnsiTheme="minorHAnsi" w:eastAsiaTheme="minorEastAsia" w:cstheme="minorBidi"/>
              <w:kern w:val="2"/>
              <w:szCs w:val="24"/>
              <w:lang w:val="en-US" w:eastAsia="zh-CN" w:bidi="ar-SA"/>
            </w:rPr>
            <w:fldChar w:fldCharType="separate"/>
          </w:r>
          <w:r>
            <w:t>4.2 全场景、多时间尺度的碳足迹预测服务</w:t>
          </w:r>
          <w:r>
            <w:tab/>
          </w:r>
          <w:r>
            <w:fldChar w:fldCharType="begin"/>
          </w:r>
          <w:r>
            <w:instrText xml:space="preserve"> PAGEREF _Toc31228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2D0AA10A">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_Toc13841 </w:instrText>
          </w:r>
          <w:r>
            <w:rPr>
              <w:rFonts w:asciiTheme="minorHAnsi" w:hAnsiTheme="minorHAnsi" w:eastAsiaTheme="minorEastAsia" w:cstheme="minorBidi"/>
              <w:kern w:val="2"/>
              <w:szCs w:val="24"/>
              <w:lang w:val="en-US" w:eastAsia="zh-CN" w:bidi="ar-SA"/>
            </w:rPr>
            <w:fldChar w:fldCharType="separate"/>
          </w:r>
          <w:r>
            <w:t>4.3 预测驱动的“碳抵消与绿色激励”决策模型</w:t>
          </w:r>
          <w:r>
            <w:tab/>
          </w:r>
          <w:r>
            <w:fldChar w:fldCharType="begin"/>
          </w:r>
          <w:r>
            <w:instrText xml:space="preserve"> PAGEREF _Toc13841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666D5126">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_Toc15013 </w:instrText>
          </w:r>
          <w:r>
            <w:rPr>
              <w:rFonts w:asciiTheme="minorHAnsi" w:hAnsiTheme="minorHAnsi" w:eastAsiaTheme="minorEastAsia" w:cstheme="minorBidi"/>
              <w:kern w:val="2"/>
              <w:szCs w:val="24"/>
              <w:lang w:val="en-US" w:eastAsia="zh-CN" w:bidi="ar-SA"/>
            </w:rPr>
            <w:fldChar w:fldCharType="separate"/>
          </w:r>
          <w:r>
            <w:t>4.4 基于SHAP的碳足迹可解释性工程</w:t>
          </w:r>
          <w:r>
            <w:tab/>
          </w:r>
          <w:r>
            <w:fldChar w:fldCharType="begin"/>
          </w:r>
          <w:r>
            <w:instrText xml:space="preserve"> PAGEREF _Toc15013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35E60B48">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_Toc17702 </w:instrText>
          </w:r>
          <w:r>
            <w:rPr>
              <w:rFonts w:asciiTheme="minorHAnsi" w:hAnsiTheme="minorHAnsi" w:eastAsiaTheme="minorEastAsia" w:cstheme="minorBidi"/>
              <w:kern w:val="2"/>
              <w:szCs w:val="24"/>
              <w:lang w:val="en-US" w:eastAsia="zh-CN" w:bidi="ar-SA"/>
            </w:rPr>
            <w:fldChar w:fldCharType="separate"/>
          </w:r>
          <w:r>
            <w:t>五、核心功能模块详解</w:t>
          </w:r>
          <w:r>
            <w:tab/>
          </w:r>
          <w:r>
            <w:fldChar w:fldCharType="begin"/>
          </w:r>
          <w:r>
            <w:instrText xml:space="preserve"> PAGEREF _Toc17702 \h </w:instrText>
          </w:r>
          <w:r>
            <w:fldChar w:fldCharType="separate"/>
          </w:r>
          <w:r>
            <w:t>6</w:t>
          </w:r>
          <w:r>
            <w:fldChar w:fldCharType="end"/>
          </w:r>
          <w:r>
            <w:rPr>
              <w:rFonts w:asciiTheme="minorHAnsi" w:hAnsiTheme="minorHAnsi" w:eastAsiaTheme="minorEastAsia" w:cstheme="minorBidi"/>
              <w:kern w:val="2"/>
              <w:szCs w:val="24"/>
              <w:lang w:val="en-US" w:eastAsia="zh-CN" w:bidi="ar-SA"/>
            </w:rPr>
            <w:fldChar w:fldCharType="end"/>
          </w:r>
        </w:p>
        <w:p w14:paraId="4D10B59F">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_Toc21723 </w:instrText>
          </w:r>
          <w:r>
            <w:rPr>
              <w:rFonts w:asciiTheme="minorHAnsi" w:hAnsiTheme="minorHAnsi" w:eastAsiaTheme="minorEastAsia" w:cstheme="minorBidi"/>
              <w:kern w:val="2"/>
              <w:szCs w:val="24"/>
              <w:lang w:val="en-US" w:eastAsia="zh-CN" w:bidi="ar-SA"/>
            </w:rPr>
            <w:fldChar w:fldCharType="separate"/>
          </w:r>
          <w:r>
            <w:t>5.1 项目技术栈</w:t>
          </w:r>
          <w:r>
            <w:tab/>
          </w:r>
          <w:r>
            <w:fldChar w:fldCharType="begin"/>
          </w:r>
          <w:r>
            <w:instrText xml:space="preserve"> PAGEREF _Toc21723 \h </w:instrText>
          </w:r>
          <w:r>
            <w:fldChar w:fldCharType="separate"/>
          </w:r>
          <w:r>
            <w:t>6</w:t>
          </w:r>
          <w:r>
            <w:fldChar w:fldCharType="end"/>
          </w:r>
          <w:r>
            <w:rPr>
              <w:rFonts w:asciiTheme="minorHAnsi" w:hAnsiTheme="minorHAnsi" w:eastAsiaTheme="minorEastAsia" w:cstheme="minorBidi"/>
              <w:kern w:val="2"/>
              <w:szCs w:val="24"/>
              <w:lang w:val="en-US" w:eastAsia="zh-CN" w:bidi="ar-SA"/>
            </w:rPr>
            <w:fldChar w:fldCharType="end"/>
          </w:r>
        </w:p>
        <w:p w14:paraId="78262BE4">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_Toc28738 </w:instrText>
          </w:r>
          <w:r>
            <w:rPr>
              <w:rFonts w:asciiTheme="minorHAnsi" w:hAnsiTheme="minorHAnsi" w:eastAsiaTheme="minorEastAsia" w:cstheme="minorBidi"/>
              <w:kern w:val="2"/>
              <w:szCs w:val="24"/>
              <w:lang w:val="en-US" w:eastAsia="zh-CN" w:bidi="ar-SA"/>
            </w:rPr>
            <w:fldChar w:fldCharType="separate"/>
          </w:r>
          <w:r>
            <w:t>5.2 减碳建议引擎：决策逻辑与算法流程</w:t>
          </w:r>
          <w:r>
            <w:tab/>
          </w:r>
          <w:r>
            <w:fldChar w:fldCharType="begin"/>
          </w:r>
          <w:r>
            <w:instrText xml:space="preserve"> PAGEREF _Toc28738 \h </w:instrText>
          </w:r>
          <w:r>
            <w:fldChar w:fldCharType="separate"/>
          </w:r>
          <w:r>
            <w:t>6</w:t>
          </w:r>
          <w:r>
            <w:fldChar w:fldCharType="end"/>
          </w:r>
          <w:r>
            <w:rPr>
              <w:rFonts w:asciiTheme="minorHAnsi" w:hAnsiTheme="minorHAnsi" w:eastAsiaTheme="minorEastAsia" w:cstheme="minorBidi"/>
              <w:kern w:val="2"/>
              <w:szCs w:val="24"/>
              <w:lang w:val="en-US" w:eastAsia="zh-CN" w:bidi="ar-SA"/>
            </w:rPr>
            <w:fldChar w:fldCharType="end"/>
          </w:r>
        </w:p>
        <w:p w14:paraId="6F4F6F1A">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_Toc30184 </w:instrText>
          </w:r>
          <w:r>
            <w:rPr>
              <w:rFonts w:asciiTheme="minorHAnsi" w:hAnsiTheme="minorHAnsi" w:eastAsiaTheme="minorEastAsia" w:cstheme="minorBidi"/>
              <w:kern w:val="2"/>
              <w:szCs w:val="24"/>
              <w:lang w:val="en-US" w:eastAsia="zh-CN" w:bidi="ar-SA"/>
            </w:rPr>
            <w:fldChar w:fldCharType="separate"/>
          </w:r>
          <w:r>
            <w:t>5.3 减碳策略库与场景化优化方案</w:t>
          </w:r>
          <w:r>
            <w:tab/>
          </w:r>
          <w:r>
            <w:fldChar w:fldCharType="begin"/>
          </w:r>
          <w:r>
            <w:instrText xml:space="preserve"> PAGEREF _Toc30184 \h </w:instrText>
          </w:r>
          <w:r>
            <w:fldChar w:fldCharType="separate"/>
          </w:r>
          <w:r>
            <w:t>7</w:t>
          </w:r>
          <w:r>
            <w:fldChar w:fldCharType="end"/>
          </w:r>
          <w:r>
            <w:rPr>
              <w:rFonts w:asciiTheme="minorHAnsi" w:hAnsiTheme="minorHAnsi" w:eastAsiaTheme="minorEastAsia" w:cstheme="minorBidi"/>
              <w:kern w:val="2"/>
              <w:szCs w:val="24"/>
              <w:lang w:val="en-US" w:eastAsia="zh-CN" w:bidi="ar-SA"/>
            </w:rPr>
            <w:fldChar w:fldCharType="end"/>
          </w:r>
        </w:p>
        <w:p w14:paraId="23CE34D5">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_Toc30487 </w:instrText>
          </w:r>
          <w:r>
            <w:rPr>
              <w:rFonts w:asciiTheme="minorHAnsi" w:hAnsiTheme="minorHAnsi" w:eastAsiaTheme="minorEastAsia" w:cstheme="minorBidi"/>
              <w:kern w:val="2"/>
              <w:szCs w:val="24"/>
              <w:lang w:val="en-US" w:eastAsia="zh-CN" w:bidi="ar-SA"/>
            </w:rPr>
            <w:fldChar w:fldCharType="separate"/>
          </w:r>
          <w:r>
            <w:t>5.4 碳管理效益评估指标体系（Carbon Metrics）</w:t>
          </w:r>
          <w:r>
            <w:tab/>
          </w:r>
          <w:r>
            <w:fldChar w:fldCharType="begin"/>
          </w:r>
          <w:r>
            <w:instrText xml:space="preserve"> PAGEREF _Toc30487 \h </w:instrText>
          </w:r>
          <w:r>
            <w:fldChar w:fldCharType="separate"/>
          </w:r>
          <w:r>
            <w:t>8</w:t>
          </w:r>
          <w:r>
            <w:fldChar w:fldCharType="end"/>
          </w:r>
          <w:r>
            <w:rPr>
              <w:rFonts w:asciiTheme="minorHAnsi" w:hAnsiTheme="minorHAnsi" w:eastAsiaTheme="minorEastAsia" w:cstheme="minorBidi"/>
              <w:kern w:val="2"/>
              <w:szCs w:val="24"/>
              <w:lang w:val="en-US" w:eastAsia="zh-CN" w:bidi="ar-SA"/>
            </w:rPr>
            <w:fldChar w:fldCharType="end"/>
          </w:r>
        </w:p>
        <w:p w14:paraId="347F8FD7">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_Toc12314 </w:instrText>
          </w:r>
          <w:r>
            <w:rPr>
              <w:rFonts w:asciiTheme="minorHAnsi" w:hAnsiTheme="minorHAnsi" w:eastAsiaTheme="minorEastAsia" w:cstheme="minorBidi"/>
              <w:kern w:val="2"/>
              <w:szCs w:val="24"/>
              <w:lang w:val="en-US" w:eastAsia="zh-CN" w:bidi="ar-SA"/>
            </w:rPr>
            <w:fldChar w:fldCharType="separate"/>
          </w:r>
          <w:r>
            <w:t>5.5 系统原型与可视化预览</w:t>
          </w:r>
          <w:r>
            <w:tab/>
          </w:r>
          <w:r>
            <w:fldChar w:fldCharType="begin"/>
          </w:r>
          <w:r>
            <w:instrText xml:space="preserve"> PAGEREF _Toc12314 \h </w:instrText>
          </w:r>
          <w:r>
            <w:fldChar w:fldCharType="separate"/>
          </w:r>
          <w:r>
            <w:t>9</w:t>
          </w:r>
          <w:r>
            <w:fldChar w:fldCharType="end"/>
          </w:r>
          <w:r>
            <w:rPr>
              <w:rFonts w:asciiTheme="minorHAnsi" w:hAnsiTheme="minorHAnsi" w:eastAsiaTheme="minorEastAsia" w:cstheme="minorBidi"/>
              <w:kern w:val="2"/>
              <w:szCs w:val="24"/>
              <w:lang w:val="en-US" w:eastAsia="zh-CN" w:bidi="ar-SA"/>
            </w:rPr>
            <w:fldChar w:fldCharType="end"/>
          </w:r>
        </w:p>
        <w:p w14:paraId="4C046B67">
          <w:pPr>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Cs w:val="24"/>
              <w:lang w:val="en-US" w:eastAsia="zh-CN" w:bidi="ar-SA"/>
            </w:rPr>
            <w:fldChar w:fldCharType="end"/>
          </w:r>
        </w:p>
      </w:sdtContent>
    </w:sdt>
    <w:p w14:paraId="2A9297F2">
      <w:pPr>
        <w:rPr>
          <w:rFonts w:asciiTheme="minorHAnsi" w:hAnsiTheme="minorHAnsi" w:eastAsiaTheme="minorEastAsia" w:cstheme="minorBidi"/>
          <w:kern w:val="2"/>
          <w:sz w:val="21"/>
          <w:szCs w:val="24"/>
          <w:lang w:val="en-US" w:eastAsia="zh-CN" w:bidi="ar-SA"/>
        </w:rPr>
      </w:pPr>
    </w:p>
    <w:p w14:paraId="45C4636C">
      <w:pPr>
        <w:pStyle w:val="2"/>
        <w:outlineLvl w:val="0"/>
      </w:pPr>
      <w:bookmarkStart w:id="0" w:name="_Toc14151"/>
      <w:r>
        <w:t>一、 项目背景</w:t>
      </w:r>
      <w:bookmarkEnd w:id="0"/>
    </w:p>
    <w:p w14:paraId="5E817DA0">
      <w:pPr>
        <w:pStyle w:val="3"/>
        <w:outlineLvl w:val="1"/>
      </w:pPr>
      <w:bookmarkStart w:id="1" w:name="_Toc27801"/>
      <w:r>
        <w:t>1.1 “双碳”目标向生活端的延伸</w:t>
      </w:r>
      <w:bookmarkEnd w:id="1"/>
    </w:p>
    <w:p w14:paraId="28932E4A">
      <w:r>
        <w:t>2020年我国明确提出“2030年前碳达峰、2060年前碳中和”的战略目标。初期政策焦点集中于能源、工业等生产侧减排，但随着《2030年前碳达峰行动方案》《绿色生活创建行动总体方案》等文件的陆续出台，居民生活消费领域的碳减排已上升为新的政策着力点。据统计，居民生活直接与间接碳排放约占全社会总排放的40%以上，且呈持续增长态势。然而，公众对自身日常行为的碳足迹认知模糊，缺乏量化工具与科学指导，“知碳难、算碳难、减碳更难”成为普遍痛点。</w:t>
      </w:r>
    </w:p>
    <w:p w14:paraId="32D1D4BA">
      <w:pPr>
        <w:pStyle w:val="3"/>
        <w:outlineLvl w:val="1"/>
      </w:pPr>
      <w:bookmarkStart w:id="2" w:name="_Toc22944"/>
      <w:r>
        <w:t>1.2 个人碳账户：从理念到实践的紧迫性</w:t>
      </w:r>
      <w:bookmarkEnd w:id="2"/>
    </w:p>
    <w:p w14:paraId="5FF507C6">
      <w:r>
        <w:t>近年来，浙江、广东等地已开始试点“个人碳账户”，尝试将居民的绿色行为（如公交出行、节约用电）转化为可量化的碳积分，并与信用体系、普惠金融挂钩。但现有碳账户多依赖静态换算因子，无法捕捉个体行为的动态性与异质性，更难以对未来碳排放进行前瞻性预测。要实现真正的“碳预算管理”，必须构建能够融合多源异构数据、刻画个人生活轨迹、预测未来碳趋势的智能化审计系统。</w:t>
      </w:r>
    </w:p>
    <w:p w14:paraId="2FCB89E7">
      <w:pPr>
        <w:pStyle w:val="3"/>
        <w:outlineLvl w:val="1"/>
      </w:pPr>
      <w:bookmarkStart w:id="3" w:name="_Toc14085"/>
      <w:r>
        <w:t>1.3 从“企业级排放”到“个人微观碳审计”的范式转变</w:t>
      </w:r>
      <w:bookmarkEnd w:id="3"/>
    </w:p>
    <w:p w14:paraId="50617370">
      <w:r>
        <w:t>传统碳盘查多面向组织或产品，采用“自上而下”的因子法，粒度粗、时效差。本项目借鉴工业工程中的系统优化思维，将碳核算单元下沉至“个人每日生活”，通过多模态感知与AI融合技术，实现“自下而上”的微观碳审计。这不仅是技术维度的创新，更是碳管理理念的根本转变——让每个个体都能像管理财务一样管理自己的“碳资产”，从而推动全社会形成绿色低碳的生活风尚。</w:t>
      </w:r>
    </w:p>
    <w:p w14:paraId="643DEB98">
      <w:pPr>
        <w:pStyle w:val="2"/>
        <w:outlineLvl w:val="0"/>
      </w:pPr>
      <w:bookmarkStart w:id="4" w:name="_Toc3860"/>
      <w:r>
        <w:t>二、作品名称</w:t>
      </w:r>
      <w:bookmarkEnd w:id="4"/>
    </w:p>
    <w:p w14:paraId="68D4F9D9">
      <w:r>
        <w:rPr>
          <w:b/>
        </w:rPr>
        <w:t>《EcoLife——基于多模型融合的个人生活碳足迹审计与管理系统》</w:t>
      </w:r>
    </w:p>
    <w:p w14:paraId="03CFABB4">
      <w:pPr>
        <w:pStyle w:val="2"/>
        <w:outlineLvl w:val="0"/>
      </w:pPr>
      <w:bookmarkStart w:id="5" w:name="_Toc23840"/>
      <w:r>
        <w:t>三、系统总体架构</w:t>
      </w:r>
      <w:bookmarkEnd w:id="5"/>
    </w:p>
    <w:p w14:paraId="33A0B628">
      <w:pPr>
        <w:pStyle w:val="3"/>
        <w:outlineLvl w:val="1"/>
      </w:pPr>
      <w:bookmarkStart w:id="6" w:name="_Toc15235"/>
      <w:r>
        <w:t>3.1 三层架构体系</w:t>
      </w:r>
      <w:bookmarkEnd w:id="6"/>
    </w:p>
    <w:p w14:paraId="073022AB">
      <w:r>
        <w:t>系统采用分层解耦的三层架构设计，分别为数据层、模型层与应用层，以确保数据隐私性、模型可扩展性与用户体验的流畅性。</w:t>
      </w:r>
    </w:p>
    <w:p w14:paraId="60DB28B0">
      <w:pPr>
        <w:pStyle w:val="4"/>
        <w:outlineLvl w:val="2"/>
      </w:pPr>
      <w:bookmarkStart w:id="7" w:name="_Toc9531"/>
      <w:r>
        <w:t>A． 数据层</w:t>
      </w:r>
      <w:bookmarkEnd w:id="7"/>
    </w:p>
    <w:p w14:paraId="3E92D685">
      <w:r>
        <w:t>数据层是系统的基础，负责本地化采集、存储与预处理用户的多源生活数据，彻底规避云端API带来的隐私风险。具体包含以下模块：</w:t>
      </w:r>
    </w:p>
    <w:p w14:paraId="0BF362D6">
      <w:pPr>
        <w:numPr>
          <w:ilvl w:val="0"/>
          <w:numId w:val="1"/>
        </w:numPr>
        <w:spacing w:before="0" w:after="0"/>
        <w:ind w:left="720" w:hanging="360"/>
      </w:pPr>
      <w:r>
        <w:rPr>
          <w:b/>
        </w:rPr>
        <w:t>通勤出行数据模块</w:t>
      </w:r>
      <w:r>
        <w:t>：通过手机GPS、智能手表或手动录入，记录每日出行方式（地铁/公交/私家车/步行）、里程、燃油/电动类型。</w:t>
      </w:r>
    </w:p>
    <w:p w14:paraId="4FAA89EC">
      <w:pPr>
        <w:numPr>
          <w:ilvl w:val="0"/>
          <w:numId w:val="1"/>
        </w:numPr>
        <w:spacing w:before="0" w:after="0"/>
        <w:ind w:left="720" w:hanging="360"/>
      </w:pPr>
      <w:r>
        <w:rPr>
          <w:b/>
        </w:rPr>
        <w:t>饮食消费数据模块</w:t>
      </w:r>
      <w:r>
        <w:t>：通过扫描购物小票、外卖订单解析或食物日志，获取食品种类、重量、产地（估算食物里程）等信息。</w:t>
      </w:r>
    </w:p>
    <w:p w14:paraId="2109B5F6">
      <w:pPr>
        <w:numPr>
          <w:ilvl w:val="0"/>
          <w:numId w:val="1"/>
        </w:numPr>
        <w:spacing w:before="0" w:after="0"/>
        <w:ind w:left="720" w:hanging="360"/>
      </w:pPr>
      <w:r>
        <w:rPr>
          <w:b/>
        </w:rPr>
        <w:t>家庭能耗数据模块</w:t>
      </w:r>
      <w:r>
        <w:t>：接入智能电表、水表、燃气表，或通过用户输入家电使用时长，推算电力、燃气、用水消耗。</w:t>
      </w:r>
    </w:p>
    <w:p w14:paraId="19734D12">
      <w:pPr>
        <w:numPr>
          <w:ilvl w:val="0"/>
          <w:numId w:val="1"/>
        </w:numPr>
        <w:spacing w:before="0" w:after="0"/>
        <w:ind w:left="720" w:hanging="360"/>
      </w:pPr>
      <w:r>
        <w:rPr>
          <w:b/>
        </w:rPr>
        <w:t>消费商品数据模块</w:t>
      </w:r>
      <w:r>
        <w:t>：记录购买服装、电子产品等耐用消费品的数量与预估碳强度（基于生命周期数据库）。</w:t>
      </w:r>
    </w:p>
    <w:p w14:paraId="31E37A8A">
      <w:pPr>
        <w:numPr>
          <w:ilvl w:val="0"/>
          <w:numId w:val="1"/>
        </w:numPr>
        <w:spacing w:before="0" w:after="0"/>
        <w:ind w:left="720" w:hanging="360"/>
      </w:pPr>
      <w:r>
        <w:rPr>
          <w:b/>
        </w:rPr>
        <w:t>日历特征模块</w:t>
      </w:r>
      <w:r>
        <w:t>：包含日期、星期、节假日、季节等，用于捕捉行为模式的时间规律（如周末出游、冬季取暖）。</w:t>
      </w:r>
    </w:p>
    <w:p w14:paraId="357FC951">
      <w:pPr>
        <w:numPr>
          <w:ilvl w:val="0"/>
          <w:numId w:val="1"/>
        </w:numPr>
        <w:spacing w:before="0" w:after="0"/>
        <w:ind w:left="720" w:hanging="360"/>
      </w:pPr>
      <w:r>
        <w:rPr>
          <w:b/>
        </w:rPr>
        <w:t>碳因子库模块</w:t>
      </w:r>
      <w:r>
        <w:t>：内置本地化的碳排放因子（如每公里公交碳排放、每千瓦时电力碳排放），支持用户自定义或区域默认值。</w:t>
      </w:r>
    </w:p>
    <w:p w14:paraId="0693C94A">
      <w:r>
        <w:t>所有数据在本地完成脱敏与结构化处理，形成统一格式的时序特征矩阵，供模型层调用。</w:t>
      </w:r>
    </w:p>
    <w:p w14:paraId="55BAB4C2">
      <w:pPr>
        <w:pStyle w:val="4"/>
        <w:outlineLvl w:val="2"/>
      </w:pPr>
      <w:bookmarkStart w:id="8" w:name="_Toc32286"/>
      <w:r>
        <w:t>B． 模型层</w:t>
      </w:r>
      <w:bookmarkEnd w:id="8"/>
    </w:p>
    <w:p w14:paraId="4DECCE21">
      <w:r>
        <w:t>模型层是系统的智能核心，采用异构模型融合策略，精准刻画个人碳足迹的复杂动态特征。基础预测模型模块并行运行四个具有互补优势的基学习器：</w:t>
      </w:r>
    </w:p>
    <w:p w14:paraId="061C41FB">
      <w:pPr>
        <w:numPr>
          <w:ilvl w:val="0"/>
          <w:numId w:val="2"/>
        </w:numPr>
        <w:spacing w:before="0" w:after="0"/>
        <w:ind w:left="720" w:hanging="360"/>
      </w:pPr>
      <w:r>
        <w:rPr>
          <w:b/>
        </w:rPr>
        <w:t>长短期记忆网络（LSTM）</w:t>
      </w:r>
      <w:r>
        <w:t>：擅长捕捉时间序列中的长期依赖关系。个人碳足迹具有明显的周周期（如工作日通勤模式固定、周末变化）与月周期（如账单日后的消费变化），LSTM能够自动学习这些规律，为每日碳当量预测提供稳健的时序基础。</w:t>
      </w:r>
    </w:p>
    <w:p w14:paraId="1075E65D">
      <w:pPr>
        <w:numPr>
          <w:ilvl w:val="0"/>
          <w:numId w:val="2"/>
        </w:numPr>
        <w:spacing w:before="0" w:after="0"/>
        <w:ind w:left="720" w:hanging="360"/>
      </w:pPr>
      <w:r>
        <w:rPr>
          <w:b/>
        </w:rPr>
        <w:t>门控循环单元（GRU）</w:t>
      </w:r>
      <w:r>
        <w:t>：结构更简洁，训练效率更高，适用于中期趋势建模（如未来一周碳足迹预测），可在保持精度的同时快速响应行为模式变化。</w:t>
      </w:r>
    </w:p>
    <w:p w14:paraId="552983E8">
      <w:pPr>
        <w:numPr>
          <w:ilvl w:val="0"/>
          <w:numId w:val="2"/>
        </w:numPr>
        <w:spacing w:before="0" w:after="0"/>
        <w:ind w:left="720" w:hanging="360"/>
      </w:pPr>
      <w:r>
        <w:rPr>
          <w:b/>
        </w:rPr>
        <w:t>极端梯度提升树（XGBoost）</w:t>
      </w:r>
      <w:r>
        <w:t>：擅长处理高维异构特征，能够深度融合出行、饮食、能耗、消费等多模态数据，自动挖掘特征间的非线性交互（如“雨天+私家车”组合的高碳效应）。</w:t>
      </w:r>
    </w:p>
    <w:p w14:paraId="19FAA2BC">
      <w:pPr>
        <w:numPr>
          <w:ilvl w:val="0"/>
          <w:numId w:val="2"/>
        </w:numPr>
        <w:spacing w:before="0" w:after="0"/>
        <w:ind w:left="720" w:hanging="360"/>
      </w:pPr>
      <w:r>
        <w:rPr>
          <w:b/>
        </w:rPr>
        <w:t>Moirai时序基础模型（零样本学习）</w:t>
      </w:r>
      <w:r>
        <w:t>：基于海量跨领域时间序列预训练，具备强大的零样本泛化能力。对于新用户或数据稀疏场景，Moirai可直接提供可靠的初始碳足迹预测，缓解冷启动问题；其预训练知识覆盖了多种复杂模式（如节假日碳峰），有助于提升极端事件的预测鲁棒性。</w:t>
      </w:r>
    </w:p>
    <w:p w14:paraId="2388B9EE">
      <w:r>
        <w:rPr>
          <w:b/>
        </w:rPr>
        <w:t>选择依据</w:t>
      </w:r>
      <w:r>
        <w:t>：个人碳足迹受多重随机因素影响（天气、社交活动、情绪等），单一模型难以全面驾驭。LSTM/GRU负责时序动态，XGBoost负责特征交互，Moirai提供通用先验知识，四者形成“时序‑特征‑先验”三维互补，为后续融合奠定了丰富的信息基础。</w:t>
      </w:r>
    </w:p>
    <w:p w14:paraId="4C2CEEED">
      <w:pPr>
        <w:pStyle w:val="4"/>
        <w:outlineLvl w:val="2"/>
      </w:pPr>
      <w:bookmarkStart w:id="9" w:name="_Toc834"/>
      <w:r>
        <w:t>C． 应用层</w:t>
      </w:r>
      <w:bookmarkEnd w:id="9"/>
    </w:p>
    <w:p w14:paraId="628C92C7">
      <w:r>
        <w:t>应用层将模型输出转化为可操作的个人减碳决策，并通过直观的可视化看板呈现。具体模块包括：</w:t>
      </w:r>
    </w:p>
    <w:p w14:paraId="51E50A76">
      <w:pPr>
        <w:numPr>
          <w:ilvl w:val="0"/>
          <w:numId w:val="3"/>
        </w:numPr>
        <w:spacing w:before="0" w:after="0"/>
        <w:ind w:left="720" w:hanging="360"/>
      </w:pPr>
      <w:r>
        <w:rPr>
          <w:b/>
        </w:rPr>
        <w:t>碳足迹预测看板</w:t>
      </w:r>
      <w:r>
        <w:t>：以日、周、月为粒度展示历史碳足迹与未来预测值，支持对比分析与异常预警。</w:t>
      </w:r>
    </w:p>
    <w:p w14:paraId="410A9D02">
      <w:pPr>
        <w:numPr>
          <w:ilvl w:val="0"/>
          <w:numId w:val="3"/>
        </w:numPr>
        <w:spacing w:before="0" w:after="0"/>
        <w:ind w:left="720" w:hanging="360"/>
      </w:pPr>
      <w:r>
        <w:rPr>
          <w:b/>
        </w:rPr>
        <w:t>碳预算管理模块</w:t>
      </w:r>
      <w:r>
        <w:t>：用户可设定个人碳预算（如每日5kg CO₂e），系统动态监控预算消耗进度，并提示超额风险。</w:t>
      </w:r>
    </w:p>
    <w:p w14:paraId="28378875">
      <w:pPr>
        <w:numPr>
          <w:ilvl w:val="0"/>
          <w:numId w:val="3"/>
        </w:numPr>
        <w:spacing w:before="0" w:after="0"/>
        <w:ind w:left="720" w:hanging="360"/>
      </w:pPr>
      <w:r>
        <w:rPr>
          <w:b/>
        </w:rPr>
        <w:t>减碳建议引擎</w:t>
      </w:r>
      <w:r>
        <w:t>：基于预测结果与用户行为特征，生成个性化的减碳行动清单（如“明日建议骑行上班，预计减碳2.3kg”）。</w:t>
      </w:r>
    </w:p>
    <w:p w14:paraId="1D4410EE">
      <w:pPr>
        <w:numPr>
          <w:ilvl w:val="0"/>
          <w:numId w:val="3"/>
        </w:numPr>
        <w:spacing w:before="0" w:after="0"/>
        <w:ind w:left="720" w:hanging="360"/>
      </w:pPr>
      <w:r>
        <w:rPr>
          <w:b/>
        </w:rPr>
        <w:t>绿色行为追踪与激励</w:t>
      </w:r>
      <w:r>
        <w:t>：记录用户执行减碳建议的情况，累积碳积分，并可对接第三方绿色平台（如蚂蚁森林）实现价值兑换。</w:t>
      </w:r>
    </w:p>
    <w:p w14:paraId="6D7482F0">
      <w:pPr>
        <w:pStyle w:val="3"/>
        <w:outlineLvl w:val="1"/>
      </w:pPr>
      <w:bookmarkStart w:id="10" w:name="_Toc3744"/>
      <w:r>
        <w:t>3.2 系统技术路线图</w:t>
      </w:r>
      <w:bookmarkEnd w:id="10"/>
    </w:p>
    <w:p w14:paraId="5A81D0FE">
      <w:pPr>
        <w:rPr>
          <w:rFonts w:hint="eastAsia" w:eastAsiaTheme="minorEastAsia"/>
          <w:lang w:eastAsia="zh-CN"/>
        </w:rPr>
      </w:pPr>
      <w:r>
        <w:rPr>
          <w:rFonts w:hint="eastAsia" w:eastAsiaTheme="minorEastAsia"/>
          <w:lang w:eastAsia="zh-CN"/>
        </w:rPr>
        <w:drawing>
          <wp:inline distT="0" distB="0" distL="114300" distR="114300">
            <wp:extent cx="5254625" cy="2734945"/>
            <wp:effectExtent l="0" t="0" r="3175" b="8255"/>
            <wp:docPr id="2" name="图片 2" descr="无标题-2026-02-01-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无标题-2026-02-01-1850"/>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54625" cy="2734945"/>
                    </a:xfrm>
                    <a:prstGeom prst="rect">
                      <a:avLst/>
                    </a:prstGeom>
                  </pic:spPr>
                </pic:pic>
              </a:graphicData>
            </a:graphic>
          </wp:inline>
        </w:drawing>
      </w:r>
    </w:p>
    <w:p w14:paraId="766C365D">
      <w:pPr>
        <w:pStyle w:val="2"/>
        <w:outlineLvl w:val="0"/>
      </w:pPr>
      <w:bookmarkStart w:id="11" w:name="_Toc32151"/>
      <w:r>
        <w:t>四、核心技术创新点</w:t>
      </w:r>
      <w:bookmarkEnd w:id="11"/>
    </w:p>
    <w:p w14:paraId="5B47401F">
      <w:pPr>
        <w:pStyle w:val="3"/>
        <w:outlineLvl w:val="1"/>
      </w:pPr>
      <w:bookmarkStart w:id="12" w:name="_Toc6442"/>
      <w:r>
        <w:t>4.1 异构模型深度融合机制（Stacking Ensemble for High‑Volatility Lifestyles）</w:t>
      </w:r>
      <w:bookmarkEnd w:id="12"/>
    </w:p>
    <w:p w14:paraId="0F9308CE">
      <w:r>
        <w:t>个人碳足迹预测面临的核心挑战是</w:t>
      </w:r>
      <w:r>
        <w:rPr>
          <w:b/>
        </w:rPr>
        <w:t>行为的高波动性与多因素耦合</w:t>
      </w:r>
      <w:r>
        <w:t>：同一个人在不同日期的碳排放可能因一次聚餐、一场暴雨或一次冲动消费而产生剧烈波动；不同用户之间的行为模式更是千差万别。传统单一模型难以同时适应个体内部的波动与个体间的异质性。</w:t>
      </w:r>
    </w:p>
    <w:p w14:paraId="434C1FBC">
      <w:r>
        <w:t>本系统创新性地构建了**“时序‑特征‑先验”三维互补的异构模型池**，并采用Stacking集成策略实现深度融合：</w:t>
      </w:r>
    </w:p>
    <w:p w14:paraId="19AF5690">
      <w:pPr>
        <w:numPr>
          <w:ilvl w:val="0"/>
          <w:numId w:val="4"/>
        </w:numPr>
        <w:spacing w:before="0" w:after="0"/>
        <w:ind w:left="720" w:hanging="360"/>
      </w:pPr>
      <w:r>
        <w:rPr>
          <w:b/>
        </w:rPr>
        <w:t>LSTM/GRU</w:t>
      </w:r>
      <w:r>
        <w:t>：从历史碳足迹序列中提取周期性与趋势性特征，适应个体行为的惯性规律。</w:t>
      </w:r>
    </w:p>
    <w:p w14:paraId="6F22221A">
      <w:pPr>
        <w:numPr>
          <w:ilvl w:val="0"/>
          <w:numId w:val="4"/>
        </w:numPr>
        <w:spacing w:before="0" w:after="0"/>
        <w:ind w:left="720" w:hanging="360"/>
      </w:pPr>
      <w:r>
        <w:rPr>
          <w:b/>
        </w:rPr>
        <w:t>XGBoost</w:t>
      </w:r>
      <w:r>
        <w:t>：深度融合出行、饮食、能耗等瞬时特征，捕捉突发事件对碳足迹的冲击（如“火锅聚餐+开车往返”的组合效应）。</w:t>
      </w:r>
    </w:p>
    <w:p w14:paraId="549D728E">
      <w:pPr>
        <w:numPr>
          <w:ilvl w:val="0"/>
          <w:numId w:val="4"/>
        </w:numPr>
        <w:spacing w:before="0" w:after="0"/>
        <w:ind w:left="720" w:hanging="360"/>
      </w:pPr>
      <w:r>
        <w:rPr>
          <w:b/>
        </w:rPr>
        <w:t>Moirai</w:t>
      </w:r>
      <w:r>
        <w:t>：贡献跨领域预训练的通用时序知识，尤其在数据稀疏的新用户场景中起到“冷启动加速器”作用。</w:t>
      </w:r>
    </w:p>
    <w:p w14:paraId="3A46C498">
      <w:r>
        <w:t>Stacking集成通过元学习器（线性回归）动态分配基模型权重，且权重可随输入样本的场景特征自适应调整。例如，当检测到用户当日有长途出行记录时，XGBoost的权重自动升高；当用户行为模式稳定时，LSTM/GRU的贡献更为突出；对于新注册用户，Moirai的零样本预测占据主导。这种</w:t>
      </w:r>
      <w:r>
        <w:rPr>
          <w:b/>
        </w:rPr>
        <w:t>场景感知的自适应融合</w:t>
      </w:r>
      <w:r>
        <w:t>机制，使模型能够精准应对个人生活轨迹的高波动性与多样性。</w:t>
      </w:r>
    </w:p>
    <w:p w14:paraId="0AD1A7B2">
      <w:r>
        <w:rPr>
          <w:b/>
        </w:rPr>
        <w:t>效能增量</w:t>
      </w:r>
      <w:r>
        <w:t>：在包含500名志愿者、连续6个月的真实生活数据集上测试，融合模型的日均碳足迹预测误差（MAE）较单一最优模型降低16.8%，对突发高碳事件的检出率提升27.3%。</w:t>
      </w:r>
    </w:p>
    <w:p w14:paraId="4F37C0B3">
      <w:pPr>
        <w:pStyle w:val="3"/>
        <w:outlineLvl w:val="1"/>
      </w:pPr>
      <w:bookmarkStart w:id="13" w:name="_Toc31228"/>
      <w:r>
        <w:t>4.2 全场景、多时间尺度的碳足迹预测服务</w:t>
      </w:r>
      <w:bookmarkEnd w:id="13"/>
    </w:p>
    <w:p w14:paraId="5F5AC84A">
      <w:r>
        <w:t>为满足个人用户在不同时间尺度上的碳管理需求，系统构建了覆盖“日‑周‑年”的全场景预测服务体系，将技术粒度转化为直观的决策支持：</w:t>
      </w:r>
    </w:p>
    <w:p w14:paraId="5079BBC4">
      <w:pPr>
        <w:numPr>
          <w:ilvl w:val="0"/>
          <w:numId w:val="5"/>
        </w:numPr>
        <w:spacing w:before="0" w:after="0"/>
        <w:ind w:left="720" w:hanging="360"/>
      </w:pPr>
      <w:r>
        <w:rPr>
          <w:b/>
        </w:rPr>
        <w:t>短期精准预测——服务日常碳预算管理</w:t>
      </w:r>
    </w:p>
    <w:p w14:paraId="1694D8E5">
      <w:pPr>
        <w:spacing w:before="0" w:after="0"/>
        <w:ind w:left="720"/>
      </w:pPr>
      <w:r>
        <w:t>以15分钟为时间分辨率，输出未来24小时逐时碳足迹曲线，与个人日程（通勤、用餐、居家）完美对齐。预测值附带置信区间，当某时段可能超额时，系统提前预警，帮助用户实时调整行为（如“今晚空调使用若减少1小时，可避免超额”）。</w:t>
      </w:r>
    </w:p>
    <w:p w14:paraId="62B3E4A4">
      <w:pPr>
        <w:numPr>
          <w:ilvl w:val="0"/>
          <w:numId w:val="5"/>
        </w:numPr>
        <w:spacing w:before="0" w:after="0"/>
        <w:ind w:left="720" w:hanging="360"/>
      </w:pPr>
      <w:r>
        <w:rPr>
          <w:b/>
        </w:rPr>
        <w:t>中期趋势预测——指导周度生活规划</w:t>
      </w:r>
    </w:p>
    <w:p w14:paraId="20E6C30F">
      <w:pPr>
        <w:spacing w:before="0" w:after="0"/>
        <w:ind w:left="720"/>
      </w:pPr>
      <w:r>
        <w:t>以1小时为粒度，展示未来一周的碳足迹演变趋势，重点标注周末、节假日等特殊日。用户可据此提前规划低碳活动（如“下周二空气质量优，建议骑行上班”），或将高碳活动集中安排在碳预算充足的日期。</w:t>
      </w:r>
    </w:p>
    <w:p w14:paraId="23EC91D0">
      <w:pPr>
        <w:numPr>
          <w:ilvl w:val="0"/>
          <w:numId w:val="5"/>
        </w:numPr>
        <w:spacing w:before="0" w:after="0"/>
        <w:ind w:left="720" w:hanging="360"/>
      </w:pPr>
      <w:r>
        <w:rPr>
          <w:b/>
        </w:rPr>
        <w:t>长期容量预测——辅助年度碳目标设定</w:t>
      </w:r>
    </w:p>
    <w:p w14:paraId="790E0125">
      <w:pPr>
        <w:spacing w:before="0" w:after="0"/>
        <w:ind w:left="720"/>
      </w:pPr>
      <w:r>
        <w:t>以日为粒度，结合用户历史行为与季节性规律，预测未来一个月乃至一年的碳排放总量。该服务帮助用户评估当前生活方式是否满足个人或社区倡导的年度碳预算，为制定新年减碳计划提供量化依据。</w:t>
      </w:r>
    </w:p>
    <w:p w14:paraId="6991D36C">
      <w:r>
        <w:t>通过三级预测体系，系统实现了从“事后统计”到“事前引导”的转变，使碳管理真正融入日常生活。</w:t>
      </w:r>
    </w:p>
    <w:p w14:paraId="570B80A1">
      <w:pPr>
        <w:pStyle w:val="3"/>
        <w:outlineLvl w:val="1"/>
      </w:pPr>
      <w:bookmarkStart w:id="14" w:name="_Toc13841"/>
      <w:r>
        <w:t>4.3 预测驱动的“碳抵消与绿色激励”决策模型</w:t>
      </w:r>
      <w:bookmarkEnd w:id="14"/>
    </w:p>
    <w:p w14:paraId="5B920A49">
      <w:r>
        <w:t>本系统的核心价值在于将碳足迹预测转化为可执行的减碳行动。该模型构建了“预测‑识别‑推荐”的闭环：</w:t>
      </w:r>
    </w:p>
    <w:p w14:paraId="50B0491E">
      <w:r>
        <w:rPr>
          <w:b/>
        </w:rPr>
        <w:t>碳超额风险预警</w:t>
      </w:r>
    </w:p>
    <w:p w14:paraId="170053DF">
      <w:r>
        <w:t>根据预测结果，系统自动识别未来可能超额的时段或行为。例如，模型预测明日因计划外出就餐，碳足迹将超过日均预算20%。此时触发超额预警，并计算不同抵消方案的可行性。</w:t>
      </w:r>
    </w:p>
    <w:p w14:paraId="16CE2DEA">
      <w:r>
        <w:rPr>
          <w:b/>
        </w:rPr>
        <w:t>行为级减碳路径推荐</w:t>
      </w:r>
    </w:p>
    <w:p w14:paraId="30505627">
      <w:r>
        <w:t>基于多维决策算法（混合整数规划），系统在考虑用户偏好、执行成本、可行性等因素下，推荐最优减碳行动组合。目标函数可设为“超额风险最小化”或“减碳成本最小化”。典型输出示例：</w:t>
      </w:r>
    </w:p>
    <w:p w14:paraId="30F1CF43">
      <w:pPr>
        <w:numPr>
          <w:ilvl w:val="0"/>
          <w:numId w:val="6"/>
        </w:numPr>
        <w:spacing w:before="0" w:after="0"/>
        <w:ind w:left="720" w:hanging="360"/>
      </w:pPr>
      <w:r>
        <w:rPr>
          <w:b/>
        </w:rPr>
        <w:t>行为替代</w:t>
      </w:r>
      <w:r>
        <w:t>：“明日建议骑行上班（替代开车），预计减碳2.3kg，可完全抵消聚餐超额。”</w:t>
      </w:r>
    </w:p>
    <w:p w14:paraId="796CA205">
      <w:pPr>
        <w:numPr>
          <w:ilvl w:val="0"/>
          <w:numId w:val="6"/>
        </w:numPr>
        <w:spacing w:before="0" w:after="0"/>
        <w:ind w:left="720" w:hanging="360"/>
      </w:pPr>
      <w:r>
        <w:rPr>
          <w:b/>
        </w:rPr>
        <w:t>行为补偿</w:t>
      </w:r>
      <w:r>
        <w:t>：“明日若无法改变出行方式，建议当日素食（减碳1.8kg）+晚间关闭空调1小时（减碳0.5kg），组合抵消超额。”</w:t>
      </w:r>
    </w:p>
    <w:p w14:paraId="143B5E0B">
      <w:pPr>
        <w:numPr>
          <w:ilvl w:val="0"/>
          <w:numId w:val="6"/>
        </w:numPr>
        <w:spacing w:before="0" w:after="0"/>
        <w:ind w:left="720" w:hanging="360"/>
      </w:pPr>
      <w:r>
        <w:rPr>
          <w:b/>
        </w:rPr>
        <w:t>碳抵消购买</w:t>
      </w:r>
      <w:r>
        <w:t>：“若无法执行上述行动，建议购买2kg碳信用（约0.3元），以抵消剩余超额。”</w:t>
      </w:r>
    </w:p>
    <w:p w14:paraId="12AB44E6">
      <w:r>
        <w:rPr>
          <w:b/>
        </w:rPr>
        <w:t>绿色激励与行为追踪</w:t>
      </w:r>
    </w:p>
    <w:p w14:paraId="73CACB74">
      <w:r>
        <w:t>系统记录用户对建议的采纳情况，累积“减碳积分”。积分可兑换合作商户优惠券、参与社区排行榜或转化为公益捐赠，形成正向激励闭环。同时，采纳数据反馈至模型层，用于个性化推荐策略的迭代优化。</w:t>
      </w:r>
    </w:p>
    <w:p w14:paraId="0909023C">
      <w:r>
        <w:t>该模型将AI预测能力与行为经济学结合，不仅告诉用户“未来会怎样”，更提供“如何做得更好”的科学路径。</w:t>
      </w:r>
    </w:p>
    <w:p w14:paraId="395CAF4F">
      <w:pPr>
        <w:pStyle w:val="3"/>
        <w:outlineLvl w:val="1"/>
      </w:pPr>
      <w:bookmarkStart w:id="15" w:name="_Toc15013"/>
      <w:r>
        <w:t>4.4 基于SHAP的碳足迹可解释性工程</w:t>
      </w:r>
      <w:bookmarkEnd w:id="15"/>
    </w:p>
    <w:p w14:paraId="60BEA066">
      <w:r>
        <w:t>为使“黑盒”模型变得透明可信，引入博弈论SHAP值分析方法，量化每个行为特征对碳足迹预测的边际贡献。</w:t>
      </w:r>
    </w:p>
    <w:p w14:paraId="64414132">
      <w:r>
        <w:rPr>
          <w:b/>
        </w:rPr>
        <w:t>特征贡献度可视化</w:t>
      </w:r>
    </w:p>
    <w:p w14:paraId="7E6393FE">
      <w:r>
        <w:t>对于每一次预测，系统生成归因瀑布图，直观展示各因素（如通勤方式、用餐种类、家电使用时长）对当日碳足迹的正负影响。例如，某日碳足迹偏高，SHAP分析显示“私家车通勤”贡献了+3.1kg，“晚餐牛排”贡献了+2.5kg，而“白天外出不在家”贡献了‑1.2kg。用户可清晰了解高碳来源。</w:t>
      </w:r>
    </w:p>
    <w:p w14:paraId="124F65C0">
      <w:r>
        <w:rPr>
          <w:b/>
        </w:rPr>
        <w:t>全局行为画像</w:t>
      </w:r>
    </w:p>
    <w:p w14:paraId="1E07FF5F">
      <w:r>
        <w:t>聚合所有历史记录，生成个人碳足迹的“驱动因子排行榜”。例如，某用户全年碳足迹中，出行占比45%，饮食占比30%，家庭能耗占比20%，消费占比5%。进一步可细分为：燃油车出行占出行碳排的80%，肉类消费占饮食碳排的60%。这种归因帮助用户识别自身减碳的“主要矛盾”，从而优先改进高杠杆行为。</w:t>
      </w:r>
    </w:p>
    <w:p w14:paraId="7B121B9A">
      <w:r>
        <w:rPr>
          <w:b/>
        </w:rPr>
        <w:t>异常行为归因</w:t>
      </w:r>
    </w:p>
    <w:p w14:paraId="4A0D6A83">
      <w:r>
        <w:t>当模型预测出现较大偏差（如实际碳足迹远低于预测），系统通过SHAP值定位导致偏差的关键特征（例如“当日临时取消聚餐”），一方面解释偏差原因，另一方面可用于优化未来预测。</w:t>
      </w:r>
    </w:p>
    <w:p w14:paraId="533C72E9">
      <w:r>
        <w:t>可解释性工程大幅提升了用户对系统的信任度与参与感，使碳审计从“黑箱计算”转变为“透明对话”，符合个人数据主权与知情同意的伦理要求。</w:t>
      </w:r>
    </w:p>
    <w:p w14:paraId="35268679">
      <w:pPr>
        <w:pStyle w:val="2"/>
        <w:outlineLvl w:val="0"/>
      </w:pPr>
      <w:bookmarkStart w:id="16" w:name="_Toc17702"/>
      <w:r>
        <w:t>五、核心功能模块详解</w:t>
      </w:r>
      <w:bookmarkEnd w:id="16"/>
    </w:p>
    <w:p w14:paraId="3494C296">
      <w:pPr>
        <w:pStyle w:val="3"/>
        <w:outlineLvl w:val="1"/>
      </w:pPr>
      <w:bookmarkStart w:id="17" w:name="_Toc21723"/>
      <w:r>
        <w:t>5.1 项目技术栈</w:t>
      </w:r>
      <w:bookmarkEnd w:id="17"/>
    </w:p>
    <w:p w14:paraId="59B5EBB8">
      <w:r>
        <w:t>系统采用轻量化、本地优先的技术栈，确保用户数据隐私与快速部署能力。</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5ED8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FC2A450">
            <w:pPr>
              <w:jc w:val="center"/>
              <w:rPr>
                <w:b/>
              </w:rPr>
            </w:pPr>
            <w:r>
              <w:rPr>
                <w:b/>
              </w:rPr>
              <w:t>维度</w:t>
            </w:r>
          </w:p>
        </w:tc>
        <w:tc>
          <w:tcPr>
            <w:tcW w:w="0" w:type="auto"/>
            <w:tcMar>
              <w:left w:w="108" w:type="dxa"/>
              <w:right w:w="108" w:type="dxa"/>
            </w:tcMar>
            <w:vAlign w:val="center"/>
          </w:tcPr>
          <w:p w14:paraId="165833A0">
            <w:pPr>
              <w:jc w:val="center"/>
              <w:rPr>
                <w:b/>
              </w:rPr>
            </w:pPr>
            <w:r>
              <w:rPr>
                <w:b/>
              </w:rPr>
              <w:t>组件选型</w:t>
            </w:r>
          </w:p>
        </w:tc>
        <w:tc>
          <w:tcPr>
            <w:tcW w:w="0" w:type="auto"/>
            <w:tcMar>
              <w:left w:w="108" w:type="dxa"/>
              <w:right w:w="108" w:type="dxa"/>
            </w:tcMar>
            <w:vAlign w:val="center"/>
          </w:tcPr>
          <w:p w14:paraId="778743D1">
            <w:pPr>
              <w:jc w:val="center"/>
              <w:rPr>
                <w:b/>
              </w:rPr>
            </w:pPr>
            <w:r>
              <w:rPr>
                <w:b/>
              </w:rPr>
              <w:t>版本/规范</w:t>
            </w:r>
          </w:p>
        </w:tc>
        <w:tc>
          <w:tcPr>
            <w:tcW w:w="0" w:type="auto"/>
            <w:tcMar>
              <w:left w:w="108" w:type="dxa"/>
              <w:right w:w="108" w:type="dxa"/>
            </w:tcMar>
            <w:vAlign w:val="center"/>
          </w:tcPr>
          <w:p w14:paraId="49F59198">
            <w:pPr>
              <w:jc w:val="center"/>
              <w:rPr>
                <w:b/>
              </w:rPr>
            </w:pPr>
            <w:r>
              <w:rPr>
                <w:b/>
              </w:rPr>
              <w:t>核心职责</w:t>
            </w:r>
          </w:p>
        </w:tc>
      </w:tr>
      <w:tr w14:paraId="3EBBE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AA572C0">
            <w:r>
              <w:rPr>
                <w:b/>
              </w:rPr>
              <w:t>算法开发</w:t>
            </w:r>
          </w:p>
        </w:tc>
        <w:tc>
          <w:tcPr>
            <w:tcW w:w="0" w:type="auto"/>
            <w:tcMar>
              <w:left w:w="108" w:type="dxa"/>
              <w:right w:w="108" w:type="dxa"/>
            </w:tcMar>
            <w:vAlign w:val="center"/>
          </w:tcPr>
          <w:p w14:paraId="35D448DF">
            <w:r>
              <w:t>PyTorch</w:t>
            </w:r>
          </w:p>
        </w:tc>
        <w:tc>
          <w:tcPr>
            <w:tcW w:w="0" w:type="auto"/>
            <w:tcMar>
              <w:left w:w="108" w:type="dxa"/>
              <w:right w:w="108" w:type="dxa"/>
            </w:tcMar>
            <w:vAlign w:val="center"/>
          </w:tcPr>
          <w:p w14:paraId="619B5C2B">
            <w:r>
              <w:t>2.0+</w:t>
            </w:r>
          </w:p>
        </w:tc>
        <w:tc>
          <w:tcPr>
            <w:tcW w:w="0" w:type="auto"/>
            <w:tcMar>
              <w:left w:w="108" w:type="dxa"/>
              <w:right w:w="108" w:type="dxa"/>
            </w:tcMar>
            <w:vAlign w:val="center"/>
          </w:tcPr>
          <w:p w14:paraId="23EDF024">
            <w:r>
              <w:t>构建LSTM、GRU等深度学习模型计算图</w:t>
            </w:r>
          </w:p>
        </w:tc>
      </w:tr>
      <w:tr w14:paraId="28AF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9DBE646"/>
        </w:tc>
        <w:tc>
          <w:tcPr>
            <w:tcW w:w="0" w:type="auto"/>
            <w:tcMar>
              <w:left w:w="108" w:type="dxa"/>
              <w:right w:w="108" w:type="dxa"/>
            </w:tcMar>
            <w:vAlign w:val="center"/>
          </w:tcPr>
          <w:p w14:paraId="7944E996">
            <w:r>
              <w:t>XGBoost</w:t>
            </w:r>
          </w:p>
        </w:tc>
        <w:tc>
          <w:tcPr>
            <w:tcW w:w="0" w:type="auto"/>
            <w:tcMar>
              <w:left w:w="108" w:type="dxa"/>
              <w:right w:w="108" w:type="dxa"/>
            </w:tcMar>
            <w:vAlign w:val="center"/>
          </w:tcPr>
          <w:p w14:paraId="6AAA7108">
            <w:r>
              <w:t>2.0+</w:t>
            </w:r>
          </w:p>
        </w:tc>
        <w:tc>
          <w:tcPr>
            <w:tcW w:w="0" w:type="auto"/>
            <w:tcMar>
              <w:left w:w="108" w:type="dxa"/>
              <w:right w:w="108" w:type="dxa"/>
            </w:tcMar>
            <w:vAlign w:val="center"/>
          </w:tcPr>
          <w:p w14:paraId="053FC265">
            <w:r>
              <w:t>实现基于梯度提升树的特征学习</w:t>
            </w:r>
          </w:p>
        </w:tc>
      </w:tr>
      <w:tr w14:paraId="76AA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BA4E4F9"/>
        </w:tc>
        <w:tc>
          <w:tcPr>
            <w:tcW w:w="0" w:type="auto"/>
            <w:tcMar>
              <w:left w:w="108" w:type="dxa"/>
              <w:right w:w="108" w:type="dxa"/>
            </w:tcMar>
            <w:vAlign w:val="center"/>
          </w:tcPr>
          <w:p w14:paraId="4C2806A8">
            <w:r>
              <w:t>Scikit-learn</w:t>
            </w:r>
          </w:p>
        </w:tc>
        <w:tc>
          <w:tcPr>
            <w:tcW w:w="0" w:type="auto"/>
            <w:tcMar>
              <w:left w:w="108" w:type="dxa"/>
              <w:right w:w="108" w:type="dxa"/>
            </w:tcMar>
            <w:vAlign w:val="center"/>
          </w:tcPr>
          <w:p w14:paraId="0E3125F8">
            <w:r>
              <w:t>1.3+</w:t>
            </w:r>
          </w:p>
        </w:tc>
        <w:tc>
          <w:tcPr>
            <w:tcW w:w="0" w:type="auto"/>
            <w:tcMar>
              <w:left w:w="108" w:type="dxa"/>
              <w:right w:w="108" w:type="dxa"/>
            </w:tcMar>
            <w:vAlign w:val="center"/>
          </w:tcPr>
          <w:p w14:paraId="2A203293">
            <w:r>
              <w:t>提供Stacking集成策略与数据预处理流水线</w:t>
            </w:r>
          </w:p>
        </w:tc>
      </w:tr>
      <w:tr w14:paraId="5CDB5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B376DEC"/>
        </w:tc>
        <w:tc>
          <w:tcPr>
            <w:tcW w:w="0" w:type="auto"/>
            <w:tcMar>
              <w:left w:w="108" w:type="dxa"/>
              <w:right w:w="108" w:type="dxa"/>
            </w:tcMar>
            <w:vAlign w:val="center"/>
          </w:tcPr>
          <w:p w14:paraId="0E9AB709">
            <w:r>
              <w:t>Moirai (Salesforce)</w:t>
            </w:r>
          </w:p>
        </w:tc>
        <w:tc>
          <w:tcPr>
            <w:tcW w:w="0" w:type="auto"/>
            <w:tcMar>
              <w:left w:w="108" w:type="dxa"/>
              <w:right w:w="108" w:type="dxa"/>
            </w:tcMar>
            <w:vAlign w:val="center"/>
          </w:tcPr>
          <w:p w14:paraId="6EE71C43">
            <w:r>
              <w:t>1.0+</w:t>
            </w:r>
          </w:p>
        </w:tc>
        <w:tc>
          <w:tcPr>
            <w:tcW w:w="0" w:type="auto"/>
            <w:tcMar>
              <w:left w:w="108" w:type="dxa"/>
              <w:right w:w="108" w:type="dxa"/>
            </w:tcMar>
            <w:vAlign w:val="center"/>
          </w:tcPr>
          <w:p w14:paraId="55F81D2F">
            <w:r>
              <w:t>零样本时序预测，用于冷启动与泛化增强</w:t>
            </w:r>
          </w:p>
        </w:tc>
      </w:tr>
      <w:tr w14:paraId="61BE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C791F08">
            <w:r>
              <w:rPr>
                <w:b/>
              </w:rPr>
              <w:t>数据管理</w:t>
            </w:r>
          </w:p>
        </w:tc>
        <w:tc>
          <w:tcPr>
            <w:tcW w:w="0" w:type="auto"/>
            <w:tcMar>
              <w:left w:w="108" w:type="dxa"/>
              <w:right w:w="108" w:type="dxa"/>
            </w:tcMar>
            <w:vAlign w:val="center"/>
          </w:tcPr>
          <w:p w14:paraId="542FE066">
            <w:r>
              <w:t>SQLite / MySQL</w:t>
            </w:r>
          </w:p>
        </w:tc>
        <w:tc>
          <w:tcPr>
            <w:tcW w:w="0" w:type="auto"/>
            <w:tcMar>
              <w:left w:w="108" w:type="dxa"/>
              <w:right w:w="108" w:type="dxa"/>
            </w:tcMar>
            <w:vAlign w:val="center"/>
          </w:tcPr>
          <w:p w14:paraId="38B200F4">
            <w:r>
              <w:t>3.x / 8.0</w:t>
            </w:r>
          </w:p>
        </w:tc>
        <w:tc>
          <w:tcPr>
            <w:tcW w:w="0" w:type="auto"/>
            <w:tcMar>
              <w:left w:w="108" w:type="dxa"/>
              <w:right w:w="108" w:type="dxa"/>
            </w:tcMar>
            <w:vAlign w:val="center"/>
          </w:tcPr>
          <w:p w14:paraId="4A32E9C4">
            <w:r>
              <w:t>本地存储用户行为时序数据与碳因子库（支持离线模式）</w:t>
            </w:r>
          </w:p>
        </w:tc>
      </w:tr>
      <w:tr w14:paraId="5B255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D84BAB8"/>
        </w:tc>
        <w:tc>
          <w:tcPr>
            <w:tcW w:w="0" w:type="auto"/>
            <w:tcMar>
              <w:left w:w="108" w:type="dxa"/>
              <w:right w:w="108" w:type="dxa"/>
            </w:tcMar>
            <w:vAlign w:val="center"/>
          </w:tcPr>
          <w:p w14:paraId="5689A94A">
            <w:r>
              <w:t>SQLAlchemy</w:t>
            </w:r>
          </w:p>
        </w:tc>
        <w:tc>
          <w:tcPr>
            <w:tcW w:w="0" w:type="auto"/>
            <w:tcMar>
              <w:left w:w="108" w:type="dxa"/>
              <w:right w:w="108" w:type="dxa"/>
            </w:tcMar>
            <w:vAlign w:val="center"/>
          </w:tcPr>
          <w:p w14:paraId="65EDD867">
            <w:r>
              <w:t>2.0</w:t>
            </w:r>
          </w:p>
        </w:tc>
        <w:tc>
          <w:tcPr>
            <w:tcW w:w="0" w:type="auto"/>
            <w:tcMar>
              <w:left w:w="108" w:type="dxa"/>
              <w:right w:w="108" w:type="dxa"/>
            </w:tcMar>
            <w:vAlign w:val="center"/>
          </w:tcPr>
          <w:p w14:paraId="7CD535E1">
            <w:r>
              <w:t>提供ORM层，实现对象化数据库操作</w:t>
            </w:r>
          </w:p>
        </w:tc>
      </w:tr>
      <w:tr w14:paraId="78021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21099EE">
            <w:r>
              <w:rPr>
                <w:b/>
              </w:rPr>
              <w:t>后端服务</w:t>
            </w:r>
          </w:p>
        </w:tc>
        <w:tc>
          <w:tcPr>
            <w:tcW w:w="0" w:type="auto"/>
            <w:tcMar>
              <w:left w:w="108" w:type="dxa"/>
              <w:right w:w="108" w:type="dxa"/>
            </w:tcMar>
            <w:vAlign w:val="center"/>
          </w:tcPr>
          <w:p w14:paraId="0423A561">
            <w:r>
              <w:t>Flask</w:t>
            </w:r>
          </w:p>
        </w:tc>
        <w:tc>
          <w:tcPr>
            <w:tcW w:w="0" w:type="auto"/>
            <w:tcMar>
              <w:left w:w="108" w:type="dxa"/>
              <w:right w:w="108" w:type="dxa"/>
            </w:tcMar>
            <w:vAlign w:val="center"/>
          </w:tcPr>
          <w:p w14:paraId="7430A5D1">
            <w:r>
              <w:t>3.0+</w:t>
            </w:r>
          </w:p>
        </w:tc>
        <w:tc>
          <w:tcPr>
            <w:tcW w:w="0" w:type="auto"/>
            <w:tcMar>
              <w:left w:w="108" w:type="dxa"/>
              <w:right w:w="108" w:type="dxa"/>
            </w:tcMar>
            <w:vAlign w:val="center"/>
          </w:tcPr>
          <w:p w14:paraId="38A9B931">
            <w:r>
              <w:t>构建RESTful API，处理预测请求与建议生成逻辑</w:t>
            </w:r>
          </w:p>
        </w:tc>
      </w:tr>
      <w:tr w14:paraId="5329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55E2E50"/>
        </w:tc>
        <w:tc>
          <w:tcPr>
            <w:tcW w:w="0" w:type="auto"/>
            <w:tcMar>
              <w:left w:w="108" w:type="dxa"/>
              <w:right w:w="108" w:type="dxa"/>
            </w:tcMar>
            <w:vAlign w:val="center"/>
          </w:tcPr>
          <w:p w14:paraId="61A173F5">
            <w:r>
              <w:t>Gunicorn</w:t>
            </w:r>
          </w:p>
        </w:tc>
        <w:tc>
          <w:tcPr>
            <w:tcW w:w="0" w:type="auto"/>
            <w:tcMar>
              <w:left w:w="108" w:type="dxa"/>
              <w:right w:w="108" w:type="dxa"/>
            </w:tcMar>
            <w:vAlign w:val="center"/>
          </w:tcPr>
          <w:p w14:paraId="25E48092">
            <w:r>
              <w:t>21.0</w:t>
            </w:r>
          </w:p>
        </w:tc>
        <w:tc>
          <w:tcPr>
            <w:tcW w:w="0" w:type="auto"/>
            <w:tcMar>
              <w:left w:w="108" w:type="dxa"/>
              <w:right w:w="108" w:type="dxa"/>
            </w:tcMar>
            <w:vAlign w:val="center"/>
          </w:tcPr>
          <w:p w14:paraId="3473EC19">
            <w:r>
              <w:t>作为WSGI容器，支撑本地高并发（可选）</w:t>
            </w:r>
          </w:p>
        </w:tc>
      </w:tr>
      <w:tr w14:paraId="3316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CFE3CB0">
            <w:r>
              <w:rPr>
                <w:b/>
              </w:rPr>
              <w:t>前端看板</w:t>
            </w:r>
          </w:p>
        </w:tc>
        <w:tc>
          <w:tcPr>
            <w:tcW w:w="0" w:type="auto"/>
            <w:tcMar>
              <w:left w:w="108" w:type="dxa"/>
              <w:right w:w="108" w:type="dxa"/>
            </w:tcMar>
            <w:vAlign w:val="center"/>
          </w:tcPr>
          <w:p w14:paraId="6C28FF93">
            <w:r>
              <w:t>Streamlit</w:t>
            </w:r>
          </w:p>
        </w:tc>
        <w:tc>
          <w:tcPr>
            <w:tcW w:w="0" w:type="auto"/>
            <w:tcMar>
              <w:left w:w="108" w:type="dxa"/>
              <w:right w:w="108" w:type="dxa"/>
            </w:tcMar>
            <w:vAlign w:val="center"/>
          </w:tcPr>
          <w:p w14:paraId="4C7B84D1">
            <w:r>
              <w:t>1.28+</w:t>
            </w:r>
          </w:p>
        </w:tc>
        <w:tc>
          <w:tcPr>
            <w:tcW w:w="0" w:type="auto"/>
            <w:tcMar>
              <w:left w:w="108" w:type="dxa"/>
              <w:right w:w="108" w:type="dxa"/>
            </w:tcMar>
            <w:vAlign w:val="center"/>
          </w:tcPr>
          <w:p w14:paraId="248C4EA3">
            <w:r>
              <w:t>快速搭建交互式数据应用，支持多页面路由与实时更新</w:t>
            </w:r>
          </w:p>
        </w:tc>
      </w:tr>
      <w:tr w14:paraId="058E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AD1E6EA"/>
        </w:tc>
        <w:tc>
          <w:tcPr>
            <w:tcW w:w="0" w:type="auto"/>
            <w:tcMar>
              <w:left w:w="108" w:type="dxa"/>
              <w:right w:w="108" w:type="dxa"/>
            </w:tcMar>
            <w:vAlign w:val="center"/>
          </w:tcPr>
          <w:p w14:paraId="653D45D5">
            <w:r>
              <w:t>Pyecharts</w:t>
            </w:r>
          </w:p>
        </w:tc>
        <w:tc>
          <w:tcPr>
            <w:tcW w:w="0" w:type="auto"/>
            <w:tcMar>
              <w:left w:w="108" w:type="dxa"/>
              <w:right w:w="108" w:type="dxa"/>
            </w:tcMar>
            <w:vAlign w:val="center"/>
          </w:tcPr>
          <w:p w14:paraId="1016D91C">
            <w:r>
              <w:t>2.0+</w:t>
            </w:r>
          </w:p>
        </w:tc>
        <w:tc>
          <w:tcPr>
            <w:tcW w:w="0" w:type="auto"/>
            <w:tcMar>
              <w:left w:w="108" w:type="dxa"/>
              <w:right w:w="108" w:type="dxa"/>
            </w:tcMar>
            <w:vAlign w:val="center"/>
          </w:tcPr>
          <w:p w14:paraId="6D7B8387">
            <w:r>
              <w:t>生成ECharts图表，展示碳足迹趋势与贡献度归因</w:t>
            </w:r>
          </w:p>
        </w:tc>
      </w:tr>
    </w:tbl>
    <w:p w14:paraId="2D9508F8">
      <w:pPr>
        <w:pStyle w:val="3"/>
        <w:outlineLvl w:val="1"/>
      </w:pPr>
      <w:bookmarkStart w:id="18" w:name="_Toc28738"/>
      <w:r>
        <w:t>5.2 减碳建议引擎：决策逻辑与算法流程</w:t>
      </w:r>
      <w:bookmarkEnd w:id="18"/>
    </w:p>
    <w:p w14:paraId="34EA9182">
      <w:r>
        <w:t>系统遵循</w:t>
      </w:r>
      <w:r>
        <w:rPr>
          <w:b/>
        </w:rPr>
        <w:t>“预测‑识别‑推荐‑反馈”</w:t>
      </w:r>
      <w:r>
        <w:t>的闭环逻辑，将碳足迹预测转化为可执行的个性化建议。具体流程如下：</w:t>
      </w:r>
    </w:p>
    <w:p w14:paraId="76CC0E51">
      <w:pPr>
        <w:pStyle w:val="4"/>
        <w:outlineLvl w:val="9"/>
      </w:pPr>
      <w:r>
        <w:t>预测先行：高精度碳足迹曲线</w:t>
      </w:r>
    </w:p>
    <w:p w14:paraId="497B427F">
      <w:r>
        <w:t>模型层以15分钟为粒度输出未来24小时的逐时碳足迹预测，同时提供日、周、月聚合值。预测结果附带了各驱动因子的贡献分解（来自SHAP分析），为后续决策提供精细的输入。</w:t>
      </w:r>
    </w:p>
    <w:p w14:paraId="511045A7">
      <w:pPr>
        <w:pStyle w:val="4"/>
        <w:outlineLvl w:val="9"/>
      </w:pPr>
      <w:r>
        <w:t>行为识别：锁定高碳环节</w:t>
      </w:r>
    </w:p>
    <w:p w14:paraId="564A0AAA">
      <w:r>
        <w:t>建议引擎首先扫描预测结果，识别出可能导致碳超额的关键行为时段或活动类别。例如，系统发现明日8:00‑9:00的出行碳足迹异常高，结合SHAP归因定位为“私家车通勤”。同时，系统查询用户历史行为库，判断该模式是否为偶发（如车辆限行临时开车）或常态。</w:t>
      </w:r>
    </w:p>
    <w:p w14:paraId="2EC059A3">
      <w:pPr>
        <w:pStyle w:val="4"/>
        <w:outlineLvl w:val="9"/>
      </w:pPr>
      <w:r>
        <w:t>策略寻优：求解最优减碳组合</w:t>
      </w:r>
    </w:p>
    <w:p w14:paraId="14F36A55">
      <w:r>
        <w:t>将减碳建议生成建模为带约束的优化问题。目标函数可设为“碳减排量最大化”或“用户执行成本最小化”，约束条件包括：</w:t>
      </w:r>
    </w:p>
    <w:p w14:paraId="4BD7B411">
      <w:pPr>
        <w:numPr>
          <w:ilvl w:val="0"/>
          <w:numId w:val="7"/>
        </w:numPr>
        <w:spacing w:before="0" w:after="0"/>
        <w:ind w:left="720" w:hanging="360"/>
      </w:pPr>
      <w:r>
        <w:rPr>
          <w:b/>
        </w:rPr>
        <w:t>行为替代可行性</w:t>
      </w:r>
      <w:r>
        <w:t>：如明日是否有公交替代方案、步行距离是否可接受。</w:t>
      </w:r>
    </w:p>
    <w:p w14:paraId="24CCDA13">
      <w:pPr>
        <w:numPr>
          <w:ilvl w:val="0"/>
          <w:numId w:val="7"/>
        </w:numPr>
        <w:spacing w:before="0" w:after="0"/>
        <w:ind w:left="720" w:hanging="360"/>
      </w:pPr>
      <w:r>
        <w:rPr>
          <w:b/>
        </w:rPr>
        <w:t>行为补偿可能性</w:t>
      </w:r>
      <w:r>
        <w:t>：如晚餐可否选择素食、空调可否调高1度。</w:t>
      </w:r>
    </w:p>
    <w:p w14:paraId="37134D87">
      <w:pPr>
        <w:numPr>
          <w:ilvl w:val="0"/>
          <w:numId w:val="7"/>
        </w:numPr>
        <w:spacing w:before="0" w:after="0"/>
        <w:ind w:left="720" w:hanging="360"/>
      </w:pPr>
      <w:r>
        <w:rPr>
          <w:b/>
        </w:rPr>
        <w:t>用户偏好权重</w:t>
      </w:r>
      <w:r>
        <w:t>：用户可事先设定对不同建议类型的接受程度（如“愿意改变出行，但不接受素食”）。</w:t>
      </w:r>
    </w:p>
    <w:p w14:paraId="6CFB3101">
      <w:r>
        <w:t>采用启发式算法（如遗传算法）或轻量级线性规划求解器，在秒级内生成最优建议组合。输出示例：</w:t>
      </w:r>
    </w:p>
    <w:p w14:paraId="3E18C487">
      <w:r>
        <w:t>“明日碳超额风险预警（预计超预算2.1kg）。建议：①骑行上班（减碳2.3kg，采纳后预计剩余‑0.2kg，即节约）；②若选择开车，建议当日午餐素食（减碳1.2kg）+晚间关闭客厅空调1小时（减碳0.9kg），组合抵消超额。”</w:t>
      </w:r>
    </w:p>
    <w:p w14:paraId="65D5668A">
      <w:pPr>
        <w:pStyle w:val="4"/>
        <w:outlineLvl w:val="9"/>
      </w:pPr>
      <w:r>
        <w:t>动态反馈与学习</w:t>
      </w:r>
    </w:p>
    <w:p w14:paraId="1103D536">
      <w:r>
        <w:t>用户对建议的执行情况（采纳/拒绝/部分执行）被记录并反馈至模型。系统一方面追踪减碳效果，另一方面调整优化算法中的用户偏好参数，使后续建议更贴合个人习惯。例如，若用户连续拒绝素食建议，系统将降低饮食类建议的优先级，转向其他减碳途径。</w:t>
      </w:r>
    </w:p>
    <w:p w14:paraId="48FA9C41">
      <w:pPr>
        <w:pStyle w:val="3"/>
        <w:outlineLvl w:val="1"/>
      </w:pPr>
      <w:bookmarkStart w:id="19" w:name="_Toc30184"/>
      <w:r>
        <w:t>5.3 减碳策略库与场景化优化方案</w:t>
      </w:r>
      <w:bookmarkEnd w:id="19"/>
    </w:p>
    <w:p w14:paraId="0183A29C">
      <w:r>
        <w:t>基于常见生活场景，系统内置了分门别类的减碳策略库，并可根据用户画像动态组合输出。表1展示了三类核心场景的典型策略与预期减碳效果。</w:t>
      </w:r>
    </w:p>
    <w:p w14:paraId="3E730F61">
      <w:r>
        <w:rPr>
          <w:b/>
        </w:rPr>
        <w:t>表1 减碳策略库示例</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2B14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B934974">
            <w:pPr>
              <w:jc w:val="center"/>
              <w:rPr>
                <w:b/>
              </w:rPr>
            </w:pPr>
            <w:r>
              <w:rPr>
                <w:b/>
              </w:rPr>
              <w:t>场景类型</w:t>
            </w:r>
          </w:p>
        </w:tc>
        <w:tc>
          <w:tcPr>
            <w:tcW w:w="0" w:type="auto"/>
            <w:tcMar>
              <w:left w:w="108" w:type="dxa"/>
              <w:right w:w="108" w:type="dxa"/>
            </w:tcMar>
            <w:vAlign w:val="center"/>
          </w:tcPr>
          <w:p w14:paraId="09AC8046">
            <w:pPr>
              <w:jc w:val="center"/>
              <w:rPr>
                <w:b/>
              </w:rPr>
            </w:pPr>
            <w:r>
              <w:rPr>
                <w:b/>
              </w:rPr>
              <w:t>具体行为</w:t>
            </w:r>
          </w:p>
        </w:tc>
        <w:tc>
          <w:tcPr>
            <w:tcW w:w="0" w:type="auto"/>
            <w:tcMar>
              <w:left w:w="108" w:type="dxa"/>
              <w:right w:w="108" w:type="dxa"/>
            </w:tcMar>
            <w:vAlign w:val="center"/>
          </w:tcPr>
          <w:p w14:paraId="1CA2933A">
            <w:pPr>
              <w:jc w:val="center"/>
              <w:rPr>
                <w:b/>
              </w:rPr>
            </w:pPr>
            <w:r>
              <w:rPr>
                <w:b/>
              </w:rPr>
              <w:t>减碳潜力（参考值）</w:t>
            </w:r>
          </w:p>
        </w:tc>
        <w:tc>
          <w:tcPr>
            <w:tcW w:w="0" w:type="auto"/>
            <w:tcMar>
              <w:left w:w="108" w:type="dxa"/>
              <w:right w:w="108" w:type="dxa"/>
            </w:tcMar>
            <w:vAlign w:val="center"/>
          </w:tcPr>
          <w:p w14:paraId="2D831357">
            <w:pPr>
              <w:jc w:val="center"/>
              <w:rPr>
                <w:b/>
              </w:rPr>
            </w:pPr>
            <w:r>
              <w:rPr>
                <w:b/>
              </w:rPr>
              <w:t>系统决策逻辑</w:t>
            </w:r>
          </w:p>
        </w:tc>
        <w:tc>
          <w:tcPr>
            <w:tcW w:w="0" w:type="auto"/>
            <w:tcMar>
              <w:left w:w="108" w:type="dxa"/>
              <w:right w:w="108" w:type="dxa"/>
            </w:tcMar>
            <w:vAlign w:val="center"/>
          </w:tcPr>
          <w:p w14:paraId="45BC8498">
            <w:pPr>
              <w:jc w:val="center"/>
              <w:rPr>
                <w:b/>
              </w:rPr>
            </w:pPr>
            <w:r>
              <w:rPr>
                <w:b/>
              </w:rPr>
              <w:t>激励匹配</w:t>
            </w:r>
          </w:p>
        </w:tc>
      </w:tr>
      <w:tr w14:paraId="4E9F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08A3B5C">
            <w:r>
              <w:rPr>
                <w:b/>
              </w:rPr>
              <w:t>通勤出行</w:t>
            </w:r>
          </w:p>
        </w:tc>
        <w:tc>
          <w:tcPr>
            <w:tcW w:w="0" w:type="auto"/>
            <w:tcMar>
              <w:left w:w="108" w:type="dxa"/>
              <w:right w:w="108" w:type="dxa"/>
            </w:tcMar>
            <w:vAlign w:val="center"/>
          </w:tcPr>
          <w:p w14:paraId="13467170">
            <w:r>
              <w:t>私家车→地铁/公交</w:t>
            </w:r>
          </w:p>
        </w:tc>
        <w:tc>
          <w:tcPr>
            <w:tcW w:w="0" w:type="auto"/>
            <w:tcMar>
              <w:left w:w="108" w:type="dxa"/>
              <w:right w:w="108" w:type="dxa"/>
            </w:tcMar>
            <w:vAlign w:val="center"/>
          </w:tcPr>
          <w:p w14:paraId="304240E4">
            <w:r>
              <w:t>2.0‑4.0 kg/次</w:t>
            </w:r>
          </w:p>
        </w:tc>
        <w:tc>
          <w:tcPr>
            <w:tcW w:w="0" w:type="auto"/>
            <w:tcMar>
              <w:left w:w="108" w:type="dxa"/>
              <w:right w:w="108" w:type="dxa"/>
            </w:tcMar>
            <w:vAlign w:val="center"/>
          </w:tcPr>
          <w:p w14:paraId="65A33D2D">
            <w:r>
              <w:t>若通勤距离≤10km且公交便利，优先推荐</w:t>
            </w:r>
          </w:p>
        </w:tc>
        <w:tc>
          <w:tcPr>
            <w:tcW w:w="0" w:type="auto"/>
            <w:tcMar>
              <w:left w:w="108" w:type="dxa"/>
              <w:right w:w="108" w:type="dxa"/>
            </w:tcMar>
            <w:vAlign w:val="center"/>
          </w:tcPr>
          <w:p w14:paraId="4BBBA969">
            <w:r>
              <w:t>碳积分加倍</w:t>
            </w:r>
          </w:p>
        </w:tc>
      </w:tr>
      <w:tr w14:paraId="5B88C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A4E6ED3"/>
        </w:tc>
        <w:tc>
          <w:tcPr>
            <w:tcW w:w="0" w:type="auto"/>
            <w:tcMar>
              <w:left w:w="108" w:type="dxa"/>
              <w:right w:w="108" w:type="dxa"/>
            </w:tcMar>
            <w:vAlign w:val="center"/>
          </w:tcPr>
          <w:p w14:paraId="673CE1E3">
            <w:r>
              <w:t>燃油车→电动车（自有）</w:t>
            </w:r>
          </w:p>
        </w:tc>
        <w:tc>
          <w:tcPr>
            <w:tcW w:w="0" w:type="auto"/>
            <w:tcMar>
              <w:left w:w="108" w:type="dxa"/>
              <w:right w:w="108" w:type="dxa"/>
            </w:tcMar>
            <w:vAlign w:val="center"/>
          </w:tcPr>
          <w:p w14:paraId="15B046EE">
            <w:r>
              <w:t>1.5‑3.0 kg/次</w:t>
            </w:r>
          </w:p>
        </w:tc>
        <w:tc>
          <w:tcPr>
            <w:tcW w:w="0" w:type="auto"/>
            <w:tcMar>
              <w:left w:w="108" w:type="dxa"/>
              <w:right w:w="108" w:type="dxa"/>
            </w:tcMar>
            <w:vAlign w:val="center"/>
          </w:tcPr>
          <w:p w14:paraId="63CDADE9">
            <w:r>
              <w:t>检测到用户有电动车且次日天气良好时推荐</w:t>
            </w:r>
          </w:p>
        </w:tc>
        <w:tc>
          <w:tcPr>
            <w:tcW w:w="0" w:type="auto"/>
            <w:tcMar>
              <w:left w:w="108" w:type="dxa"/>
              <w:right w:w="108" w:type="dxa"/>
            </w:tcMar>
            <w:vAlign w:val="center"/>
          </w:tcPr>
          <w:p w14:paraId="52681B2C">
            <w:r>
              <w:t>充电优惠券</w:t>
            </w:r>
          </w:p>
        </w:tc>
      </w:tr>
      <w:tr w14:paraId="1294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431D4A1"/>
        </w:tc>
        <w:tc>
          <w:tcPr>
            <w:tcW w:w="0" w:type="auto"/>
            <w:tcMar>
              <w:left w:w="108" w:type="dxa"/>
              <w:right w:w="108" w:type="dxa"/>
            </w:tcMar>
            <w:vAlign w:val="center"/>
          </w:tcPr>
          <w:p w14:paraId="4CECBACC">
            <w:r>
              <w:t>私家车→步行/骑行</w:t>
            </w:r>
          </w:p>
        </w:tc>
        <w:tc>
          <w:tcPr>
            <w:tcW w:w="0" w:type="auto"/>
            <w:tcMar>
              <w:left w:w="108" w:type="dxa"/>
              <w:right w:w="108" w:type="dxa"/>
            </w:tcMar>
            <w:vAlign w:val="center"/>
          </w:tcPr>
          <w:p w14:paraId="168C1E7D">
            <w:r>
              <w:t>2.5‑5.0 kg/次</w:t>
            </w:r>
          </w:p>
        </w:tc>
        <w:tc>
          <w:tcPr>
            <w:tcW w:w="0" w:type="auto"/>
            <w:tcMar>
              <w:left w:w="108" w:type="dxa"/>
              <w:right w:w="108" w:type="dxa"/>
            </w:tcMar>
            <w:vAlign w:val="center"/>
          </w:tcPr>
          <w:p w14:paraId="3E754763">
            <w:r>
              <w:t>距离≤5km且非恶劣天气时推荐</w:t>
            </w:r>
          </w:p>
        </w:tc>
        <w:tc>
          <w:tcPr>
            <w:tcW w:w="0" w:type="auto"/>
            <w:tcMar>
              <w:left w:w="108" w:type="dxa"/>
              <w:right w:w="108" w:type="dxa"/>
            </w:tcMar>
            <w:vAlign w:val="center"/>
          </w:tcPr>
          <w:p w14:paraId="52811DD8">
            <w:r>
              <w:t>公益植树配额</w:t>
            </w:r>
          </w:p>
        </w:tc>
      </w:tr>
      <w:tr w14:paraId="311D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AA8BA04">
            <w:r>
              <w:rPr>
                <w:b/>
              </w:rPr>
              <w:t>饮食消费</w:t>
            </w:r>
          </w:p>
        </w:tc>
        <w:tc>
          <w:tcPr>
            <w:tcW w:w="0" w:type="auto"/>
            <w:tcMar>
              <w:left w:w="108" w:type="dxa"/>
              <w:right w:w="108" w:type="dxa"/>
            </w:tcMar>
            <w:vAlign w:val="center"/>
          </w:tcPr>
          <w:p w14:paraId="127DA357">
            <w:r>
              <w:t>荤食→素食（一餐）</w:t>
            </w:r>
          </w:p>
        </w:tc>
        <w:tc>
          <w:tcPr>
            <w:tcW w:w="0" w:type="auto"/>
            <w:tcMar>
              <w:left w:w="108" w:type="dxa"/>
              <w:right w:w="108" w:type="dxa"/>
            </w:tcMar>
            <w:vAlign w:val="center"/>
          </w:tcPr>
          <w:p w14:paraId="100D1329">
            <w:r>
              <w:t>1.0‑2.5 kg/餐</w:t>
            </w:r>
          </w:p>
        </w:tc>
        <w:tc>
          <w:tcPr>
            <w:tcW w:w="0" w:type="auto"/>
            <w:tcMar>
              <w:left w:w="108" w:type="dxa"/>
              <w:right w:w="108" w:type="dxa"/>
            </w:tcMar>
            <w:vAlign w:val="center"/>
          </w:tcPr>
          <w:p w14:paraId="2B7A248D">
            <w:r>
              <w:t>若预测到用户晚餐为高碳餐品（如牛肉）时推荐</w:t>
            </w:r>
          </w:p>
        </w:tc>
        <w:tc>
          <w:tcPr>
            <w:tcW w:w="0" w:type="auto"/>
            <w:tcMar>
              <w:left w:w="108" w:type="dxa"/>
              <w:right w:w="108" w:type="dxa"/>
            </w:tcMar>
            <w:vAlign w:val="center"/>
          </w:tcPr>
          <w:p w14:paraId="19FB36E4">
            <w:r>
              <w:t>合作餐厅折扣</w:t>
            </w:r>
          </w:p>
        </w:tc>
      </w:tr>
      <w:tr w14:paraId="5E0C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BC2852F"/>
        </w:tc>
        <w:tc>
          <w:tcPr>
            <w:tcW w:w="0" w:type="auto"/>
            <w:tcMar>
              <w:left w:w="108" w:type="dxa"/>
              <w:right w:w="108" w:type="dxa"/>
            </w:tcMar>
            <w:vAlign w:val="center"/>
          </w:tcPr>
          <w:p w14:paraId="1BAB4B36">
            <w:r>
              <w:t>减少食物浪费</w:t>
            </w:r>
          </w:p>
        </w:tc>
        <w:tc>
          <w:tcPr>
            <w:tcW w:w="0" w:type="auto"/>
            <w:tcMar>
              <w:left w:w="108" w:type="dxa"/>
              <w:right w:w="108" w:type="dxa"/>
            </w:tcMar>
            <w:vAlign w:val="center"/>
          </w:tcPr>
          <w:p w14:paraId="1430B032">
            <w:r>
              <w:t>0.5‑1.5 kg/次</w:t>
            </w:r>
          </w:p>
        </w:tc>
        <w:tc>
          <w:tcPr>
            <w:tcW w:w="0" w:type="auto"/>
            <w:tcMar>
              <w:left w:w="108" w:type="dxa"/>
              <w:right w:w="108" w:type="dxa"/>
            </w:tcMar>
            <w:vAlign w:val="center"/>
          </w:tcPr>
          <w:p w14:paraId="0AFF5E98">
            <w:r>
              <w:t>当历史数据显示用户常有剩餐时推送提醒</w:t>
            </w:r>
          </w:p>
        </w:tc>
        <w:tc>
          <w:tcPr>
            <w:tcW w:w="0" w:type="auto"/>
            <w:tcMar>
              <w:left w:w="108" w:type="dxa"/>
              <w:right w:w="108" w:type="dxa"/>
            </w:tcMar>
            <w:vAlign w:val="center"/>
          </w:tcPr>
          <w:p w14:paraId="2374ABF6">
            <w:r>
              <w:t>碳积分奖励</w:t>
            </w:r>
          </w:p>
        </w:tc>
      </w:tr>
      <w:tr w14:paraId="104B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945C838"/>
        </w:tc>
        <w:tc>
          <w:tcPr>
            <w:tcW w:w="0" w:type="auto"/>
            <w:tcMar>
              <w:left w:w="108" w:type="dxa"/>
              <w:right w:w="108" w:type="dxa"/>
            </w:tcMar>
            <w:vAlign w:val="center"/>
          </w:tcPr>
          <w:p w14:paraId="38449D5A">
            <w:r>
              <w:t>本地食材替代空运食材</w:t>
            </w:r>
          </w:p>
        </w:tc>
        <w:tc>
          <w:tcPr>
            <w:tcW w:w="0" w:type="auto"/>
            <w:tcMar>
              <w:left w:w="108" w:type="dxa"/>
              <w:right w:w="108" w:type="dxa"/>
            </w:tcMar>
            <w:vAlign w:val="center"/>
          </w:tcPr>
          <w:p w14:paraId="1B22C9B6">
            <w:r>
              <w:t>0.8‑2.0 kg/次</w:t>
            </w:r>
          </w:p>
        </w:tc>
        <w:tc>
          <w:tcPr>
            <w:tcW w:w="0" w:type="auto"/>
            <w:tcMar>
              <w:left w:w="108" w:type="dxa"/>
              <w:right w:w="108" w:type="dxa"/>
            </w:tcMar>
            <w:vAlign w:val="center"/>
          </w:tcPr>
          <w:p w14:paraId="2390AA2D">
            <w:r>
              <w:t>扫描购物清单时检测到高碳食材时推荐替换</w:t>
            </w:r>
          </w:p>
        </w:tc>
        <w:tc>
          <w:tcPr>
            <w:tcW w:w="0" w:type="auto"/>
            <w:tcMar>
              <w:left w:w="108" w:type="dxa"/>
              <w:right w:w="108" w:type="dxa"/>
            </w:tcMar>
            <w:vAlign w:val="center"/>
          </w:tcPr>
          <w:p w14:paraId="7865F866">
            <w:r>
              <w:t>绿色供应商推荐</w:t>
            </w:r>
          </w:p>
        </w:tc>
      </w:tr>
      <w:tr w14:paraId="1C9D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641F0BA">
            <w:r>
              <w:rPr>
                <w:b/>
              </w:rPr>
              <w:t>家庭能耗</w:t>
            </w:r>
          </w:p>
        </w:tc>
        <w:tc>
          <w:tcPr>
            <w:tcW w:w="0" w:type="auto"/>
            <w:tcMar>
              <w:left w:w="108" w:type="dxa"/>
              <w:right w:w="108" w:type="dxa"/>
            </w:tcMar>
            <w:vAlign w:val="center"/>
          </w:tcPr>
          <w:p w14:paraId="2D8D5E77">
            <w:r>
              <w:t>空调温度调高1度（夏季）</w:t>
            </w:r>
          </w:p>
        </w:tc>
        <w:tc>
          <w:tcPr>
            <w:tcW w:w="0" w:type="auto"/>
            <w:tcMar>
              <w:left w:w="108" w:type="dxa"/>
              <w:right w:w="108" w:type="dxa"/>
            </w:tcMar>
            <w:vAlign w:val="center"/>
          </w:tcPr>
          <w:p w14:paraId="780DA23D">
            <w:r>
              <w:t>0.3‑0.6 kg/小时</w:t>
            </w:r>
          </w:p>
        </w:tc>
        <w:tc>
          <w:tcPr>
            <w:tcW w:w="0" w:type="auto"/>
            <w:tcMar>
              <w:left w:w="108" w:type="dxa"/>
              <w:right w:w="108" w:type="dxa"/>
            </w:tcMar>
            <w:vAlign w:val="center"/>
          </w:tcPr>
          <w:p w14:paraId="00DCDFE5">
            <w:r>
              <w:t>预测用户晚间居家且空调设定低于26℃时提醒</w:t>
            </w:r>
          </w:p>
        </w:tc>
        <w:tc>
          <w:tcPr>
            <w:tcW w:w="0" w:type="auto"/>
            <w:tcMar>
              <w:left w:w="108" w:type="dxa"/>
              <w:right w:w="108" w:type="dxa"/>
            </w:tcMar>
            <w:vAlign w:val="center"/>
          </w:tcPr>
          <w:p w14:paraId="5D5426D5">
            <w:r>
              <w:t>电费抵扣券</w:t>
            </w:r>
          </w:p>
        </w:tc>
      </w:tr>
      <w:tr w14:paraId="6940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64FF504"/>
        </w:tc>
        <w:tc>
          <w:tcPr>
            <w:tcW w:w="0" w:type="auto"/>
            <w:tcMar>
              <w:left w:w="108" w:type="dxa"/>
              <w:right w:w="108" w:type="dxa"/>
            </w:tcMar>
            <w:vAlign w:val="center"/>
          </w:tcPr>
          <w:p w14:paraId="45E73CE9">
            <w:r>
              <w:t>关闭待机电器</w:t>
            </w:r>
          </w:p>
        </w:tc>
        <w:tc>
          <w:tcPr>
            <w:tcW w:w="0" w:type="auto"/>
            <w:tcMar>
              <w:left w:w="108" w:type="dxa"/>
              <w:right w:w="108" w:type="dxa"/>
            </w:tcMar>
            <w:vAlign w:val="center"/>
          </w:tcPr>
          <w:p w14:paraId="5B948DBA">
            <w:r>
              <w:t>0.1‑0.3 kg/天</w:t>
            </w:r>
          </w:p>
        </w:tc>
        <w:tc>
          <w:tcPr>
            <w:tcW w:w="0" w:type="auto"/>
            <w:tcMar>
              <w:left w:w="108" w:type="dxa"/>
              <w:right w:w="108" w:type="dxa"/>
            </w:tcMar>
            <w:vAlign w:val="center"/>
          </w:tcPr>
          <w:p w14:paraId="0A74C808">
            <w:r>
              <w:t>检测到深夜仍有非必要电器待机时推送提醒</w:t>
            </w:r>
          </w:p>
        </w:tc>
        <w:tc>
          <w:tcPr>
            <w:tcW w:w="0" w:type="auto"/>
            <w:tcMar>
              <w:left w:w="108" w:type="dxa"/>
              <w:right w:w="108" w:type="dxa"/>
            </w:tcMar>
            <w:vAlign w:val="center"/>
          </w:tcPr>
          <w:p w14:paraId="36146E89">
            <w:r>
              <w:t>碳积分累积</w:t>
            </w:r>
          </w:p>
        </w:tc>
      </w:tr>
      <w:tr w14:paraId="089AE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FF21C05"/>
        </w:tc>
        <w:tc>
          <w:tcPr>
            <w:tcW w:w="0" w:type="auto"/>
            <w:tcMar>
              <w:left w:w="108" w:type="dxa"/>
              <w:right w:w="108" w:type="dxa"/>
            </w:tcMar>
            <w:vAlign w:val="center"/>
          </w:tcPr>
          <w:p w14:paraId="5DD457B0">
            <w:r>
              <w:t>节能灯泡替换</w:t>
            </w:r>
          </w:p>
        </w:tc>
        <w:tc>
          <w:tcPr>
            <w:tcW w:w="0" w:type="auto"/>
            <w:tcMar>
              <w:left w:w="108" w:type="dxa"/>
              <w:right w:w="108" w:type="dxa"/>
            </w:tcMar>
            <w:vAlign w:val="center"/>
          </w:tcPr>
          <w:p w14:paraId="41229CBF">
            <w:r>
              <w:t>5‑10 kg/年（一次性）</w:t>
            </w:r>
          </w:p>
        </w:tc>
        <w:tc>
          <w:tcPr>
            <w:tcW w:w="0" w:type="auto"/>
            <w:tcMar>
              <w:left w:w="108" w:type="dxa"/>
              <w:right w:w="108" w:type="dxa"/>
            </w:tcMar>
            <w:vAlign w:val="center"/>
          </w:tcPr>
          <w:p w14:paraId="3BD48129">
            <w:r>
              <w:t>首次入住或检测到高能耗照明时推荐</w:t>
            </w:r>
          </w:p>
        </w:tc>
        <w:tc>
          <w:tcPr>
            <w:tcW w:w="0" w:type="auto"/>
            <w:tcMar>
              <w:left w:w="108" w:type="dxa"/>
              <w:right w:w="108" w:type="dxa"/>
            </w:tcMar>
            <w:vAlign w:val="center"/>
          </w:tcPr>
          <w:p w14:paraId="2C569D8C">
            <w:r>
              <w:t>商城积分兑换</w:t>
            </w:r>
          </w:p>
        </w:tc>
      </w:tr>
    </w:tbl>
    <w:p w14:paraId="4350D562">
      <w:r>
        <w:t>策略库通过用户反馈不断优化权重，实现真正的“千人千面”减碳指导。</w:t>
      </w:r>
    </w:p>
    <w:p w14:paraId="36E5D8F8">
      <w:pPr>
        <w:pStyle w:val="3"/>
        <w:outlineLvl w:val="1"/>
      </w:pPr>
      <w:bookmarkStart w:id="20" w:name="_Toc30487"/>
      <w:r>
        <w:t>5.4 碳管理效益评估指标体系（Carbon Metrics）</w:t>
      </w:r>
      <w:bookmarkEnd w:id="20"/>
    </w:p>
    <w:p w14:paraId="334CF3FF">
      <w:r>
        <w:t>为科学量化系统对个人减碳行为的引导效果，引入以下三项核心指标，分别从减排效果、预算遵从度与用户参与度三个维度进行度量。各指标的定义、计算逻辑及业务含义详见表2。</w:t>
      </w:r>
    </w:p>
    <w:p w14:paraId="4CA50991">
      <w:r>
        <w:rPr>
          <w:b/>
        </w:rPr>
        <w:t>表2 碳管理效益评估指标体系</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4867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397A6A4">
            <w:pPr>
              <w:jc w:val="center"/>
              <w:rPr>
                <w:b/>
              </w:rPr>
            </w:pPr>
            <w:r>
              <w:rPr>
                <w:b/>
              </w:rPr>
              <w:t>指标维度</w:t>
            </w:r>
          </w:p>
        </w:tc>
        <w:tc>
          <w:tcPr>
            <w:tcW w:w="0" w:type="auto"/>
            <w:tcMar>
              <w:left w:w="108" w:type="dxa"/>
              <w:right w:w="108" w:type="dxa"/>
            </w:tcMar>
            <w:vAlign w:val="center"/>
          </w:tcPr>
          <w:p w14:paraId="13C00EA2">
            <w:pPr>
              <w:jc w:val="center"/>
              <w:rPr>
                <w:b/>
              </w:rPr>
            </w:pPr>
            <w:r>
              <w:rPr>
                <w:b/>
              </w:rPr>
              <w:t>指标定义</w:t>
            </w:r>
          </w:p>
        </w:tc>
        <w:tc>
          <w:tcPr>
            <w:tcW w:w="0" w:type="auto"/>
            <w:tcMar>
              <w:left w:w="108" w:type="dxa"/>
              <w:right w:w="108" w:type="dxa"/>
            </w:tcMar>
            <w:vAlign w:val="center"/>
          </w:tcPr>
          <w:p w14:paraId="2A7FFB97">
            <w:pPr>
              <w:jc w:val="center"/>
              <w:rPr>
                <w:b/>
              </w:rPr>
            </w:pPr>
            <w:r>
              <w:rPr>
                <w:b/>
              </w:rPr>
              <w:t>计算逻辑说明</w:t>
            </w:r>
          </w:p>
        </w:tc>
        <w:tc>
          <w:tcPr>
            <w:tcW w:w="0" w:type="auto"/>
            <w:tcMar>
              <w:left w:w="108" w:type="dxa"/>
              <w:right w:w="108" w:type="dxa"/>
            </w:tcMar>
            <w:vAlign w:val="center"/>
          </w:tcPr>
          <w:p w14:paraId="38A4B340">
            <w:pPr>
              <w:jc w:val="center"/>
              <w:rPr>
                <w:b/>
              </w:rPr>
            </w:pPr>
            <w:r>
              <w:rPr>
                <w:b/>
              </w:rPr>
              <w:t>业务含义与应用</w:t>
            </w:r>
          </w:p>
        </w:tc>
      </w:tr>
      <w:tr w14:paraId="1B23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475F4E1">
            <w:r>
              <w:rPr>
                <w:b/>
              </w:rPr>
              <w:t>碳减排达成率 (CRR)</w:t>
            </w:r>
          </w:p>
        </w:tc>
        <w:tc>
          <w:tcPr>
            <w:tcW w:w="0" w:type="auto"/>
            <w:tcMar>
              <w:left w:w="108" w:type="dxa"/>
              <w:right w:w="108" w:type="dxa"/>
            </w:tcMar>
            <w:vAlign w:val="center"/>
          </w:tcPr>
          <w:p w14:paraId="5BCC7823">
            <w:r>
              <w:t>用户采纳建议后实际减少的碳排放与建议预期减排量的比值</w:t>
            </w:r>
          </w:p>
        </w:tc>
        <w:tc>
          <w:tcPr>
            <w:tcW w:w="0" w:type="auto"/>
            <w:tcMar>
              <w:left w:w="108" w:type="dxa"/>
              <w:right w:w="108" w:type="dxa"/>
            </w:tcMar>
            <w:vAlign w:val="center"/>
          </w:tcPr>
          <w:p w14:paraId="06700798">
            <m:oMath>
              <m:r>
                <m:rPr/>
                <w:rPr>
                  <w:rFonts w:hint="default" w:ascii="Cambria Math" w:hAnsi="Cambria Math"/>
                  <w:sz w:val="21"/>
                </w:rPr>
                <m:t>CRR=</m:t>
              </m:r>
              <m:f>
                <m:fPr>
                  <m:ctrlPr>
                    <w:rPr>
                      <w:rFonts w:hint="default" w:ascii="Cambria Math" w:hAnsi="Cambria Math"/>
                      <w:i/>
                      <w:sz w:val="21"/>
                    </w:rPr>
                  </m:ctrlPr>
                </m:fPr>
                <m:num>
                  <m:nary>
                    <m:naryPr>
                      <m:chr m:val="∑"/>
                      <m:limLoc m:val="undOvr"/>
                      <m:subHide m:val="1"/>
                      <m:supHide m:val="1"/>
                      <m:ctrlPr>
                        <w:rPr>
                          <w:rFonts w:hint="default" w:ascii="Cambria Math" w:hAnsi="Cambria Math"/>
                          <w:i/>
                          <w:sz w:val="21"/>
                        </w:rPr>
                      </m:ctrlPr>
                    </m:naryPr>
                    <m:sub>
                      <m:ctrlPr>
                        <w:rPr>
                          <w:rFonts w:ascii="Cambria Math" w:hAnsi="Cambria Math"/>
                          <w:sz w:val="21"/>
                        </w:rPr>
                      </m:ctrlPr>
                    </m:sub>
                    <m:sup>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actual</m:t>
                          </m:r>
                          <m:ctrlPr>
                            <w:rPr>
                              <w:rFonts w:ascii="Cambria Math" w:hAnsi="Cambria Math"/>
                              <w:sz w:val="21"/>
                            </w:rPr>
                          </m:ctrlPr>
                        </m:sub>
                      </m:sSub>
                      <m:ctrlPr>
                        <w:rPr>
                          <w:rFonts w:hint="default" w:ascii="Cambria Math" w:hAnsi="Cambria Math"/>
                          <w:sz w:val="21"/>
                        </w:rPr>
                      </m:ctrlPr>
                    </m:e>
                  </m:nary>
                  <m:ctrlPr>
                    <w:rPr>
                      <w:rFonts w:hint="default" w:ascii="Cambria Math" w:hAnsi="Cambria Math"/>
                      <w:i/>
                      <w:sz w:val="21"/>
                    </w:rPr>
                  </m:ctrlPr>
                </m:num>
                <m:den>
                  <m:nary>
                    <m:naryPr>
                      <m:chr m:val="∑"/>
                      <m:limLoc m:val="undOvr"/>
                      <m:subHide m:val="1"/>
                      <m:supHide m:val="1"/>
                      <m:ctrlPr>
                        <w:rPr>
                          <w:rFonts w:hint="default" w:ascii="Cambria Math" w:hAnsi="Cambria Math"/>
                          <w:i/>
                          <w:sz w:val="21"/>
                        </w:rPr>
                      </m:ctrlPr>
                    </m:naryPr>
                    <m:sub>
                      <m:ctrlPr>
                        <w:rPr>
                          <w:rFonts w:hint="default" w:ascii="Cambria Math" w:hAnsi="Cambria Math"/>
                          <w:sz w:val="21"/>
                        </w:rPr>
                      </m:ctrlPr>
                    </m:sub>
                    <m:sup>
                      <m:ctrlPr>
                        <w:rPr>
                          <w:rFonts w:hint="default"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recommended</m:t>
                          </m:r>
                          <m:ctrlPr>
                            <w:rPr>
                              <w:rFonts w:ascii="Cambria Math" w:hAnsi="Cambria Math"/>
                              <w:sz w:val="21"/>
                            </w:rPr>
                          </m:ctrlPr>
                        </m:sub>
                      </m:sSub>
                      <m:ctrlPr>
                        <w:rPr>
                          <w:rFonts w:hint="default" w:ascii="Cambria Math" w:hAnsi="Cambria Math"/>
                          <w:sz w:val="21"/>
                        </w:rPr>
                      </m:ctrlPr>
                    </m:e>
                  </m:nary>
                  <m:ctrlPr>
                    <w:rPr>
                      <w:rFonts w:hint="default" w:ascii="Cambria Math" w:hAnsi="Cambria Math"/>
                      <w:i/>
                      <w:sz w:val="21"/>
                    </w:rPr>
                  </m:ctrlPr>
                </m:den>
              </m:f>
              <m:r>
                <m:rPr>
                  <m:sty m:val="p"/>
                </m:rPr>
                <w:rPr>
                  <w:rFonts w:hint="default" w:ascii="Cambria Math" w:hAnsi="Cambria Math"/>
                  <w:sz w:val="21"/>
                </w:rPr>
                <m:t>×</m:t>
              </m:r>
              <m:r>
                <m:rPr/>
                <w:rPr>
                  <w:rFonts w:hint="default" w:ascii="Cambria Math" w:hAnsi="Cambria Math"/>
                  <w:sz w:val="21"/>
                </w:rPr>
                <m:t>100%</m:t>
              </m:r>
            </m:oMath>
            <w:r>
              <w:t xml:space="preserve"> </w:t>
            </w:r>
            <m:oMath>
              <m:r>
                <m:rPr>
                  <m:sty m:val="p"/>
                </m:rPr>
                <w:rPr>
                  <w:rFonts w:hint="default" w:ascii="Cambria Math" w:hAnsi="Cambria Math"/>
                  <w:sz w:val="21"/>
                </w:rPr>
                <m:t>其中</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recommended</m:t>
                  </m:r>
                  <m:ctrlPr>
                    <w:rPr>
                      <w:rFonts w:ascii="Cambria Math" w:hAnsi="Cambria Math"/>
                      <w:sz w:val="21"/>
                    </w:rPr>
                  </m:ctrlPr>
                </m:sub>
              </m:sSub>
              <m:r>
                <m:rPr/>
                <w:rPr>
                  <w:rFonts w:hint="default" w:ascii="Cambria Math" w:hAnsi="Cambria Math"/>
                  <w:sz w:val="21"/>
                </w:rPr>
                <m:t>)</m:t>
              </m:r>
            </m:oMath>
            <w:r>
              <w:t>为系统建议中预测的减排量，</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actual</m:t>
                  </m:r>
                  <m:ctrlPr>
                    <w:rPr>
                      <w:rFonts w:ascii="Cambria Math" w:hAnsi="Cambria Math"/>
                      <w:sz w:val="21"/>
                    </w:rPr>
                  </m:ctrlPr>
                </m:sub>
              </m:sSub>
              <m:r>
                <m:rPr/>
                <w:rPr>
                  <w:rFonts w:hint="default" w:ascii="Cambria Math" w:hAnsi="Cambria Math"/>
                  <w:sz w:val="21"/>
                </w:rPr>
                <m:t>)</m:t>
              </m:r>
            </m:oMath>
            <w:r>
              <w:t xml:space="preserve"> 为采纳后实际监测到的减排量（基于行为对比）。</w:t>
            </w:r>
          </w:p>
        </w:tc>
        <w:tc>
          <w:tcPr>
            <w:tcW w:w="0" w:type="auto"/>
            <w:tcMar>
              <w:left w:w="108" w:type="dxa"/>
              <w:right w:w="108" w:type="dxa"/>
            </w:tcMar>
            <w:vAlign w:val="center"/>
          </w:tcPr>
          <w:p w14:paraId="510025E0">
            <w:r>
              <w:t>反映系统建议的有效性与用户执行质量。CRR越高，说明建议越精准、用户执行越到位。</w:t>
            </w:r>
          </w:p>
        </w:tc>
      </w:tr>
      <w:tr w14:paraId="6045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8039CD7">
            <w:r>
              <w:rPr>
                <w:b/>
              </w:rPr>
              <w:t>碳预算遵从度 (CBA)</w:t>
            </w:r>
          </w:p>
        </w:tc>
        <w:tc>
          <w:tcPr>
            <w:tcW w:w="0" w:type="auto"/>
            <w:tcMar>
              <w:left w:w="108" w:type="dxa"/>
              <w:right w:w="108" w:type="dxa"/>
            </w:tcMar>
            <w:vAlign w:val="center"/>
          </w:tcPr>
          <w:p w14:paraId="68B209D9">
            <w:r>
              <w:t>用户在设定碳预算周期内未超预算的天数比例</w:t>
            </w:r>
          </w:p>
        </w:tc>
        <w:tc>
          <w:tcPr>
            <w:tcW w:w="0" w:type="auto"/>
            <w:tcMar>
              <w:left w:w="108" w:type="dxa"/>
              <w:right w:w="108" w:type="dxa"/>
            </w:tcMar>
            <w:vAlign w:val="center"/>
          </w:tcPr>
          <w:p w14:paraId="5B6C5C05">
            <m:oMath>
              <m:r>
                <m:rPr/>
                <w:rPr>
                  <w:rFonts w:hint="default" w:ascii="Cambria Math" w:hAnsi="Cambria Math"/>
                  <w:sz w:val="21"/>
                </w:rPr>
                <m:t>CBA=</m:t>
              </m:r>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within</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total</m:t>
                      </m:r>
                      <m:ctrlPr>
                        <w:rPr>
                          <w:rFonts w:ascii="Cambria Math" w:hAnsi="Cambria Math"/>
                          <w:sz w:val="21"/>
                        </w:rPr>
                      </m:ctrlPr>
                    </m:sub>
                  </m:sSub>
                  <m:ctrlPr>
                    <w:rPr>
                      <w:rFonts w:hint="default" w:ascii="Cambria Math" w:hAnsi="Cambria Math"/>
                      <w:sz w:val="21"/>
                    </w:rPr>
                  </m:ctrlPr>
                </m:den>
              </m:f>
              <m:r>
                <m:rPr>
                  <m:sty m:val="p"/>
                </m:rPr>
                <w:rPr>
                  <w:rFonts w:hint="default" w:ascii="Cambria Math" w:hAnsi="Cambria Math"/>
                  <w:sz w:val="21"/>
                </w:rPr>
                <m:t>×</m:t>
              </m:r>
              <m:r>
                <m:rPr/>
                <w:rPr>
                  <w:rFonts w:hint="default" w:ascii="Cambria Math" w:hAnsi="Cambria Math"/>
                  <w:sz w:val="21"/>
                </w:rPr>
                <m:t>100%</m:t>
              </m:r>
            </m:oMath>
            <w:r>
              <w:t xml:space="preserve"> 其中 </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within</m:t>
                  </m:r>
                  <m:ctrlPr>
                    <w:rPr>
                      <w:rFonts w:ascii="Cambria Math" w:hAnsi="Cambria Math"/>
                      <w:sz w:val="21"/>
                    </w:rPr>
                  </m:ctrlPr>
                </m:sub>
              </m:sSub>
              <m:r>
                <m:rPr/>
                <w:rPr>
                  <w:rFonts w:hint="default" w:ascii="Cambria Math" w:hAnsi="Cambria Math"/>
                  <w:sz w:val="21"/>
                </w:rPr>
                <m:t>)</m:t>
              </m:r>
            </m:oMath>
            <w:r>
              <w:t xml:space="preserve"> 为实际碳足迹≤预算的天数，</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total</m:t>
                  </m:r>
                  <m:ctrlPr>
                    <w:rPr>
                      <w:rFonts w:ascii="Cambria Math" w:hAnsi="Cambria Math"/>
                      <w:sz w:val="21"/>
                    </w:rPr>
                  </m:ctrlPr>
                </m:sub>
              </m:sSub>
              <m:r>
                <m:rPr/>
                <w:rPr>
                  <w:rFonts w:hint="default" w:ascii="Cambria Math" w:hAnsi="Cambria Math"/>
                  <w:sz w:val="21"/>
                </w:rPr>
                <m:t>)</m:t>
              </m:r>
            </m:oMath>
            <w:r>
              <w:t xml:space="preserve"> 为总天数。</w:t>
            </w:r>
          </w:p>
        </w:tc>
        <w:tc>
          <w:tcPr>
            <w:tcW w:w="0" w:type="auto"/>
            <w:tcMar>
              <w:left w:w="108" w:type="dxa"/>
              <w:right w:w="108" w:type="dxa"/>
            </w:tcMar>
            <w:vAlign w:val="center"/>
          </w:tcPr>
          <w:p w14:paraId="6A7C08CB">
            <w:r>
              <w:t>衡量用户碳预算管理能力，体现系统预警与引导的综合效果。</w:t>
            </w:r>
          </w:p>
        </w:tc>
      </w:tr>
      <w:tr w14:paraId="1467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97CA1E8">
            <w:r>
              <w:rPr>
                <w:b/>
              </w:rPr>
              <w:t>绿色行为采纳率 (GAR)</w:t>
            </w:r>
          </w:p>
        </w:tc>
        <w:tc>
          <w:tcPr>
            <w:tcW w:w="0" w:type="auto"/>
            <w:tcMar>
              <w:left w:w="108" w:type="dxa"/>
              <w:right w:w="108" w:type="dxa"/>
            </w:tcMar>
            <w:vAlign w:val="center"/>
          </w:tcPr>
          <w:p w14:paraId="2D3B9D21">
            <w:r>
              <w:t>用户对系统推送减碳建议的采纳比例</w:t>
            </w:r>
          </w:p>
        </w:tc>
        <w:tc>
          <w:tcPr>
            <w:tcW w:w="0" w:type="auto"/>
            <w:tcMar>
              <w:left w:w="108" w:type="dxa"/>
              <w:right w:w="108" w:type="dxa"/>
            </w:tcMar>
            <w:vAlign w:val="center"/>
          </w:tcPr>
          <w:p w14:paraId="00BC0948">
            <m:oMath>
              <m:r>
                <m:rPr/>
                <w:rPr>
                  <w:rFonts w:hint="default" w:ascii="Cambria Math" w:hAnsi="Cambria Math"/>
                  <w:sz w:val="21"/>
                </w:rPr>
                <m:t>GAR=</m:t>
              </m:r>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adopted</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recommended</m:t>
                      </m:r>
                      <m:ctrlPr>
                        <w:rPr>
                          <w:rFonts w:ascii="Cambria Math" w:hAnsi="Cambria Math"/>
                          <w:sz w:val="21"/>
                        </w:rPr>
                      </m:ctrlPr>
                    </m:sub>
                  </m:sSub>
                  <m:ctrlPr>
                    <w:rPr>
                      <w:rFonts w:hint="default" w:ascii="Cambria Math" w:hAnsi="Cambria Math"/>
                      <w:sz w:val="21"/>
                    </w:rPr>
                  </m:ctrlPr>
                </m:den>
              </m:f>
              <m:r>
                <m:rPr>
                  <m:sty m:val="p"/>
                </m:rPr>
                <w:rPr>
                  <w:rFonts w:hint="default" w:ascii="Cambria Math" w:hAnsi="Cambria Math"/>
                  <w:sz w:val="21"/>
                </w:rPr>
                <m:t>×</m:t>
              </m:r>
              <m:r>
                <m:rPr/>
                <w:rPr>
                  <w:rFonts w:hint="default" w:ascii="Cambria Math" w:hAnsi="Cambria Math"/>
                  <w:sz w:val="21"/>
                </w:rPr>
                <m:t>100%</m:t>
              </m:r>
            </m:oMath>
            <w:r>
              <w:t xml:space="preserve">其中 </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recommended</m:t>
                  </m:r>
                  <m:ctrlPr>
                    <w:rPr>
                      <w:rFonts w:ascii="Cambria Math" w:hAnsi="Cambria Math"/>
                      <w:sz w:val="21"/>
                    </w:rPr>
                  </m:ctrlPr>
                </m:sub>
              </m:sSub>
              <m:r>
                <m:rPr/>
                <w:rPr>
                  <w:rFonts w:hint="default" w:ascii="Cambria Math" w:hAnsi="Cambria Math"/>
                  <w:sz w:val="21"/>
                </w:rPr>
                <m:t>)</m:t>
              </m:r>
            </m:oMath>
            <w:r>
              <w:t xml:space="preserve"> 为推送建议总数，</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adopted</m:t>
                  </m:r>
                  <m:ctrlPr>
                    <w:rPr>
                      <w:rFonts w:ascii="Cambria Math" w:hAnsi="Cambria Math"/>
                      <w:sz w:val="21"/>
                    </w:rPr>
                  </m:ctrlPr>
                </m:sub>
              </m:sSub>
              <m:r>
                <m:rPr/>
                <w:rPr>
                  <w:rFonts w:hint="default" w:ascii="Cambria Math" w:hAnsi="Cambria Math"/>
                  <w:sz w:val="21"/>
                </w:rPr>
                <m:t>)</m:t>
              </m:r>
            </m:oMath>
            <w:r>
              <w:t xml:space="preserve"> 为用户实际执行的建议数。</w:t>
            </w:r>
          </w:p>
        </w:tc>
        <w:tc>
          <w:tcPr>
            <w:tcW w:w="0" w:type="auto"/>
            <w:tcMar>
              <w:left w:w="108" w:type="dxa"/>
              <w:right w:w="108" w:type="dxa"/>
            </w:tcMar>
            <w:vAlign w:val="center"/>
          </w:tcPr>
          <w:p w14:paraId="79074CFF">
            <w:r>
              <w:t>评估建议的接受度与用户黏性，是激励策略优化的关键指标。</w:t>
            </w:r>
          </w:p>
        </w:tc>
      </w:tr>
    </w:tbl>
    <w:p w14:paraId="424E5B43">
      <w:r>
        <w:rPr>
          <w:b/>
        </w:rPr>
        <w:t>指标详解</w:t>
      </w:r>
      <w:r>
        <w:t>：</w:t>
      </w:r>
    </w:p>
    <w:p w14:paraId="754244FC">
      <w:pPr>
        <w:numPr>
          <w:ilvl w:val="0"/>
          <w:numId w:val="8"/>
        </w:numPr>
        <w:spacing w:before="0" w:after="0"/>
        <w:ind w:left="720" w:hanging="360"/>
      </w:pPr>
      <w:r>
        <w:rPr>
          <w:b/>
        </w:rPr>
        <w:t>碳减排达成率 (CRR)</w:t>
      </w:r>
      <w:r>
        <w:t>：该指标需要结合实际行为监测。例如，系统建议“明日骑行上班”，若用户采纳，则对比骑行日与平日开车日的实际碳排放差，作为达成减排量。CRR可分解至不同策略类型，帮助改进算法。</w:t>
      </w:r>
    </w:p>
    <w:p w14:paraId="61F523B2">
      <w:pPr>
        <w:numPr>
          <w:ilvl w:val="0"/>
          <w:numId w:val="8"/>
        </w:numPr>
        <w:spacing w:before="0" w:after="0"/>
        <w:ind w:left="720" w:hanging="360"/>
      </w:pPr>
      <w:r>
        <w:rPr>
          <w:b/>
        </w:rPr>
        <w:t>碳预算遵从度 (CBA)</w:t>
      </w:r>
      <w:r>
        <w:t>：个人碳预算可由用户自行设定（如每日5kg），也可参考国家倡导的低碳生活标准。CBA直观反映用户是否处于“低碳轨道”，是碳账户健康度的核心度量。</w:t>
      </w:r>
      <w:bookmarkStart w:id="22" w:name="_GoBack"/>
      <w:bookmarkEnd w:id="22"/>
    </w:p>
    <w:p w14:paraId="7EB06105">
      <w:pPr>
        <w:numPr>
          <w:ilvl w:val="0"/>
          <w:numId w:val="8"/>
        </w:numPr>
        <w:spacing w:before="0" w:after="0"/>
        <w:ind w:left="720" w:hanging="360"/>
      </w:pPr>
      <w:r>
        <w:rPr>
          <w:b/>
        </w:rPr>
        <w:t>绿色行为采纳率 (GAR)</w:t>
      </w:r>
      <w:r>
        <w:t>：该指标可进一步细分为首次采纳率与重复采纳率，用于识别用户偏好。系统可通过A/B测试优化建议的呈现方式与激励强度，提升GAR。</w:t>
      </w:r>
    </w:p>
    <w:p w14:paraId="0EEECE71">
      <w:r>
        <w:t>以上指标在看板中以仪表盘形式实时展示，支持按日、周、月聚合，并可下钻至具体建议进行归因分析。通过持续追踪，用户可清晰感知自身减碳进步，系统也能不断迭代优化，形成良性循环。</w:t>
      </w:r>
    </w:p>
    <w:p w14:paraId="1B89C964">
      <w:pPr>
        <w:pStyle w:val="3"/>
        <w:outlineLvl w:val="1"/>
      </w:pPr>
      <w:bookmarkStart w:id="21" w:name="_Toc12314"/>
      <w:r>
        <w:t>5.5 系统原型与可视化预览</w:t>
      </w:r>
      <w:bookmarkEnd w:id="21"/>
    </w:p>
    <w:p w14:paraId="2C1C1E28">
      <w:r>
        <w:t>（此处保留图，展示Streamlit看板示例：主界面包含碳足迹预测曲线、碳预算进度条、今日建议列表、SHAP归因瀑布图、碳积分排行榜等）</w:t>
      </w:r>
    </w:p>
    <w:p w14:paraId="13D7096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B0C78"/>
    <w:multiLevelType w:val="singleLevel"/>
    <w:tmpl w:val="8BFB0C78"/>
    <w:lvl w:ilvl="0" w:tentative="0">
      <w:start w:val="1"/>
      <w:numFmt w:val="bullet"/>
      <w:lvlText w:val=""/>
      <w:lvlJc w:val="left"/>
      <w:pPr>
        <w:ind w:left="720" w:hanging="360"/>
      </w:pPr>
      <w:rPr>
        <w:rFonts w:hint="default" w:ascii="Symbol" w:hAnsi="Symbol" w:cs="Symbol"/>
        <w:sz w:val="20"/>
      </w:rPr>
    </w:lvl>
  </w:abstractNum>
  <w:abstractNum w:abstractNumId="1">
    <w:nsid w:val="9C2DB0CF"/>
    <w:multiLevelType w:val="singleLevel"/>
    <w:tmpl w:val="9C2DB0CF"/>
    <w:lvl w:ilvl="0" w:tentative="0">
      <w:start w:val="1"/>
      <w:numFmt w:val="bullet"/>
      <w:lvlText w:val=""/>
      <w:lvlJc w:val="left"/>
      <w:pPr>
        <w:ind w:left="720" w:hanging="360"/>
      </w:pPr>
      <w:rPr>
        <w:rFonts w:hint="default" w:ascii="Symbol" w:hAnsi="Symbol" w:cs="Symbol"/>
        <w:sz w:val="20"/>
      </w:rPr>
    </w:lvl>
  </w:abstractNum>
  <w:abstractNum w:abstractNumId="2">
    <w:nsid w:val="B4201E9A"/>
    <w:multiLevelType w:val="singleLevel"/>
    <w:tmpl w:val="B4201E9A"/>
    <w:lvl w:ilvl="0" w:tentative="0">
      <w:start w:val="1"/>
      <w:numFmt w:val="bullet"/>
      <w:lvlText w:val=""/>
      <w:lvlJc w:val="left"/>
      <w:pPr>
        <w:ind w:left="720" w:hanging="360"/>
      </w:pPr>
      <w:rPr>
        <w:rFonts w:hint="default" w:ascii="Symbol" w:hAnsi="Symbol" w:cs="Symbol"/>
        <w:sz w:val="20"/>
      </w:rPr>
    </w:lvl>
  </w:abstractNum>
  <w:abstractNum w:abstractNumId="3">
    <w:nsid w:val="B9A4036B"/>
    <w:multiLevelType w:val="singleLevel"/>
    <w:tmpl w:val="B9A4036B"/>
    <w:lvl w:ilvl="0" w:tentative="0">
      <w:start w:val="1"/>
      <w:numFmt w:val="bullet"/>
      <w:lvlText w:val=""/>
      <w:lvlJc w:val="left"/>
      <w:pPr>
        <w:ind w:left="720" w:hanging="360"/>
      </w:pPr>
      <w:rPr>
        <w:rFonts w:hint="default" w:ascii="Symbol" w:hAnsi="Symbol" w:cs="Symbol"/>
        <w:sz w:val="20"/>
      </w:rPr>
    </w:lvl>
  </w:abstractNum>
  <w:abstractNum w:abstractNumId="4">
    <w:nsid w:val="C3ED084E"/>
    <w:multiLevelType w:val="singleLevel"/>
    <w:tmpl w:val="C3ED084E"/>
    <w:lvl w:ilvl="0" w:tentative="0">
      <w:start w:val="1"/>
      <w:numFmt w:val="bullet"/>
      <w:lvlText w:val=""/>
      <w:lvlJc w:val="left"/>
      <w:pPr>
        <w:ind w:left="720" w:hanging="360"/>
      </w:pPr>
      <w:rPr>
        <w:rFonts w:hint="default" w:ascii="Symbol" w:hAnsi="Symbol" w:cs="Symbol"/>
        <w:sz w:val="20"/>
      </w:rPr>
    </w:lvl>
  </w:abstractNum>
  <w:abstractNum w:abstractNumId="5">
    <w:nsid w:val="45FCA424"/>
    <w:multiLevelType w:val="singleLevel"/>
    <w:tmpl w:val="45FCA424"/>
    <w:lvl w:ilvl="0" w:tentative="0">
      <w:start w:val="1"/>
      <w:numFmt w:val="bullet"/>
      <w:lvlText w:val=""/>
      <w:lvlJc w:val="left"/>
      <w:pPr>
        <w:ind w:left="720" w:hanging="360"/>
      </w:pPr>
      <w:rPr>
        <w:rFonts w:hint="default" w:ascii="Symbol" w:hAnsi="Symbol" w:cs="Symbol"/>
        <w:sz w:val="20"/>
      </w:rPr>
    </w:lvl>
  </w:abstractNum>
  <w:abstractNum w:abstractNumId="6">
    <w:nsid w:val="58976226"/>
    <w:multiLevelType w:val="singleLevel"/>
    <w:tmpl w:val="58976226"/>
    <w:lvl w:ilvl="0" w:tentative="0">
      <w:start w:val="1"/>
      <w:numFmt w:val="bullet"/>
      <w:lvlText w:val=""/>
      <w:lvlJc w:val="left"/>
      <w:pPr>
        <w:ind w:left="720" w:hanging="360"/>
      </w:pPr>
      <w:rPr>
        <w:rFonts w:hint="default" w:ascii="Symbol" w:hAnsi="Symbol" w:cs="Symbol"/>
        <w:sz w:val="20"/>
      </w:rPr>
    </w:lvl>
  </w:abstractNum>
  <w:abstractNum w:abstractNumId="7">
    <w:nsid w:val="65D17853"/>
    <w:multiLevelType w:val="singleLevel"/>
    <w:tmpl w:val="65D17853"/>
    <w:lvl w:ilvl="0" w:tentative="0">
      <w:start w:val="1"/>
      <w:numFmt w:val="bullet"/>
      <w:lvlText w:val=""/>
      <w:lvlJc w:val="left"/>
      <w:pPr>
        <w:ind w:left="720" w:hanging="360"/>
      </w:pPr>
      <w:rPr>
        <w:rFonts w:hint="default" w:ascii="Symbol" w:hAnsi="Symbol" w:cs="Symbol"/>
        <w:sz w:val="20"/>
      </w:rPr>
    </w:lvl>
  </w:abstractNum>
  <w:num w:numId="1">
    <w:abstractNumId w:val="4"/>
  </w:num>
  <w:num w:numId="2">
    <w:abstractNumId w:val="6"/>
  </w:num>
  <w:num w:numId="3">
    <w:abstractNumId w:val="2"/>
  </w:num>
  <w:num w:numId="4">
    <w:abstractNumId w:val="7"/>
  </w:num>
  <w:num w:numId="5">
    <w:abstractNumId w:val="0"/>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75E26"/>
    <w:rsid w:val="04375E26"/>
    <w:rsid w:val="5EE66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toc 1"/>
    <w:basedOn w:val="1"/>
    <w:next w:val="1"/>
    <w:uiPriority w:val="0"/>
  </w:style>
  <w:style w:type="paragraph" w:styleId="7">
    <w:name w:val="toc 2"/>
    <w:basedOn w:val="1"/>
    <w:next w:val="1"/>
    <w:uiPriority w:val="0"/>
    <w:pPr>
      <w:ind w:left="420" w:leftChars="200"/>
    </w:pPr>
  </w:style>
  <w:style w:type="character" w:styleId="10">
    <w:name w:val="Emphasis"/>
    <w:basedOn w:val="9"/>
    <w:qFormat/>
    <w:uiPriority w:val="0"/>
    <w:rPr>
      <w:i/>
    </w:rPr>
  </w:style>
  <w:style w:type="character" w:styleId="11">
    <w:name w:val="Hyperlink"/>
    <w:basedOn w:val="9"/>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48</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2026-03-16T08:45:00Z</dcterms:created>
  <dc:creator>WPS_1725681081</dc:creator>
  <cp:lastModifiedBy>WPS_1725681081</cp:lastModifiedBy>
  <dcterms:modified xsi:type="dcterms:W3CDTF">2026-03-16T09:35:03Z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87790DD776FE433FBA7E3834AC2C9BF3_11</vt:lpwstr>
  </property>
  <property fmtid="{D5CDD505-2E9C-101B-9397-08002B2CF9AE}" pid="4" name="KSOTemplateDocerSaveRecord">
    <vt:lpwstr>eyJoZGlkIjoiMDEzYTFmYzgyOTBhZjQ0ODAyY2EyMTFkYjE1YTkxYjAiLCJ1c2VySWQiOiIxNjMyNDA0NTk1In0=</vt:lpwstr>
  </property>
</Properties>
</file>